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8C77C">
      <w:pPr>
        <w:pStyle w:val="2"/>
        <w:rPr>
          <w:color w:val="auto"/>
        </w:rPr>
      </w:pPr>
      <w:r>
        <w:rPr>
          <w:color w:val="auto"/>
        </w:rPr>
        <w:t>Речь к защите ВКР</w:t>
      </w:r>
    </w:p>
    <w:p w14:paraId="2858911D">
      <w:pPr>
        <w:rPr>
          <w:color w:val="auto"/>
        </w:rPr>
      </w:pPr>
      <w:r>
        <w:rPr>
          <w:b/>
          <w:color w:val="auto"/>
        </w:rPr>
        <w:t xml:space="preserve">Тема: </w:t>
      </w:r>
      <w:r>
        <w:rPr>
          <w:color w:val="auto"/>
        </w:rPr>
        <w:t>Особенности проектирования хладоцентра для центра обработки данных</w:t>
      </w:r>
      <w:r>
        <w:rPr>
          <w:color w:val="auto"/>
        </w:rPr>
        <w:br/>
      </w:r>
      <w:r>
        <w:rPr>
          <w:b/>
          <w:color w:val="auto"/>
        </w:rPr>
        <w:t xml:space="preserve">Автор: </w:t>
      </w:r>
      <w:r>
        <w:rPr>
          <w:color w:val="auto"/>
        </w:rPr>
        <w:t>Терновой Радослав Руславнович</w:t>
      </w:r>
      <w:r>
        <w:rPr>
          <w:color w:val="auto"/>
        </w:rPr>
        <w:br/>
      </w:r>
      <w:r>
        <w:rPr>
          <w:b/>
          <w:color w:val="auto"/>
        </w:rPr>
        <w:t xml:space="preserve">Научный руководитель: </w:t>
      </w:r>
      <w:r>
        <w:rPr>
          <w:color w:val="auto"/>
        </w:rPr>
        <w:t>Цветков Вадим Александрович, к.т.н., доцент</w:t>
      </w:r>
      <w:r>
        <w:rPr>
          <w:color w:val="auto"/>
        </w:rPr>
        <w:br/>
      </w:r>
      <w:r>
        <w:rPr>
          <w:i/>
          <w:color w:val="auto"/>
        </w:rPr>
        <w:t>Университет ИТМО, 2026</w:t>
      </w:r>
    </w:p>
    <w:p w14:paraId="0900E225">
      <w:pPr>
        <w:pStyle w:val="3"/>
        <w:rPr>
          <w:color w:val="auto"/>
        </w:rPr>
      </w:pPr>
      <w:r>
        <w:rPr>
          <w:color w:val="auto"/>
        </w:rPr>
        <w:t>Слайд 1. Титульный слайд</w:t>
      </w:r>
      <w:bookmarkStart w:id="0" w:name="_GoBack"/>
      <w:bookmarkEnd w:id="0"/>
    </w:p>
    <w:p w14:paraId="1AED5AB3">
      <w:pPr>
        <w:ind w:firstLine="400"/>
        <w:rPr>
          <w:color w:val="auto"/>
        </w:rPr>
      </w:pPr>
      <w:r>
        <w:rPr>
          <w:color w:val="auto"/>
        </w:rPr>
        <w:t>Уважаемые члены государственной экзаменационной комиссии, уважаемые коллеги. Меня зовут Терновой Радослав Руславнович, я представляю выпускную квалификационную работу магистра по теме «Особенности проектирования хладоцентра для центра обработки данных». Работа выполнена под руководством кандидата технических наук, доцента Цветкова Вадима Александровича в Университете ИТМО.</w:t>
      </w:r>
    </w:p>
    <w:p w14:paraId="7E71D61E">
      <w:pPr>
        <w:pStyle w:val="3"/>
        <w:rPr>
          <w:color w:val="auto"/>
        </w:rPr>
      </w:pPr>
      <w:r>
        <w:rPr>
          <w:color w:val="auto"/>
        </w:rPr>
        <w:t>Слайд 2. Актуальность</w:t>
      </w:r>
    </w:p>
    <w:p w14:paraId="586EFE7A">
      <w:pPr>
        <w:ind w:firstLine="400"/>
        <w:rPr>
          <w:color w:val="auto"/>
        </w:rPr>
      </w:pPr>
      <w:r>
        <w:rPr>
          <w:color w:val="auto"/>
        </w:rPr>
        <w:t>На слайде два показана актуальность работы. Энергопотребление центров обработки данных растёт двузначными темпами и уже достигает единиц процентов мирового электробаланса. Бурное развитие облачных сервисов, искусственного интеллекта и высокопроизводительных вычислений только усиливает эту динамику: плотность ИТ-нагрузки в стойке за последние пять лет выросла в среднем в полтора-два раза. При этом на систему охлаждения приходится от тридцати до сорока пяти процентов электропотребления самого ЦОД. Именно охлаждение остаётся основным резервом снижения коэффициента энергоэффективности PUE и операционных затрат. Климат Северо-Запада России позволяет длительное использование естественного фрикулинга, однако регламентированной методики выбора и проектирования схемы хладоцентра Tier III для конкретных климатических условий сегодня не существует. Это и определило практическую задачу исследования.</w:t>
      </w:r>
      <w:r>
        <w:t xml:space="preserve"> В этой работе я рассматриваю охлаждение не как вспомогательную инженерную систему, а как ключевой элемент энергетической модели ЦОД. Поэтому акцент сделан на тех решениях, которые можно применить в реальном проекте без полного перехода на жидкостную инфраструктуру машинного зала.</w:t>
      </w:r>
    </w:p>
    <w:p w14:paraId="76641A9C">
      <w:pPr>
        <w:pStyle w:val="3"/>
        <w:rPr>
          <w:color w:val="auto"/>
        </w:rPr>
      </w:pPr>
      <w:r>
        <w:rPr>
          <w:color w:val="auto"/>
        </w:rPr>
        <w:t>Слайд 3. Цель и задачи</w:t>
      </w:r>
    </w:p>
    <w:p w14:paraId="0EED775B">
      <w:pPr>
        <w:ind w:firstLine="400"/>
        <w:rPr>
          <w:color w:val="auto"/>
        </w:rPr>
      </w:pPr>
      <w:r>
        <w:rPr>
          <w:color w:val="auto"/>
        </w:rPr>
        <w:t>Цель работы — разработать и обосновать проектные решения хладоцентра ЦОД, снижающие энергопотребление за счёт гибридных схем охлаждения и фрикулинга, адаптированных к климату района строительства. Для достижения цели сформулированы четыре задачи: анализ современных подходов к проектированию систем холодоснабжения; исследование влияния климатических параметров и режимов ИТ-нагрузки; разработка методики расчёта и подбора оборудования; технико-экономическое обоснование на конкретном объекте — ЦОД Tier III мощностью одна тысяча двести киловатт ИТ-нагрузки в Санкт-Петербурге.</w:t>
      </w:r>
    </w:p>
    <w:p w14:paraId="5CBA5862">
      <w:pPr>
        <w:pStyle w:val="3"/>
        <w:rPr>
          <w:color w:val="auto"/>
        </w:rPr>
      </w:pPr>
      <w:r>
        <w:rPr>
          <w:color w:val="auto"/>
        </w:rPr>
        <w:t>Слайд 4. Объект, предмет, новизна</w:t>
      </w:r>
    </w:p>
    <w:p w14:paraId="56E75D89">
      <w:pPr>
        <w:ind w:firstLine="400"/>
        <w:rPr>
          <w:color w:val="auto"/>
        </w:rPr>
      </w:pPr>
      <w:r>
        <w:rPr>
          <w:color w:val="auto"/>
        </w:rPr>
        <w:t>Объектом исследования выступает система холодоснабжения центра обработки данных, предметом — процессы теплообмена, энергетическая эффективность и режимы работы оборудования хладоцентра. Научная новизна работы заключается в построении биквадратичной модели часов фрикулинга для климата Санкт-Петербурга на базе свода правил 131.13330.2020 и в увязке нормативной базы, теплотехнического расчёта и технико-экономического обоснования в едином расчётном контуре.</w:t>
      </w:r>
      <w:r>
        <w:t xml:space="preserve"> Практический смысл новизны состоит в том, что проектировщик получает не отдельные разрозненные расчёты, а последовательность действий: от исходных климатических данных и тепловой нагрузки до выбора оборудования, годового энергопотребления и экономического эффекта.</w:t>
      </w:r>
    </w:p>
    <w:p w14:paraId="7041622F">
      <w:pPr>
        <w:pStyle w:val="3"/>
        <w:rPr>
          <w:color w:val="auto"/>
        </w:rPr>
      </w:pPr>
      <w:r>
        <w:rPr>
          <w:color w:val="auto"/>
        </w:rPr>
        <w:t>Слайд 5. Современные подходы к охлаждению ЦОД</w:t>
      </w:r>
    </w:p>
    <w:p w14:paraId="500C57A4">
      <w:pPr>
        <w:ind w:firstLine="400"/>
        <w:rPr>
          <w:color w:val="auto"/>
        </w:rPr>
      </w:pPr>
      <w:r>
        <w:rPr>
          <w:color w:val="auto"/>
        </w:rPr>
        <w:t>Перехожу к анализу современных подходов. Слайд пять обобщает ключевые технологии охлаждения ЦОД: это воздушный и водяной фрикулинг, гибридные драйкулеры с пластинчатым теплообменником, прямое жидкостное охлаждение оборудования, а также интеллектуальное MPC-управление режимами. Анализ показал, что классические чиллерные системы с воздушным конденсатором обеспечивают высокую надёжность, но проигрывают по энергоэффективности; полностью жидкостные решения дают лучший PUE и подходят для высокоплотных стоек, но требуют переработки всей архитектуры машинного зала. Гибридные схемы с фрикулингом оказываются разумным компромиссом для умеренного климата. Базовым ориентиром для проектирования служат климатические зоны ASHRAE A1–A4, которые задают допустимые диапазоны температур воздуха в холодных коридорах. Этот стандарт фактически определяет верхнюю границу температуры подачи холодной воды и, как следствие, потенциал фрикулинга.</w:t>
      </w:r>
    </w:p>
    <w:p w14:paraId="1F38FA7E">
      <w:pPr>
        <w:pStyle w:val="3"/>
        <w:rPr>
          <w:color w:val="auto"/>
        </w:rPr>
      </w:pPr>
      <w:r>
        <w:rPr>
          <w:color w:val="auto"/>
        </w:rPr>
        <w:t>Слайд 6. Климат СПб и часы фрикулинга</w:t>
      </w:r>
    </w:p>
    <w:p w14:paraId="7CC581AE">
      <w:pPr>
        <w:ind w:firstLine="400"/>
        <w:rPr>
          <w:color w:val="auto"/>
        </w:rPr>
      </w:pPr>
      <w:r>
        <w:rPr>
          <w:color w:val="auto"/>
        </w:rPr>
        <w:t>На слайде шесть показано, почему климат Санкт-Петербурга благоприятен для длительного фрикулинга. Распределение наружных температур построено методом температурных бинов согласно своду правил 131.13330.2020 со стандартным отклонением четыре градуса Цельсия. Сопоставление Санкт-Петербурга с Москвой и шведским городом Лулео показывает, что в Петербурге доступно более шестидесяти процентов годовых часов с температурой ниже десяти градусов. Это делает экономически оправданной схему с пластинчатым теплообменником и средней температурой охлаждающего контура десять градусов.</w:t>
      </w:r>
      <w:r>
        <w:t xml:space="preserve"> Для Санкт-Петербурга это особенно важно: низкие и умеренные наружные температуры сохраняются большую часть года, но проектное решение всё равно должно учитывать летний пик, влажность, температурный напор в теплообменнике и требования к надёжности уровня Tier III.</w:t>
      </w:r>
    </w:p>
    <w:p w14:paraId="70B9BCBD">
      <w:pPr>
        <w:pStyle w:val="3"/>
        <w:rPr>
          <w:color w:val="auto"/>
        </w:rPr>
      </w:pPr>
      <w:r>
        <w:rPr>
          <w:color w:val="auto"/>
        </w:rPr>
        <w:t>Слайд 7. Методика расчёта</w:t>
      </w:r>
    </w:p>
    <w:p w14:paraId="38B30BC9">
      <w:pPr>
        <w:ind w:firstLine="400"/>
        <w:rPr>
          <w:color w:val="auto"/>
        </w:rPr>
      </w:pPr>
      <w:r>
        <w:rPr>
          <w:color w:val="auto"/>
        </w:rPr>
        <w:t>Слайд семь раскрывает методику расчёта хладоцентра. Расчётная тепловая нагрузка машинного зала составила девятьсот шестьдесят пять и две десятых киловатта при средней температуре охлаждающего контура десять градусов. Эта величина получена из условия одновременного потребления одна тысяча двести киловатт ИТ-нагрузки с коэффициентом одновременности ноль целых восемь десятых и учитывает тепловыделения вспомогательного оборудования. Использована сезонная модель коэффициента энергоэффективности компрессора, зависящая от коэффициента частичной нагрузки и температуры наружного воздуха, поскольку чиллер большую часть времени работает в режиме неполной загрузки. Часы фрикулинга получаются через биквадратичную функцию от средней температуры контура и среднемесячной температуры наружного воздуха по бинам, построенным согласно своду правил со стандартным отклонением четыре градуса. На выходе методика даёт помесячное энергопотребление, годовой PUE и проверку аварийного режима N+1, при котором отказ одного чиллера должен компенсироваться без превышения предельной температуры в холодных коридорах.</w:t>
      </w:r>
    </w:p>
    <w:p w14:paraId="058D1BEA">
      <w:pPr>
        <w:pStyle w:val="3"/>
        <w:rPr>
          <w:color w:val="auto"/>
        </w:rPr>
      </w:pPr>
      <w:r>
        <w:rPr>
          <w:color w:val="auto"/>
        </w:rPr>
        <w:t>Слайд 8. Три сравниваемые схемы</w:t>
      </w:r>
    </w:p>
    <w:p w14:paraId="4CBE49B8">
      <w:pPr>
        <w:ind w:firstLine="400"/>
        <w:rPr>
          <w:color w:val="auto"/>
        </w:rPr>
      </w:pPr>
      <w:r>
        <w:rPr>
          <w:color w:val="auto"/>
        </w:rPr>
        <w:t>На слайде восемь представлены три сравниваемые схемы хладоцентра. Первая — базовая: чиллер с воздушным конденсатором без фрикулинга. Вторая — гибридная: чиллер, пластинчатый теплообменник и сухая градирня для длительного фрикулинга. Третья — гибридная с системой тепловым аккумулятором холода. Принципиальная схема на рисунке показывает контур хладагента, гликолевый контур и петлю фрикулинга. Именно эта компоновка обеспечивает плавный переход между режимами полного фрикулинга, смешанным и компрессионным холодоснабжением.</w:t>
      </w:r>
      <w:r>
        <w:t xml:space="preserve"> Для всех трёх вариантов сохранено одинаковое требование по покрытию расчётной нагрузки и резервированию. Поэтому сравнение отражает именно влияние архитектуры хладоцентра, а не различие в уровне надёжности или недогрузку оборудования.</w:t>
      </w:r>
    </w:p>
    <w:p w14:paraId="077F6FD6">
      <w:pPr>
        <w:pStyle w:val="3"/>
        <w:rPr>
          <w:color w:val="auto"/>
        </w:rPr>
      </w:pPr>
      <w:r>
        <w:rPr>
          <w:color w:val="auto"/>
        </w:rPr>
        <w:t>Слайд 9. Технические результаты</w:t>
      </w:r>
    </w:p>
    <w:p w14:paraId="274E6097">
      <w:pPr>
        <w:ind w:firstLine="400"/>
        <w:rPr>
          <w:color w:val="auto"/>
        </w:rPr>
      </w:pPr>
      <w:r>
        <w:rPr>
          <w:color w:val="auto"/>
        </w:rPr>
        <w:t>Слайд девять — ключевой по техническим результатам. Расчёт показал, что при средней температуре охлаждающего контура десять градусов в Санкт-Петербурге доступно пять тысяч пятьсот два часа фрикулинга в год. PUE базовой Схемы 1 составил одну целую и четыреста девяносто четыре тысячных, Схема 2 — одну целую и триста десять тысячных, Схема 3 — одну целую и двести девяносто две тысячных. Снижение электропотребления охлаждения относительно базы — сорок три и пять десятых процента. Это означает уменьшение общего электропотребления ЦОД на двенадцать и три десятых процента.</w:t>
      </w:r>
      <w:r>
        <w:t xml:space="preserve"> При этом Схема 3 технически выглядит лучше по PUE, но прирост относительно Схемы 2 невелик. Это важный результат: дополнительное усложнение системы не всегда пропорционально снижает эксплуатационные затраты.</w:t>
      </w:r>
    </w:p>
    <w:p w14:paraId="7F55875C">
      <w:pPr>
        <w:pStyle w:val="3"/>
        <w:rPr>
          <w:color w:val="auto"/>
        </w:rPr>
      </w:pPr>
      <w:r>
        <w:rPr>
          <w:color w:val="auto"/>
        </w:rPr>
        <w:t>Слайд 10. ТЭО</w:t>
      </w:r>
    </w:p>
    <w:p w14:paraId="7AF4A10A">
      <w:pPr>
        <w:ind w:firstLine="400"/>
        <w:rPr>
          <w:color w:val="auto"/>
        </w:rPr>
      </w:pPr>
      <w:r>
        <w:rPr>
          <w:color w:val="auto"/>
        </w:rPr>
        <w:t>На слайде десять представлено технико-экономическое обоснование. В расчёт включены капитальные затраты на оборудование, монтаж и пусконаладку, а также операционные затраты на электроэнергию, сервисное обслуживание и плановую замену расходных компонентов. Расчёт выполнен в постоянных ценах двух тысяч двадцать пятого года при ставке дисконтирования семнадцать процентов и горизонте пятнадцать лет. Дополнительные капитальные затраты Схемы 2 относительно базовой составляют тринадцать целых семь десятых миллиона рублей — это в основном пластинчатый теплообменник, сухая градирня и контур фрикулинга. Годовая экономия операционных затрат — двенадцать целых тридцать одна сотая миллиона рублей, почти полностью за счёт сокращения работы компрессора в холодный период года. Дисконтированный срок окупаемости — один и тридцать пять сотых года. Чистая приведённая стоимость за пятнадцать лет — плюс пятьдесят один и восемьдесят четыре сотых миллиона рублей. Схема 3 с теплоаккумуляторами даёт чуть лучший PUE, однако дополнительный CAPEX не окупается в горизонте пятнадцати лет и оправдан только при специальных требованиях к автономности охлаждения.</w:t>
      </w:r>
      <w:r>
        <w:t xml:space="preserve"> В расчётах я отдельно сравнивал не только абсолютные капитальные затраты, но и дополнительные вложения относительно базовой схемы. Такой подход показывает, за счёт чего именно возникает экономический эффект: фрикулинг уменьшает часы работы компрессоров, а значит снижает самую крупную статью операционных расходов — электроэнергию.</w:t>
      </w:r>
    </w:p>
    <w:p w14:paraId="05DF5612">
      <w:pPr>
        <w:pStyle w:val="3"/>
        <w:rPr>
          <w:color w:val="auto"/>
        </w:rPr>
      </w:pPr>
      <w:r>
        <w:rPr>
          <w:color w:val="auto"/>
        </w:rPr>
        <w:t>Слайд 11. Выводы</w:t>
      </w:r>
    </w:p>
    <w:p w14:paraId="1582E4C4">
      <w:pPr>
        <w:ind w:firstLine="400"/>
        <w:rPr>
          <w:color w:val="auto"/>
        </w:rPr>
      </w:pPr>
      <w:r>
        <w:rPr>
          <w:color w:val="auto"/>
        </w:rPr>
        <w:t>Перехожу к выводам. Разработана воспроизводимая методика расчёта хладоцентра ЦОД, учитывающая климат района строительства и сезонные режимы оборудования. Для климатических условий Санкт-Петербурга оптимальной признана Схема 2 — гибридная с пластинчатым теплообменником и драйкулерным фрикулингом. Она обеспечивает PUE 1,310 против 1,494 базовой схемы и снижение общего электропотребления ЦОД на двенадцать с лишним процентов. Экономическая оценка подтверждает выбор: окупаемость менее полутора лет и положительный NPV свыше пятидесяти миллионов рублей. Полученные результаты применимы при проектировании ЦОД мощностью около одного мегаватта ИТ-нагрузки в умеренном климате; при изменении мощности или климатического района методика позволяет пересчитать оптимум без дополнительной адаптации. Цель работы достигнута, все четыре задачи решены.</w:t>
      </w:r>
      <w:r>
        <w:t xml:space="preserve"> Таким образом, основной вывод работы не сводится к тому, что фрикулинг полезен вообще. Показано, при каких исходных условиях, температурных уставках и экономических предпосылках он становится обоснованным проектным решением для ЦОД средней мощности в умеренном климате.</w:t>
      </w:r>
    </w:p>
    <w:p w14:paraId="1FFB225C">
      <w:pPr>
        <w:pStyle w:val="3"/>
        <w:rPr>
          <w:color w:val="auto"/>
        </w:rPr>
      </w:pPr>
      <w:r>
        <w:rPr>
          <w:color w:val="auto"/>
        </w:rPr>
        <w:t>Слайд 12. Финал</w:t>
      </w:r>
    </w:p>
    <w:p w14:paraId="4A4A78A9">
      <w:pPr>
        <w:ind w:firstLine="400"/>
        <w:rPr>
          <w:color w:val="auto"/>
        </w:rPr>
      </w:pPr>
      <w:r>
        <w:rPr>
          <w:color w:val="auto"/>
        </w:rPr>
        <w:t>Доклад окончен. Благодарю за внимание и готов ответить на ваши вопросы.</w:t>
      </w:r>
    </w:p>
    <w:p w14:paraId="3748BBB9">
      <w:pPr>
        <w:rPr>
          <w:color w:val="auto"/>
        </w:rPr>
      </w:pPr>
      <w:r>
        <w:rPr>
          <w:i/>
          <w:color w:val="auto"/>
        </w:rPr>
      </w:r>
      <w:r/>
      <w:r>
        <w:t>— Объём речи: 958 слов (оценка длительности при 135 слов/мин: 7.1 мин)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5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Антон Иванов</cp:lastModifiedBy>
  <dcterms:modified xsi:type="dcterms:W3CDTF">2026-05-11T05:10:14Z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3CD4C5A0AE7CA3FB26C7016A6BFB56BA_42</vt:lpwstr>
  </property>
</Properties>
</file>