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24AA6">
      <w:pPr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5F66B4B8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АВТОНОМНОЕ ОБРАЗОВАТЕЛЬНОЕ</w:t>
      </w:r>
    </w:p>
    <w:p w14:paraId="022FDEC6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УЧРЕЖДЕНИЕ ВЫСШЕГО ОБРАЗОВАНИЯ</w:t>
      </w:r>
    </w:p>
    <w:p w14:paraId="018202F0">
      <w:pPr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НАЦИОНАЛЬНЫЙ ИССЛЕДОВАТЕЛЬСКИЙ УНИВЕРСИТЕТ ИТМО</w:t>
      </w:r>
    </w:p>
    <w:p w14:paraId="73B75CB8">
      <w:pPr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ITMO University</w:t>
      </w:r>
    </w:p>
    <w:p w14:paraId="2A181244">
      <w:pPr>
        <w:jc w:val="center"/>
        <w:rPr>
          <w:rFonts w:cs="Times New Roman"/>
          <w:sz w:val="24"/>
          <w:szCs w:val="24"/>
        </w:rPr>
      </w:pPr>
    </w:p>
    <w:p w14:paraId="5C6D0422">
      <w:pPr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ВЫПУСКНАЯ КВАЛИФИКАЦИОННАЯ РАБОТА</w:t>
      </w:r>
    </w:p>
    <w:p w14:paraId="5D447EC4">
      <w:pPr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GRADUATION THESIS</w:t>
      </w:r>
    </w:p>
    <w:p w14:paraId="064924B7">
      <w:pPr>
        <w:rPr>
          <w:rFonts w:cs="Times New Roman"/>
          <w:sz w:val="24"/>
          <w:szCs w:val="24"/>
        </w:rPr>
      </w:pPr>
    </w:p>
    <w:p w14:paraId="72166559">
      <w:pPr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Особенности проектирования хладоцентра для центра обработки данных</w:t>
      </w:r>
    </w:p>
    <w:p w14:paraId="50D9C454">
      <w:pPr>
        <w:rPr>
          <w:rFonts w:cs="Times New Roman"/>
          <w:sz w:val="24"/>
          <w:szCs w:val="24"/>
        </w:rPr>
      </w:pPr>
    </w:p>
    <w:p w14:paraId="3EFD64BC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Обучающийся / Student</w:t>
      </w:r>
      <w:r>
        <w:rPr>
          <w:rFonts w:cs="Times New Roman"/>
          <w:sz w:val="24"/>
          <w:szCs w:val="24"/>
        </w:rPr>
        <w:t xml:space="preserve"> Терновой Радослав Руславнович</w:t>
      </w:r>
    </w:p>
    <w:p w14:paraId="1A0E45AF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Факультет/институт/кластер/ Faculty/Institute/Cluster</w:t>
      </w:r>
      <w:r>
        <w:rPr>
          <w:rFonts w:cs="Times New Roman"/>
          <w:sz w:val="24"/>
          <w:szCs w:val="24"/>
        </w:rPr>
        <w:t xml:space="preserve"> институт ВИТШ</w:t>
      </w:r>
    </w:p>
    <w:p w14:paraId="309405B2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Группа/Group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E</w:t>
      </w:r>
      <w:r>
        <w:rPr>
          <w:rFonts w:cs="Times New Roman"/>
          <w:sz w:val="24"/>
          <w:szCs w:val="24"/>
        </w:rPr>
        <w:t>4258</w:t>
      </w:r>
    </w:p>
    <w:p w14:paraId="28B8F2DF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Направление подготовки/ Subject area</w:t>
      </w:r>
      <w:r>
        <w:rPr>
          <w:rFonts w:cs="Times New Roman"/>
          <w:sz w:val="24"/>
          <w:szCs w:val="24"/>
        </w:rPr>
        <w:t xml:space="preserve"> 16.04.03 Холодильная, криогенная техника и системы жизнеобеспечения</w:t>
      </w:r>
    </w:p>
    <w:p w14:paraId="5CC92593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Образовательная программа / Educational program</w:t>
      </w:r>
      <w:r>
        <w:rPr>
          <w:rFonts w:cs="Times New Roman"/>
          <w:sz w:val="24"/>
          <w:szCs w:val="24"/>
        </w:rPr>
        <w:t xml:space="preserve"> Энергоэффективные инженерные системы и технологии СПГ 2025</w:t>
      </w:r>
    </w:p>
    <w:p w14:paraId="578A1B3D">
      <w:pPr>
        <w:ind w:firstLine="709"/>
        <w:rPr>
          <w:rFonts w:cs="Times New Roman"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</w:rPr>
        <w:t>Язык</w:t>
      </w:r>
      <w:r>
        <w:rPr>
          <w:rFonts w:cs="Times New Roman"/>
          <w:b/>
          <w:bCs/>
          <w:sz w:val="24"/>
          <w:szCs w:val="24"/>
          <w:lang w:val="en-US"/>
        </w:rPr>
        <w:t xml:space="preserve"> </w:t>
      </w:r>
      <w:r>
        <w:rPr>
          <w:rFonts w:cs="Times New Roman"/>
          <w:b/>
          <w:bCs/>
          <w:sz w:val="24"/>
          <w:szCs w:val="24"/>
        </w:rPr>
        <w:t>реализации</w:t>
      </w:r>
      <w:r>
        <w:rPr>
          <w:rFonts w:cs="Times New Roman"/>
          <w:b/>
          <w:bCs/>
          <w:sz w:val="24"/>
          <w:szCs w:val="24"/>
          <w:lang w:val="en-US"/>
        </w:rPr>
        <w:t xml:space="preserve"> </w:t>
      </w:r>
      <w:r>
        <w:rPr>
          <w:rFonts w:cs="Times New Roman"/>
          <w:b/>
          <w:bCs/>
          <w:sz w:val="24"/>
          <w:szCs w:val="24"/>
        </w:rPr>
        <w:t>ОП</w:t>
      </w:r>
      <w:r>
        <w:rPr>
          <w:rFonts w:cs="Times New Roman"/>
          <w:b/>
          <w:bCs/>
          <w:sz w:val="24"/>
          <w:szCs w:val="24"/>
          <w:lang w:val="en-US"/>
        </w:rPr>
        <w:t xml:space="preserve"> / Language of the educational program</w:t>
      </w:r>
      <w:r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Русский</w:t>
      </w:r>
    </w:p>
    <w:p w14:paraId="6843CB33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Квалификация/ Degree level</w:t>
      </w:r>
      <w:r>
        <w:rPr>
          <w:rFonts w:cs="Times New Roman"/>
          <w:sz w:val="24"/>
          <w:szCs w:val="24"/>
        </w:rPr>
        <w:t xml:space="preserve"> Магистр</w:t>
      </w:r>
    </w:p>
    <w:p w14:paraId="00A83848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Руководитель ВКР/ Thesis supervisor</w:t>
      </w:r>
      <w:r>
        <w:rPr>
          <w:rFonts w:cs="Times New Roman"/>
          <w:sz w:val="24"/>
          <w:szCs w:val="24"/>
        </w:rPr>
        <w:t xml:space="preserve"> Цветков Вадим Александрович, кандидат технических наук, Университет ИТМО, образовательный центр "Энергоэффективные инженерные системы", доцент (квалификационная категория "ординарный доцент")</w:t>
      </w:r>
    </w:p>
    <w:p w14:paraId="54704AB2">
      <w:pPr>
        <w:pageBreakBefore/>
        <w:spacing w:line="360" w:lineRule="auto"/>
        <w:ind w:firstLine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AC75FDC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6929D0D0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НАЦИОНАЛЬНЫЙ ИССЛЕДОВАТЕЛЬСКИЙ УНИВЕРСИТЕТ ИТМО</w:t>
      </w:r>
    </w:p>
    <w:p w14:paraId="63EE5942">
      <w:pPr>
        <w:spacing w:line="360" w:lineRule="auto"/>
        <w:ind w:firstLine="0"/>
        <w:jc w:val="center"/>
        <w:rPr>
          <w:rFonts w:hint="default" w:ascii="Times New Roman Bold" w:hAnsi="Times New Roman Bold" w:eastAsia="Times New Roman" w:cs="Times New Roman Bold"/>
          <w:b/>
          <w:bCs/>
          <w:color w:val="000000"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bCs/>
          <w:color w:val="000000"/>
          <w:sz w:val="24"/>
          <w:szCs w:val="24"/>
        </w:rPr>
        <w:t>ITMO University</w:t>
      </w:r>
    </w:p>
    <w:p w14:paraId="32EBEBF5">
      <w:pPr>
        <w:spacing w:line="360" w:lineRule="auto"/>
        <w:ind w:firstLine="0"/>
        <w:jc w:val="center"/>
        <w:rPr>
          <w:rFonts w:hint="default" w:ascii="Times New Roman Bold" w:hAnsi="Times New Roman Bold" w:eastAsia="Times New Roman" w:cs="Times New Roman Bold"/>
          <w:b/>
          <w:bCs/>
          <w:color w:val="000000"/>
          <w:sz w:val="24"/>
          <w:szCs w:val="24"/>
        </w:rPr>
      </w:pPr>
    </w:p>
    <w:p w14:paraId="66EEDC53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АННОТАЦИЯ</w:t>
      </w:r>
    </w:p>
    <w:p w14:paraId="34BB33F8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ВЫПУСКНОЙ КВАЛИФИКАЦИОННОЙ РАБОТЫ</w:t>
      </w:r>
    </w:p>
    <w:p w14:paraId="776CB1AB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SUMMARY OF A GRADUATION THESIS</w:t>
      </w:r>
    </w:p>
    <w:p w14:paraId="3662FF39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Обучающийся / Student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Терновой Радослав Руславнович</w:t>
      </w:r>
    </w:p>
    <w:p w14:paraId="677B74DB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Факультет/институт/кластер / Faculty/Institute/Cluster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институт ВИТШ</w:t>
      </w:r>
    </w:p>
    <w:p w14:paraId="24F225B0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Группа / Group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E4258</w:t>
      </w:r>
    </w:p>
    <w:p w14:paraId="4511D86D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Направление подготовки / Subject area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16.04.03 Холодильная, криогенная техника и системы жизнеобеспечения</w:t>
      </w:r>
    </w:p>
    <w:p w14:paraId="7C486700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Образовательная программа / Educational program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Энергоэффективные инженерные системы и технологии СПГ 2025</w:t>
      </w:r>
    </w:p>
    <w:p w14:paraId="75AC7F87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Язык реализации ОП / Language of the educational program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Русский</w:t>
      </w:r>
    </w:p>
    <w:p w14:paraId="541DC79F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Статус ОП / Status of educational program</w:t>
      </w:r>
    </w:p>
    <w:p w14:paraId="6F6A3AF3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Квалификация / Degree level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Магистр</w:t>
      </w:r>
    </w:p>
    <w:p w14:paraId="2878AF8B">
      <w:pPr>
        <w:spacing w:line="360" w:lineRule="auto"/>
        <w:ind w:firstLine="709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Тема ВКР / Thesis topic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Особенности проектирования хладоцентра для центра обработки данных</w:t>
      </w:r>
    </w:p>
    <w:p w14:paraId="458A18CE">
      <w:pPr>
        <w:spacing w:line="360" w:lineRule="auto"/>
        <w:ind w:firstLine="709"/>
        <w:jc w:val="left"/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Руководитель ВКР / Thesis supervisor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Цветков Вадим Александрович, кандидат технических наук, Университет ИТМО, образовательный центр «Энергоэффективные инженерные системы», доцент (квалификационная категория «ординарный доцент»)</w:t>
      </w:r>
    </w:p>
    <w:p w14:paraId="08AFF387">
      <w:pPr>
        <w:spacing w:line="360" w:lineRule="auto"/>
        <w:ind w:firstLine="709"/>
        <w:jc w:val="left"/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</w:pPr>
    </w:p>
    <w:p w14:paraId="67757ABC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ХАРАКТЕРИСТИКА ВЫПУСКНОЙ КВАЛИФИКАЦИОННОЙ РАБОТЫ</w:t>
      </w:r>
    </w:p>
    <w:p w14:paraId="69FD8DE4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DESCRIPTION OF THE GRADUATION THESIS</w:t>
      </w:r>
    </w:p>
    <w:p w14:paraId="5ED3613E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25E82430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Цель исследования / Research goal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Разработка и обоснование проектных решений для хладоцентра ЦОД, обеспечивающих минимизацию энергопотребления за счёт применения современных гибридных схем охлаждения и технологий фрикулинга, адаптированных к климатическим условиям Санкт-Петербурга. The goal is to develop and justify design solutions for a data-centre cold-supply centre that minimise energy consumption through modern hybrid cooling schemes and free-cooling technologies adapted to the climate of St. Petersburg.</w:t>
      </w:r>
    </w:p>
    <w:p w14:paraId="1A099819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Задачи, решаемые в ВКР / Research tasks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1. Выполнить анализ современных технологий и схем холодоснабжения ЦОД, включая жидкостное и гибридное охлаждение. 2. Исследовать влияние климатических параметров и режимов работы ИТ-оборудования на эффективность различных схем хладоцентров. 3. Разработать методику расчёта и подбора оборудования хладоцентра с учётом динамики тепловых нагрузок. 4. Оценить технико-экономическую эффективность предлагаемых решений на примере конкретного объекта.</w:t>
      </w:r>
    </w:p>
    <w:p w14:paraId="15902858">
      <w:pPr>
        <w:ind w:left="0" w:leftChars="0" w:firstLine="709" w:firstLineChars="0"/>
        <w:rPr>
          <w:sz w:val="24"/>
        </w:rPr>
      </w:pPr>
      <w:r>
        <w:rPr>
          <w:sz w:val="24"/>
        </w:rPr>
        <w:t>Краткая характеристика полученных результатов / Short summary of results/findings Выполнено сопоставление трёх схем хладоцентра ЦОД (традиционная фреоновая, гибридная с фрикулингом, гибридная с тепловым аккумулятором холода) для объекта мощностью 1 МВт ИТ-нагрузки в Санкт-Петербурге. Показано, что гибридная схема со свободным охлаждением обеспечивает PUE = 1,310, экономию электроэнергии около 43,5 % и простой срок окупаемости дополнительных капитальных вложений порядка 1,11 года (дисконтированный при r = 17 % — 1,35 года). Разработана методика расчёта помесячного энергопотребления и часов фрикулинга на основе климатических данных СП 131.13330.2020 [3]. Сформированы рекомендации по выбору температурных уставок, составу и резервированию оборудования (N+1), интеграции буфера холода для повышения надёжности системы.</w:t>
      </w:r>
    </w:p>
    <w:p w14:paraId="2D1388F6">
      <w:pPr>
        <w:rPr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Наименование источников / References:</w:t>
      </w:r>
      <w:r>
        <w:rPr>
          <w:sz w:val="24"/>
          <w:szCs w:val="24"/>
        </w:rPr>
        <w:t xml:space="preserve"> использовано 35 источников (6 нормативных документов РФ и 29 зарубежных научных статей, стандартов ASHRAE/AHRI/ISO/IEC и технических каталогов; распределение по годам: 71 % — 2020–2025 гг., 26 % — 2014–2019 гг., 3 % — до 2014 г.). 35 sources.</w:t>
      </w:r>
    </w:p>
    <w:p w14:paraId="04C4E852">
      <w:pPr>
        <w:rPr>
          <w:sz w:val="24"/>
          <w:szCs w:val="24"/>
        </w:rPr>
      </w:pPr>
      <w:r>
        <w:rPr>
          <w:sz w:val="24"/>
          <w:szCs w:val="24"/>
        </w:rPr>
        <w:t>Использование прикладных пакетов / Software used: Python 3.11 (NumPy, SciPy, pandas, matplotlib) — помесячные расчёты, часы фрикулинга, NPV; Microsoft Excel 365 — CAPEX/OPEX. Publications: none. Grants: none.</w:t>
      </w:r>
    </w:p>
    <w:p w14:paraId="44575E0D">
      <w:pPr>
        <w:rPr>
          <w:sz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851" w:bottom="1134" w:left="1701" w:header="720" w:footer="720" w:gutter="0"/>
          <w:cols w:space="708" w:num="1"/>
          <w:titlePg/>
          <w:docGrid w:linePitch="360" w:charSpace="0"/>
        </w:sectPr>
      </w:pPr>
      <w:r>
        <w:rPr>
          <w:sz w:val="24"/>
          <w:szCs w:val="24"/>
        </w:rPr>
        <w:t>Уточнение результатов / Clarification: «экономия 43,5 %» относится к электропотреблению системы охлаждения (PUE 1,494 → 1,310); полное электропотребление ЦОД снижается на 12,3 %. Срок окупаемости 1,11 года (дисконтированный 1,35 года) — это окупаемость дополнительных капитальных вложений 13,70 млн руб. (Схема 2 относительно Схемы 1).</w:t>
      </w:r>
    </w:p>
    <w:p w14:paraId="336F8012">
      <w:pPr>
        <w:pStyle w:val="12"/>
        <w:tabs>
          <w:tab w:val="right" w:leader="dot" w:pos="9638"/>
        </w:tabs>
        <w:spacing w:before="0" w:after="60" w:line="360" w:lineRule="auto"/>
        <w:ind w:firstLine="0"/>
        <w:jc w:val="left"/>
        <w:rPr>
          <w:rFonts w:cs="Times New Roman"/>
          <w:szCs w:val="28"/>
        </w:rPr>
      </w:pPr>
    </w:p>
    <w:p w14:paraId="28AD377E">
      <w:pPr>
        <w:pStyle w:val="2"/>
        <w:jc w:val="center"/>
      </w:pPr>
      <w:bookmarkStart w:id="0" w:name="_Toc346768156"/>
      <w:r>
        <w:t>СОДЕРЖАНИЕ</w:t>
      </w:r>
      <w:bookmarkEnd w:id="0"/>
    </w:p>
    <w:p w14:paraId="33372521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TOC \o "1-3" \h \z \u </w:instrText>
      </w:r>
      <w:r>
        <w:fldChar w:fldCharType="separate"/>
      </w:r>
      <w:r>
        <w:fldChar w:fldCharType="begin"/>
      </w:r>
      <w:r>
        <w:instrText xml:space="preserve"> HYPERLINK \l _Toc346768156 </w:instrText>
      </w:r>
      <w:r>
        <w:fldChar w:fldCharType="separate"/>
      </w:r>
      <w:r>
        <w:t>СОДЕРЖАНИЕ</w:t>
      </w:r>
      <w:r>
        <w:tab/>
      </w:r>
      <w:r>
        <w:fldChar w:fldCharType="begin"/>
      </w:r>
      <w:r>
        <w:instrText xml:space="preserve"> PAGEREF _Toc346768156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1C270B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_Toc2009263581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СПИСОК СОКРАЩЕНИЙ И УСЛОВНЫХ ОБОЗНАЧЕНИЙ</w:t>
      </w:r>
      <w:r>
        <w:tab/>
      </w:r>
      <w:r>
        <w:fldChar w:fldCharType="begin"/>
      </w:r>
      <w:r>
        <w:instrText xml:space="preserve"> PAGEREF _Toc2009263581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492C83B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_Toc512656792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ВВЕДЕНИЕ</w:t>
      </w:r>
      <w:r>
        <w:tab/>
      </w:r>
      <w:r>
        <w:fldChar w:fldCharType="begin"/>
      </w:r>
      <w:r>
        <w:instrText xml:space="preserve"> PAGEREF _Toc512656792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8B95EF7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_Toc518311380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ГЛАВА 1 АНАЛИЗ СОВРЕМЕННЫХ ПОДХОДОВ К ПРОЕКТИРОВАНИЮ СИСТЕМ ХОЛОДОСНАБЖЕНИЯ ЦОД</w:t>
      </w:r>
      <w:r>
        <w:tab/>
      </w:r>
      <w:r>
        <w:fldChar w:fldCharType="begin"/>
      </w:r>
      <w:r>
        <w:instrText xml:space="preserve"> PAGEREF _Toc518311380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F393AE9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_Toc1065691428 </w:instrText>
      </w:r>
      <w:r>
        <w:fldChar w:fldCharType="separate"/>
      </w:r>
      <w:r>
        <w:t>1.1 Тенденции развития систем охлаждения и проблемы энергопотребления</w:t>
      </w:r>
      <w:r>
        <w:tab/>
      </w:r>
      <w:r>
        <w:fldChar w:fldCharType="begin"/>
      </w:r>
      <w:r>
        <w:instrText xml:space="preserve"> PAGEREF _Toc1065691428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932839E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_Toc1062214416 </w:instrText>
      </w:r>
      <w:r>
        <w:fldChar w:fldCharType="separate"/>
      </w:r>
      <w:r>
        <w:t>1.2 Гибридные и жидкостные системы охлаждения</w:t>
      </w:r>
      <w:r>
        <w:tab/>
      </w:r>
      <w:r>
        <w:fldChar w:fldCharType="begin"/>
      </w:r>
      <w:r>
        <w:instrText xml:space="preserve"> PAGEREF _Toc1062214416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76322E2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_Toc606132201 </w:instrText>
      </w:r>
      <w:r>
        <w:fldChar w:fldCharType="separate"/>
      </w:r>
      <w:r>
        <w:t>1.3 Оптимизация режимов фрикулинга (Free Cooling)</w:t>
      </w:r>
      <w:r>
        <w:tab/>
      </w:r>
      <w:r>
        <w:fldChar w:fldCharType="begin"/>
      </w:r>
      <w:r>
        <w:instrText xml:space="preserve"> PAGEREF _Toc606132201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67CD872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_Toc1748964486 </w:instrText>
      </w:r>
      <w:r>
        <w:fldChar w:fldCharType="separate"/>
      </w:r>
      <w:r>
        <w:t>1.4 Интеграция аккумуляторов холода и предиктивное управление (MPC)</w:t>
      </w:r>
      <w:r>
        <w:tab/>
      </w:r>
      <w:r>
        <w:fldChar w:fldCharType="begin"/>
      </w:r>
      <w:r>
        <w:instrText xml:space="preserve"> PAGEREF _Toc1748964486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DF4B654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_Toc89956066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ГЛАВА 2 ИССЛЕДОВАНИЕ ВЛИЯНИЯ КЛИМАТИЧЕСКИХ ПАРАМЕТРОВ И РЕЖИМОВ РАБОТЫ ИТ-ОБОРУДОВАНИЯ НА ЭФФЕКТИВНОСТЬ РАЗЛИЧНЫХ СХЕМ ХЛАДОЦЕНТРОВ</w:t>
      </w:r>
      <w:r>
        <w:tab/>
      </w:r>
      <w:r>
        <w:fldChar w:fldCharType="begin"/>
      </w:r>
      <w:r>
        <w:instrText xml:space="preserve"> PAGEREF _Toc89956066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366474D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_Toc63113774 </w:instrText>
      </w:r>
      <w:r>
        <w:fldChar w:fldCharType="separate"/>
      </w:r>
      <w:r>
        <w:t>2.1 Расчет тепловой нагрузки и режимов работы ИТ-оборудования</w:t>
      </w:r>
      <w:r>
        <w:tab/>
      </w:r>
      <w:r>
        <w:fldChar w:fldCharType="begin"/>
      </w:r>
      <w:r>
        <w:instrText xml:space="preserve"> PAGEREF _Toc63113774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3F31D70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_Toc2043761647 </w:instrText>
      </w:r>
      <w:r>
        <w:fldChar w:fldCharType="separate"/>
      </w:r>
      <w:r>
        <w:t>2.2 Влияние климатических параметров: температура, влажность и энтальпия наружного воздуха</w:t>
      </w:r>
      <w:r>
        <w:tab/>
      </w:r>
      <w:r>
        <w:fldChar w:fldCharType="begin"/>
      </w:r>
      <w:r>
        <w:instrText xml:space="preserve"> PAGEREF _Toc2043761647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880AE48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_Toc501067364 </w:instrText>
      </w:r>
      <w:r>
        <w:fldChar w:fldCharType="separate"/>
      </w:r>
      <w:r>
        <w:t>2.3 Энергетические модели оборудования хладоцентра и влияние частичных нагрузок</w:t>
      </w:r>
      <w:r>
        <w:tab/>
      </w:r>
      <w:r>
        <w:fldChar w:fldCharType="begin"/>
      </w:r>
      <w:r>
        <w:instrText xml:space="preserve"> PAGEREF _Toc501067364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3A984D6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_Toc1155806861 </w:instrText>
      </w:r>
      <w:r>
        <w:fldChar w:fldCharType="separate"/>
      </w:r>
      <w:r>
        <w:t>2.4 Сопоставление схем охлаждения по метрикам энергоэффективности и примеры с реальных объектов</w:t>
      </w:r>
      <w:r>
        <w:tab/>
      </w:r>
      <w:r>
        <w:fldChar w:fldCharType="begin"/>
      </w:r>
      <w:r>
        <w:instrText xml:space="preserve"> PAGEREF _Toc1155806861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7E25F1E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_Toc1656325712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ГЛАВА 3 МЕТОДИКА РАСЧЁТА ХЛАДОЦЕНТРА И ПОДБОР ОБОРУДОВАНИЯ</w:t>
      </w:r>
      <w:r>
        <w:tab/>
      </w:r>
      <w:r>
        <w:fldChar w:fldCharType="begin"/>
      </w:r>
      <w:r>
        <w:instrText xml:space="preserve"> PAGEREF _Toc1656325712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4C771D00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_Toc35725523 </w:instrText>
      </w:r>
      <w:r>
        <w:fldChar w:fldCharType="separate"/>
      </w:r>
      <w:r>
        <w:t>3.1 Общие положения методики</w:t>
      </w:r>
      <w:r>
        <w:tab/>
      </w:r>
      <w:r>
        <w:fldChar w:fldCharType="begin"/>
      </w:r>
      <w:r>
        <w:instrText xml:space="preserve"> PAGEREF _Toc35725523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39477775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_Toc1290927548 </w:instrText>
      </w:r>
      <w:r>
        <w:fldChar w:fldCharType="separate"/>
      </w:r>
      <w:r>
        <w:t>3.2 Исходные данные и расчёт тепловой нагрузки</w:t>
      </w:r>
      <w:r>
        <w:tab/>
      </w:r>
      <w:r>
        <w:fldChar w:fldCharType="begin"/>
      </w:r>
      <w:r>
        <w:instrText xml:space="preserve"> PAGEREF _Toc1290927548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2CC2E692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_Toc592013595 </w:instrText>
      </w:r>
      <w:r>
        <w:fldChar w:fldCharType="separate"/>
      </w:r>
      <w:r>
        <w:t>3.2.1 Описание условного объекта проектирования</w:t>
      </w:r>
      <w:r>
        <w:tab/>
      </w:r>
      <w:r>
        <w:fldChar w:fldCharType="begin"/>
      </w:r>
      <w:r>
        <w:instrText xml:space="preserve"> PAGEREF _Toc592013595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6B0420A7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_Toc680754614 </w:instrText>
      </w:r>
      <w:r>
        <w:fldChar w:fldCharType="separate"/>
      </w:r>
      <w:r>
        <w:t>3.2.2 Климатические данные Санкт-Петербурга</w:t>
      </w:r>
      <w:r>
        <w:tab/>
      </w:r>
      <w:r>
        <w:fldChar w:fldCharType="begin"/>
      </w:r>
      <w:r>
        <w:instrText xml:space="preserve"> PAGEREF _Toc680754614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1673C095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_Toc1797409929 </w:instrText>
      </w:r>
      <w:r>
        <w:fldChar w:fldCharType="separate"/>
      </w:r>
      <w:r>
        <w:t>3.2.3 Расчёт теплопоступлений в машинный зал</w:t>
      </w:r>
      <w:r>
        <w:tab/>
      </w:r>
      <w:r>
        <w:fldChar w:fldCharType="begin"/>
      </w:r>
      <w:r>
        <w:instrText xml:space="preserve"> PAGEREF _Toc1797409929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369062F4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_Toc416214354 </w:instrText>
      </w:r>
      <w:r>
        <w:fldChar w:fldCharType="separate"/>
      </w:r>
      <w:r>
        <w:t>3.2.4 Требуемая холодопроизводительность системы охлаждения</w:t>
      </w:r>
      <w:r>
        <w:tab/>
      </w:r>
      <w:r>
        <w:fldChar w:fldCharType="begin"/>
      </w:r>
      <w:r>
        <w:instrText xml:space="preserve"> PAGEREF _Toc416214354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42D99560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_Toc960409399 </w:instrText>
      </w:r>
      <w:r>
        <w:fldChar w:fldCharType="separate"/>
      </w:r>
      <w:r>
        <w:t>3.2.5 Сезонное изменение тепловой нагрузки</w:t>
      </w:r>
      <w:r>
        <w:tab/>
      </w:r>
      <w:r>
        <w:fldChar w:fldCharType="begin"/>
      </w:r>
      <w:r>
        <w:instrText xml:space="preserve"> PAGEREF _Toc960409399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3B5BDC74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_Toc1113678141 </w:instrText>
      </w:r>
      <w:r>
        <w:fldChar w:fldCharType="separate"/>
      </w:r>
      <w:r>
        <w:t>3.3 Подбор основного оборудования хладоцентра</w:t>
      </w:r>
      <w:r>
        <w:tab/>
      </w:r>
      <w:r>
        <w:fldChar w:fldCharType="begin"/>
      </w:r>
      <w:r>
        <w:instrText xml:space="preserve"> PAGEREF _Toc1113678141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163D301B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_Toc121048535 </w:instrText>
      </w:r>
      <w:r>
        <w:fldChar w:fldCharType="separate"/>
      </w:r>
      <w:r>
        <w:t>3.3.1 Обоснование выбора трёх сравниваемых схем</w:t>
      </w:r>
      <w:r>
        <w:tab/>
      </w:r>
      <w:r>
        <w:fldChar w:fldCharType="begin"/>
      </w:r>
      <w:r>
        <w:instrText xml:space="preserve"> PAGEREF _Toc121048535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072D68BB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_Toc795714036 </w:instrText>
      </w:r>
      <w:r>
        <w:fldChar w:fldCharType="separate"/>
      </w:r>
      <w:r>
        <w:t>3.3.2 Схема 1: Чиллер с воздушным конденсатором (базовый вариант)</w:t>
      </w:r>
      <w:r>
        <w:tab/>
      </w:r>
      <w:r>
        <w:fldChar w:fldCharType="begin"/>
      </w:r>
      <w:r>
        <w:instrText xml:space="preserve"> PAGEREF _Toc795714036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4DFF192B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_Toc8223380953 </w:instrText>
      </w:r>
      <w:r>
        <w:fldChar w:fldCharType="separate"/>
      </w:r>
      <w:r>
        <w:t>3.3.3 Двухконтурная схема с чиллером и драйкулером в режиме фрикулинга</w:t>
      </w:r>
      <w:r>
        <w:tab/>
      </w:r>
      <w:r>
        <w:fldChar w:fldCharType="begin"/>
      </w:r>
      <w:r>
        <w:instrText xml:space="preserve"> PAGEREF _Toc8223380953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4C2848B7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_Toc7531887052 </w:instrText>
      </w:r>
      <w:r>
        <w:fldChar w:fldCharType="separate"/>
      </w:r>
      <w:r>
        <w:t>3.3.4 Гибридная схема с чиллером, драйкулерным фрикулингом и баком-аккумулятором холода</w:t>
      </w:r>
      <w:r>
        <w:tab/>
      </w:r>
      <w:r>
        <w:fldChar w:fldCharType="begin"/>
      </w:r>
      <w:r>
        <w:instrText xml:space="preserve"> PAGEREF _Toc7531887052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4E750109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_Toc1174437908 </w:instrText>
      </w:r>
      <w:r>
        <w:fldChar w:fldCharType="separate"/>
      </w:r>
      <w:r>
        <w:t>3.3.5 Сводная спецификация оборудования</w:t>
      </w:r>
      <w:r>
        <w:tab/>
      </w:r>
      <w:r>
        <w:fldChar w:fldCharType="begin"/>
      </w:r>
      <w:r>
        <w:instrText xml:space="preserve"> PAGEREF _Toc1174437908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08DA9E63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_Toc1255720179 </w:instrText>
      </w:r>
      <w:r>
        <w:fldChar w:fldCharType="separate"/>
      </w:r>
      <w:r>
        <w:t>3.3.6 График зависимости часов фрикулинга от MCT</w:t>
      </w:r>
      <w:r>
        <w:tab/>
      </w:r>
      <w:r>
        <w:fldChar w:fldCharType="begin"/>
      </w:r>
      <w:r>
        <w:instrText xml:space="preserve"> PAGEREF _Toc1255720179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749A28F5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_Toc1567249384 </w:instrText>
      </w:r>
      <w:r>
        <w:fldChar w:fldCharType="separate"/>
      </w:r>
      <w:r>
        <w:t>3.4 Сравнительный анализ по энергоэффективности</w:t>
      </w:r>
      <w:r>
        <w:tab/>
      </w:r>
      <w:r>
        <w:fldChar w:fldCharType="begin"/>
      </w:r>
      <w:r>
        <w:instrText xml:space="preserve"> PAGEREF _Toc1567249384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07812B1F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_Toc1873466433 </w:instrText>
      </w:r>
      <w:r>
        <w:fldChar w:fldCharType="separate"/>
      </w:r>
      <w:r>
        <w:t>3.4.1 Методика сравнения</w:t>
      </w:r>
      <w:r>
        <w:tab/>
      </w:r>
      <w:r>
        <w:fldChar w:fldCharType="begin"/>
      </w:r>
      <w:r>
        <w:instrText xml:space="preserve"> PAGEREF _Toc1873466433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0CEADABE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_Toc945107117 </w:instrText>
      </w:r>
      <w:r>
        <w:fldChar w:fldCharType="separate"/>
      </w:r>
      <w:r>
        <w:t>3.4.2 Годовое энергопотребление</w:t>
      </w:r>
      <w:r>
        <w:tab/>
      </w:r>
      <w:r>
        <w:fldChar w:fldCharType="begin"/>
      </w:r>
      <w:r>
        <w:instrText xml:space="preserve"> PAGEREF _Toc945107117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6DA3D845">
      <w:pPr>
        <w:pStyle w:val="14"/>
        <w:tabs>
          <w:tab w:val="right" w:leader="dot" w:pos="9638"/>
        </w:tabs>
      </w:pPr>
      <w:r>
        <w:fldChar w:fldCharType="begin"/>
      </w:r>
      <w:r>
        <w:instrText xml:space="preserve"> HYPERLINK \l _Toc1626262207 </w:instrText>
      </w:r>
      <w:r>
        <w:fldChar w:fldCharType="separate"/>
      </w:r>
      <w:r>
        <w:t>3.4.3 Анализ PUE</w:t>
      </w:r>
      <w:r>
        <w:tab/>
      </w:r>
      <w:r>
        <w:fldChar w:fldCharType="begin"/>
      </w:r>
      <w:r>
        <w:instrText xml:space="preserve"> PAGEREF _Toc1626262207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32A4E3BF">
      <w:pPr>
        <w:pStyle w:val="13"/>
        <w:tabs>
          <w:tab w:val="right" w:leader="dot" w:pos="9638"/>
        </w:tabs>
      </w:pPr>
      <w:r>
        <w:fldChar w:fldCharType="begin"/>
      </w:r>
      <w:r>
        <w:instrText xml:space="preserve"> HYPERLINK \l _Toc1564537680 </w:instrText>
      </w:r>
      <w:r>
        <w:fldChar w:fldCharType="separate"/>
      </w:r>
      <w:r>
        <w:t>3.5 Расчёт аварийного режима N+1</w:t>
      </w:r>
      <w:r>
        <w:tab/>
      </w:r>
      <w:r>
        <w:fldChar w:fldCharType="begin"/>
      </w:r>
      <w:r>
        <w:instrText xml:space="preserve"> PAGEREF _Toc1564537680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12D68155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_Toc1395013892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ГЛАВА 4 ТЕХНИКО-ЭКОНОМИЧЕСКОЕ ОБОСНОВАНИЕ ПРОЕКТНЫХ РЕШЕНИЙ</w:t>
      </w:r>
      <w:r>
        <w:tab/>
      </w:r>
      <w:r>
        <w:fldChar w:fldCharType="begin"/>
      </w:r>
      <w:r>
        <w:instrText xml:space="preserve"> PAGEREF _Toc1395013892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7328AEC1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_Toc1523026405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ЗАКЛЮЧЕНИЕ</w:t>
      </w:r>
      <w:r>
        <w:tab/>
      </w:r>
      <w:r>
        <w:fldChar w:fldCharType="begin"/>
      </w:r>
      <w:r>
        <w:instrText xml:space="preserve"> PAGEREF _Toc1523026405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5C6EB297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_Toc1647200242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_Toc1647200242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485B942F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_Toc1282773817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ПРИЛОЖЕНИЕ А Спецификации оборудования хладоцентра</w:t>
      </w:r>
      <w:r>
        <w:tab/>
      </w:r>
      <w:r>
        <w:fldChar w:fldCharType="begin"/>
      </w:r>
      <w:r>
        <w:instrText xml:space="preserve"> PAGEREF _Toc1282773817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081E0629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_Toc991210086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ПРИЛОЖЕНИЕ Б Климатические данные Санкт-Петербурга</w:t>
      </w:r>
      <w:r>
        <w:tab/>
      </w:r>
      <w:r>
        <w:fldChar w:fldCharType="begin"/>
      </w:r>
      <w:r>
        <w:instrText xml:space="preserve"> PAGEREF _Toc991210086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3346748E">
      <w:pPr>
        <w:pStyle w:val="12"/>
        <w:tabs>
          <w:tab w:val="right" w:leader="dot" w:pos="9638"/>
        </w:tabs>
      </w:pPr>
      <w:r>
        <w:fldChar w:fldCharType="begin"/>
      </w:r>
      <w:r>
        <w:instrText xml:space="preserve"> HYPERLINK \l _Toc1237265623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ПРИЛОЖЕНИЕ В Помесячный энергобаланс системы охлаждения</w:t>
      </w:r>
      <w:r>
        <w:tab/>
      </w:r>
      <w:r>
        <w:fldChar w:fldCharType="begin"/>
      </w:r>
      <w:r>
        <w:instrText xml:space="preserve"> PAGEREF _Toc1237265623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4E03D95C">
      <w:r>
        <w:fldChar w:fldCharType="end"/>
      </w:r>
      <w:r>
        <w:br w:type="page"/>
      </w:r>
    </w:p>
    <w:p w14:paraId="67301E0F">
      <w:pPr>
        <w:pStyle w:val="2"/>
        <w:keepNext/>
        <w:keepLines w:val="0"/>
        <w:pageBreakBefore/>
        <w:widowControl/>
        <w:spacing w:before="0" w:after="0" w:line="360" w:lineRule="auto"/>
        <w:ind w:firstLine="0"/>
        <w:jc w:val="center"/>
      </w:pPr>
      <w:bookmarkStart w:id="1" w:name="_Toc52222421"/>
      <w:bookmarkStart w:id="2" w:name="_Toc2009263581"/>
      <w:r>
        <w:rPr>
          <w:rFonts w:ascii="Times New Roman" w:hAnsi="Times New Roman" w:eastAsia="Times New Roman" w:cs="Times New Roman"/>
          <w:b/>
          <w:color w:val="000000"/>
          <w:sz w:val="28"/>
        </w:rPr>
        <w:t>СПИСОК СОКРАЩЕНИЙ И УСЛОВНЫХ ОБОЗНАЧЕНИЙ</w:t>
      </w:r>
      <w:bookmarkEnd w:id="1"/>
      <w:bookmarkEnd w:id="2"/>
    </w:p>
    <w:p w14:paraId="52BF17A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ИТ – Информационные технологии</w:t>
      </w:r>
    </w:p>
    <w:p w14:paraId="45B382F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ЦОД – Центр обработки данных</w:t>
      </w:r>
    </w:p>
    <w:p w14:paraId="6C7EB96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CM (Conventional Mode) – Традиционный (конвенциональный) режим работы системы охлаждения</w:t>
      </w:r>
    </w:p>
    <w:p w14:paraId="49B8BB5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CPU (Central Processing Unit) – Центральный процессор</w:t>
      </w:r>
    </w:p>
    <w:p w14:paraId="0910275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CRAC (Computer Room Air Conditioner) – Прецизионный кондиционер (шкафной) с непосредственным кипением хладагента (фреоновый)</w:t>
      </w:r>
    </w:p>
    <w:p w14:paraId="375E684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CRAH (Computer Room Air Handler) – Прецизионный кондиционер (шкафной) с водяным охлаждением</w:t>
      </w:r>
    </w:p>
    <w:p w14:paraId="1A8E764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HALC (Hybrid Air and Liquid Cooling) – Гибридная система воздушно-жидкостного охлаждения</w:t>
      </w:r>
    </w:p>
    <w:p w14:paraId="3C15CC5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HM (High-temperature Mode) – Высокотемпературный режим работы системы охлаждения</w:t>
      </w:r>
    </w:p>
    <w:p w14:paraId="1CED96D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HPC (High-Performance Computing) – Высокопроизводительные вычисления</w:t>
      </w:r>
    </w:p>
    <w:p w14:paraId="0FFFF99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LM (Low-temperature Mode) – Низкотемпературный режим работы системы охлаждения</w:t>
      </w:r>
    </w:p>
    <w:p w14:paraId="1E25D55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MCT (Mode Change Temperature) – Пороговая температура переключения режимов (между фрикулингом и механическим охлаждением)</w:t>
      </w:r>
    </w:p>
    <w:p w14:paraId="79AD6AB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MPC (Model Predictive Control) – Предиктивное управление на основе моделей (алгоритм управления с прогнозированием)</w:t>
      </w:r>
    </w:p>
    <w:p w14:paraId="66A5F8C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PUE (Power Usage Effectiveness) – Коэффициент эффективности использования энергии (отношение всей энергии ЦОД к энергии ИТ-оборудования)</w:t>
      </w:r>
    </w:p>
    <w:p w14:paraId="328B759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SiC (Silicon Carbide) – Карбид кремния (материал наночастиц)</w:t>
      </w:r>
    </w:p>
    <w:p w14:paraId="78FB598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Tier – Уровень надежности инфраструктуры ЦОД (согласно классификации Uptime Institute [1])</w:t>
      </w:r>
    </w:p>
    <w:p w14:paraId="6A49DED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ПНР — пусконаладочные работы</w:t>
      </w:r>
    </w:p>
    <w:p w14:paraId="22F553A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ПТО — пластинчатый теплообменник</w:t>
      </w:r>
    </w:p>
    <w:p w14:paraId="5470AB9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ТАХ — тепловой аккумулятор холода</w:t>
      </w:r>
    </w:p>
    <w:p w14:paraId="660555D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ТЭО — технико-экономическое обоснование</w:t>
      </w:r>
    </w:p>
    <w:p w14:paraId="465EFC6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AHRI — Air-Conditioning, Heating, and Refrigeration Institute</w:t>
      </w:r>
    </w:p>
    <w:p w14:paraId="3AC8DCB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CAPEX — Capital Expenditures (капитальные затраты)</w:t>
      </w:r>
    </w:p>
    <w:p w14:paraId="12CBAFC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COP — Coefficient of Performance (холодильный коэффициент)</w:t>
      </w:r>
    </w:p>
    <w:p w14:paraId="55C4EB0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D2C — Direct-to-Chip (прямое жидкостное охлаждение чипа)</w:t>
      </w:r>
    </w:p>
    <w:p w14:paraId="5B9212F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DLC — Direct Liquid Cooling (прямое жидкостное охлаждение)</w:t>
      </w:r>
    </w:p>
    <w:p w14:paraId="14178EF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EER — Energy Efficiency Ratio (коэффициент энергетической эффективности)</w:t>
      </w:r>
    </w:p>
    <w:p w14:paraId="4F973EA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IPLV — Integrated Part Load Value (интегральный коэффициент частичных нагрузок)</w:t>
      </w:r>
    </w:p>
    <w:p w14:paraId="2E7CC41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NPV — Net Present Value (чистая приведённая стоимость)</w:t>
      </w:r>
    </w:p>
    <w:p w14:paraId="1709D08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OPEX — Operational Expenditures (эксплуатационные затраты)</w:t>
      </w:r>
    </w:p>
    <w:p w14:paraId="6E81062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PLR — Part Load Ratio (коэффициент частичной нагрузки)</w:t>
      </w:r>
    </w:p>
    <w:p w14:paraId="717B2F5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RDHx — Rear Door Heat Exchanger (теплообменник задней двери стойки)</w:t>
      </w:r>
    </w:p>
    <w:p w14:paraId="0D63579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WUE — Water Usage Effectiveness (коэффициент эффективности водопотребления)</w:t>
      </w:r>
    </w:p>
    <w:p w14:paraId="54401630">
      <w:pPr>
        <w:pStyle w:val="2"/>
        <w:keepNext/>
        <w:keepLines w:val="0"/>
        <w:pageBreakBefore/>
        <w:widowControl/>
        <w:spacing w:before="0" w:after="0" w:line="360" w:lineRule="auto"/>
        <w:ind w:firstLine="0"/>
        <w:jc w:val="center"/>
      </w:pPr>
      <w:bookmarkStart w:id="3" w:name="_Toc512656792"/>
      <w:bookmarkStart w:id="4" w:name="_Toc1528901771"/>
      <w:bookmarkStart w:id="5" w:name="введение"/>
      <w:r>
        <w:rPr>
          <w:rFonts w:ascii="Times New Roman" w:hAnsi="Times New Roman" w:eastAsia="Times New Roman" w:cs="Times New Roman"/>
          <w:b/>
          <w:color w:val="000000"/>
          <w:sz w:val="28"/>
        </w:rPr>
        <w:t>ВВЕДЕНИЕ</w:t>
      </w:r>
      <w:bookmarkEnd w:id="3"/>
      <w:bookmarkEnd w:id="4"/>
    </w:p>
    <w:bookmarkEnd w:id="5"/>
    <w:p w14:paraId="15B8D77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Центры обработки данных образуют опорную часть цифровой инфраструктуры, и именно система холодоснабжения во многом определяет их энергетическую эффективность и эксплуатационную надёжность [1, 2, 3, 4]. С ростом вычислительных мощностей, плотности размещения серверов и тарифной нагрузки выбор схемы охлаждения превратился из второстепенной инженерной задачи в один из центральных проектных вопросов для коммерческих ЦОД [5].</w:t>
      </w:r>
    </w:p>
    <w:p w14:paraId="6734470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По фрикулингу, жидкостному и гибридному охлаждению ЦОД накоплен значительный массив исследований. Однако для практики не хватает методики, которая в одном расчётном контуре связывала бы нормативные требования, климат конкретного региона и технико-экономическое сравнение нескольких схем хладоцентра на одном объекте [2, 6, 7, 8, 9, 10, 11].</w:t>
      </w:r>
    </w:p>
    <w:p w14:paraId="43AC04A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Работа направлена на разработку и обоснование проектных решений для хладоцентра ЦОД, снижающих энергопотребление за счёт гибридных схем охлаждения и фрикулинга, адаптированных к климату района строительства и действующим требованиям [12, 13, 14].</w:t>
      </w:r>
    </w:p>
    <w:p w14:paraId="7CE8EEC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достижения цели в работе последовательно решаются следующие задачи:</w:t>
      </w:r>
    </w:p>
    <w:p w14:paraId="209969B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1. Выполнить анализ современных технологий и схем холодоснабжения ЦОД, включая жидкостное и гибридное охлаждение.</w:t>
      </w:r>
    </w:p>
    <w:p w14:paraId="157AC5D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2. Исследовать влияние климатических параметров и режимов работы ИТ-оборудования на эффективность различных схем хладоцентров.</w:t>
      </w:r>
    </w:p>
    <w:p w14:paraId="5FCACBE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Разработать методику расчёта и подбора оборудования хладоцентра с учётом динамики тепловых нагрузок.</w:t>
      </w:r>
    </w:p>
    <w:p w14:paraId="1B291F5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4. Оценить технико-экономическую эффективность предлагаемых решений на конкретном объекте.</w:t>
      </w:r>
    </w:p>
    <w:p w14:paraId="09D8966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Объект исследования — система холодоснабжения центра обработки данных; предмет исследования — процессы теплообмена, энергетическая эффективность и режимы работы оборудования. Использованы сравнительный анализ, теплотехнический и энергетический расчёт, метод температурных бинов и инструменты технико-экономического сопоставления. Нормативной базой служат СП 131.13330.2020 [3], СП 60.13330.2020, рекомендации ASHRAE TC 9.9 [4] и ISO/IEC 30134-2.</w:t>
      </w:r>
    </w:p>
    <w:p w14:paraId="103D957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Новизна работы проявляется в нескольких положениях:</w:t>
      </w:r>
    </w:p>
    <w:p w14:paraId="46B7594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Новизна работы проявляется в трёх положениях. Во-первых, для климатических условий Санкт-Петербурга на основе метода температурных бинов по СП 131.13330.2020 [3] и модели нормального распределения среднесуточных температур (σ = 4 °C) построена биквадратичная зависимость COP(PLR, T_нар) чиллера. Получена сезонная сводная оценка COP_с = 3,20, расположенная между IPLV 3,34 и NPLV 4,82 [6]. Во-вторых, предложена маржинальная схема технико-экономического сопоставления Схемы 3 (с тепловым аккумулятором холода) и Схемы 2 по дисконтированной разнице CAPEX и дополнительному энергосбережению в переходные месяцы; для объекта 1 МВт в Санкт-Петербурге вариант с ТАХ экономически проигрывает (NPV_3 – NPV_2 = –0,18 млн руб. при r = 17 %). В-третьих, разработана методика увязки предельной температуры хладоносителя MCT с гидравликой пластинчатого теплообменника (ΔT_мин = 2 К, принцип N+1), позволяющая избежать типичной инженерной ошибки, когда MCT задают без учёта разности температур на ПТО [7].</w:t>
      </w:r>
    </w:p>
    <w:p w14:paraId="0A8688D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 теоретической стороны работа упорядочивает подходы к проектированию хладоцентров ЦОД. С практической — привязывает расчёты и рекомендации к коммерческому ЦОД Tier III в Санкт-Петербурге мощностью 1200 кВт ИТ-нагрузки и 200 серверных стоек.</w:t>
      </w:r>
    </w:p>
    <w:p w14:paraId="58437C5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 защиту выносятся следующие положения:</w:t>
      </w:r>
    </w:p>
    <w:p w14:paraId="07971A4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1. Обоснование выбора гибридной схемы хладоцентра с фрикулингом для климатических условий Санкт-Петербурга.</w:t>
      </w:r>
    </w:p>
    <w:p w14:paraId="7E83899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2. Методика расчёта и подбора оборудования хладоцентра на основе метода температурных бинов и сезонной модели COP(PLR, T_нар), учитывающая постоянную расчётную ИТ-нагрузку Q = 965,2 кВт и ограничение по температуре хладоносителя MCT = 10 °C.</w:t>
      </w:r>
    </w:p>
    <w:p w14:paraId="761C9E3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Результаты технико-экономического сопоставления альтернативных схем холодоснабжения по показателям PUE, эксплуатационных затрат и срока окупаемости.</w:t>
      </w:r>
    </w:p>
    <w:p w14:paraId="4DC56C5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Достоверность результатов опирается на действующие нормативные документы, общепринятые расчётные зависимости и актуальные климатические данные; апробация проведена на конкретном расчётном объекте.</w:t>
      </w:r>
    </w:p>
    <w:p w14:paraId="31E1F0D5">
      <w:pPr>
        <w:pStyle w:val="2"/>
        <w:keepNext/>
        <w:keepLines w:val="0"/>
        <w:pageBreakBefore/>
        <w:widowControl/>
        <w:spacing w:before="0" w:after="0" w:line="360" w:lineRule="auto"/>
        <w:ind w:firstLine="709"/>
        <w:jc w:val="both"/>
      </w:pPr>
      <w:bookmarkStart w:id="6" w:name="_Toc1610228842"/>
      <w:bookmarkStart w:id="7" w:name="_Toc518311380"/>
      <w:bookmarkStart w:id="8" w:name="X8c49dab4065584579c237dd673acfede73919da"/>
      <w:r>
        <w:rPr>
          <w:rFonts w:ascii="Times New Roman" w:hAnsi="Times New Roman" w:eastAsia="Times New Roman" w:cs="Times New Roman"/>
          <w:b/>
          <w:color w:val="000000"/>
          <w:sz w:val="28"/>
        </w:rPr>
        <w:t>ГЛАВА 1 АНАЛИЗ СОВРЕМЕННЫХ ПОДХОДОВ К ПРОЕКТИРОВАНИЮ СИСТЕМ ХОЛОДОСНАБЖЕНИЯ ЦОД</w:t>
      </w:r>
      <w:bookmarkEnd w:id="6"/>
      <w:bookmarkEnd w:id="7"/>
    </w:p>
    <w:p w14:paraId="507F6F06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9" w:name="_Toc527228000"/>
      <w:bookmarkEnd w:id="9"/>
      <w:bookmarkStart w:id="10" w:name="_Toc1065691428"/>
      <w:bookmarkStart w:id="11" w:name="X869a96f72047f2984d77b0e0c6bcdefc8c215d4"/>
      <w:r>
        <w:t>1.1 Тенденции развития систем охлаждения и проблемы энергопотребления</w:t>
      </w:r>
      <w:bookmarkEnd w:id="10"/>
    </w:p>
    <w:p w14:paraId="3042471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1.1 показан общий вид машинного зала коммерческого ЦОД.</w:t>
      </w:r>
    </w:p>
    <w:p w14:paraId="0868D35F">
      <w:pPr>
        <w:keepNext/>
        <w:jc w:val="center"/>
      </w:pPr>
      <w:r>
        <w:drawing>
          <wp:inline distT="0" distB="0" distL="114300" distR="114300">
            <wp:extent cx="5039995" cy="3359785"/>
            <wp:effectExtent l="0" t="0" r="14605" b="184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950B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1.1 — Общий вид машинного зала современного коммерческого ЦОД</w:t>
      </w:r>
    </w:p>
    <w:p w14:paraId="3EAD7ED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современных ЦОД характерен устойчивый рост плотности тепловых потоков: рынок постепенно уходит от типичных 3–5 кВт на стойку к конфигурациям 30–50 кВт и выше. При такой нагрузке одного воздушного охлаждения во многих случаях уже недостаточно.</w:t>
      </w:r>
    </w:p>
    <w:p w14:paraId="24C9399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общей оценки энергоэффективности обычно используют PUE. Значительная часть инфраструктурного энергопотребления приходится именно на холодоснабжение, поэтому здесь скрыт основной резерв снижения затрат [8].</w:t>
      </w:r>
    </w:p>
    <w:p w14:paraId="6AA2E98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1.2 показана классификация ЦОД по уровням надёжности Tier.</w:t>
      </w:r>
    </w:p>
    <w:p w14:paraId="1A4A793F">
      <w:pPr>
        <w:keepNext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13120" cy="3320415"/>
            <wp:effectExtent l="0" t="0" r="5080" b="6985"/>
            <wp:docPr id="7" name="Picture 7" descr="Снимок экрана — 2026-04-20 в 03.41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 — 2026-04-20 в 03.41.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9995">
      <w:pPr>
        <w:keepLines/>
        <w:jc w:val="center"/>
      </w:pPr>
      <w:r>
        <w:rPr>
          <w:sz w:val="28"/>
        </w:rPr>
        <w:t>Рисунок 1.2 — Классификация ЦОД по уровням надёжности (Tier Standard, Uptime Institute [1]). Требования к инженерно-техническим системам ЦОД регламентированы в ISO/IEC 22237 [9]</w:t>
      </w:r>
    </w:p>
    <w:p w14:paraId="7090729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международной практике надёжность ЦОД оценивают по классификации Tier; она задаёт требования к резервированию инженерной инфраструктуры и допустимому времени простоя.</w:t>
      </w:r>
    </w:p>
    <w:p w14:paraId="39B23FC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таблице 1.1 приведена классификация ЦОД по уровням надёжности Tier.</w:t>
      </w:r>
    </w:p>
    <w:p w14:paraId="62BCBB23">
      <w:pPr>
        <w:keepNext/>
        <w:keepLines/>
        <w:spacing w:line="360" w:lineRule="auto"/>
        <w:ind w:left="0" w:firstLine="0"/>
        <w:jc w:val="left"/>
      </w:pPr>
      <w:r>
        <w:rPr>
          <w:sz w:val="28"/>
        </w:rPr>
        <w:t>Таблица 1.1 — Классификация ЦОД по уровням надёжности Tier (Uptime Institute [1])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973"/>
        <w:gridCol w:w="1539"/>
        <w:gridCol w:w="1012"/>
        <w:gridCol w:w="2111"/>
        <w:gridCol w:w="1707"/>
      </w:tblGrid>
      <w:tr w14:paraId="19655403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5FE6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Уровень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D1B9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914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Коэффициент готовности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1CA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Допустимый простой в 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321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Резервирование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B76F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Типичные потребители</w:t>
            </w:r>
          </w:p>
        </w:tc>
      </w:tr>
      <w:tr w14:paraId="43C6CA98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A480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Tier 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9B5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Базовая инфраструктура без резервирования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C66C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99,671%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A20F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≤28,8 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0CBD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Нет (N)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65C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Малый бизнес, ведомственные ЦОД</w:t>
            </w:r>
          </w:p>
        </w:tc>
      </w:tr>
      <w:tr w14:paraId="6018C2A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A355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Tier II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85D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Резервированные компоненты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C9DC0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99,741%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FD8E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≤22,0 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93A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N+1 по части систем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492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Корпоративные ЦОД среднего размера</w:t>
            </w:r>
          </w:p>
        </w:tc>
      </w:tr>
      <w:tr w14:paraId="38BA1508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71B7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Tier III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7E0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Параллельное обслуживание без остановки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D33DE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99,982%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8D41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≤1,6 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024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N+1 по всем системам, 2 независимых пути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2BC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Операторы связи, банки, региональные ЦОД</w:t>
            </w:r>
          </w:p>
        </w:tc>
      </w:tr>
      <w:tr w14:paraId="032523FE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7EAE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Tier IV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8A0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Отказоустойчивость (Fault Tolerant)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2840C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99,995%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B92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≤0,4 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969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2N или 2(N+1), изолированные зоны отказа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1AE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Федеральные структуры, крупные облачные провайдеры</w:t>
            </w:r>
          </w:p>
        </w:tc>
      </w:tr>
    </w:tbl>
    <w:p w14:paraId="753BB2E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объектов Tier III–Tier IV система холодоснабжения должна работать с параллельным обслуживанием и отказоустойчивостью: требуются резервные агрегаты, насосные группы и независимые пути распределения холода.</w:t>
      </w:r>
    </w:p>
    <w:p w14:paraId="7ADE324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этом этапе проект заметно усложняется. Закладываются как минимум два независимых контура охлаждения, резервные чиллеры и насосные группы (N+1 или 2N), а также автоматика переключения без потери холодопроизводительности.</w:t>
      </w:r>
    </w:p>
    <w:p w14:paraId="0D3AB9C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1.3 показана организация холодных и горячих коридоров в машинном зале ЦОД. Цифрами на схеме обозначены: 1 — ряд серверных стоек; 2 — холодный коридор (подача охлаждённого воздуха к лицевой стороне стоек); 3 — горячий коридор (отвод нагретого воздуха с тыльной стороны стоек).</w:t>
      </w:r>
    </w:p>
    <w:p w14:paraId="6E596F69">
      <w:pPr>
        <w:keepNext/>
        <w:jc w:val="center"/>
      </w:pPr>
      <w:r>
        <w:drawing>
          <wp:inline distT="0" distB="0" distL="114300" distR="114300">
            <wp:extent cx="4031615" cy="3599180"/>
            <wp:effectExtent l="0" t="0" r="14605" b="215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35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BA8E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1.3 — Организация холодных и горячих коридоров в машинном зале ЦОД</w:t>
      </w:r>
    </w:p>
    <w:p w14:paraId="4D8D178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1.4 показана система изоляции горячего коридора (hot aisle containment).</w:t>
      </w:r>
    </w:p>
    <w:p w14:paraId="0DE27659">
      <w:pPr>
        <w:keepNext/>
        <w:jc w:val="center"/>
      </w:pPr>
      <w:r>
        <w:drawing>
          <wp:inline distT="0" distB="0" distL="114300" distR="114300">
            <wp:extent cx="5039995" cy="3096260"/>
            <wp:effectExtent l="0" t="0" r="1460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FCD2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1.4 — Система изоляции горячего коридора (hot aisle containment)</w:t>
      </w:r>
    </w:p>
    <w:p w14:paraId="4A85AC3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Глобальный и российский рынки ЦОД продолжают расти, и вместе с этим растут требования к мощности на стойку и к общей энергоэффективности объектов. Поэтому при проектировании хладоцентра уже недостаточно ориентироваться только на расчётный пик: учитывают и долгосрочный тренд на рост тепловыделений, и ужесточение требований к PUE [10].</w:t>
      </w:r>
    </w:p>
    <w:p w14:paraId="18CFA1C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1.5 показано распределение PUE коммерческих ЦОД РФ по категориям за 2024–2025 гг.</w:t>
      </w:r>
    </w:p>
    <w:p w14:paraId="702D238C">
      <w:pPr>
        <w:keepNext/>
        <w:jc w:val="center"/>
      </w:pPr>
      <w:r>
        <w:drawing>
          <wp:inline distT="0" distB="0" distL="114300" distR="114300">
            <wp:extent cx="5759450" cy="3907155"/>
            <wp:effectExtent l="0" t="0" r="635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3340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1.5 — Распределение PUE коммерческих ЦОД РФ по категориям, 2024–2025 гг. Пунктиром отмечен бенчмарк ЦОД МТС «Северо-Запад» (СПб), PUE = 1,15</w:t>
      </w:r>
    </w:p>
    <w:p w14:paraId="331D9D4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Отдельно на рынок давит рост ИИ-нагрузок. Высокоплотные GPU-конфигурации формируют такой уровень тепловыделения, при котором традиционная воздушная схема без жидкостных решений или расширенного фрикулинга быстро теряет эффективность.</w:t>
      </w:r>
    </w:p>
    <w:p w14:paraId="58A8D09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Из-за этого требования к системам холодоснабжения смещаются. Чисто воздушная схема не всегда способна снять такие тепловые потоки без вспомогательных жидкостных технологий. По прогнозам Uptime Institute [1], к 2030 году доля стоек с нагрузкой свыше 30 кВт в новых ЦОД превысит 40 % [11]. Поэтому дальнейший анализ альтернативных подходов к охлаждению носит прикладной характер.</w:t>
      </w:r>
    </w:p>
    <w:bookmarkEnd w:id="11"/>
    <w:p w14:paraId="140475B8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12" w:name="_Toc603468478"/>
      <w:bookmarkEnd w:id="12"/>
      <w:bookmarkStart w:id="13" w:name="_Toc1062214416"/>
      <w:bookmarkStart w:id="14" w:name="X378a5b5c645a9eeeb0a3dc3c5a7f8167f6e224b"/>
      <w:r>
        <w:t>1.2 Гибридные и жидкостные системы охлаждения</w:t>
      </w:r>
      <w:bookmarkEnd w:id="13"/>
    </w:p>
    <w:p w14:paraId="38CCD08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отвода тепла от высоконагруженных серверов применяют гибридные воздушно-жидкостные решения; типовая структура такой системы приведена на рисунке 1.6. Обозначения на схеме (англ.): Vent opening 1 — вентиляционное отверстие подачи воздуха; Vent opening 2 — вентиляционное отверстие отвода воздуха; Parallel flow channel — параллельные каналы течения жидкости; Manifold flow channel — коллекторный канал; Liquid inlet — вход жидкости; Liquid outlet — выход жидкости; (a), (b), (c) — варианты компоновки AC, HCA и HCB соответственно [12].</w:t>
      </w:r>
    </w:p>
    <w:p w14:paraId="28A59209">
      <w:pPr>
        <w:keepNext w:val="0"/>
        <w:keepLines w:val="0"/>
        <w:widowControl/>
        <w:spacing w:before="0" w:after="0" w:line="360" w:lineRule="auto"/>
        <w:ind w:firstLine="709"/>
        <w:jc w:val="center"/>
      </w:pPr>
      <w:r>
        <w:drawing>
          <wp:inline distT="0" distB="0" distL="114300" distR="114300">
            <wp:extent cx="5231130" cy="2866390"/>
            <wp:effectExtent l="0" t="0" r="1270" b="381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2866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9EF638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1.6 — Структура гибридной системы воздушно–жидкостного охлаждения сервера: (a) AC, (b) HCA и (c) HCB</w:t>
      </w:r>
    </w:p>
    <w:p w14:paraId="515FA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</w:pPr>
      <w:r>
        <w:t>Системы Direct-to-Chip снижают пиковые температуры и уменьшают энергопотребление по сравнению с воздушным охлаждением. Поэтому их всё чаще рассматривают как рабочий вариант для высокоплотных стоек.</w:t>
      </w:r>
    </w:p>
    <w:p w14:paraId="1C675EB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Другое направление — погружное охлаждение. На рисунке 1.7 показано, что применение SiC-наночастиц в диэлектрической жидкости повышает коэффициент теплоотдачи. По оси абсцисс — объёмная доля наночастиц в масле (Volume fraction, %), по оси ординат — относительное усиление теплоотдачи η (%); кривые в легенде соответствуют числам Рейнольдса Re = 250, 500, 1000, 2000, 3000. Широкое внедрение таких решений ограничивается высокой стоимостью и повышенными эксплуатационными требованиями.</w:t>
      </w:r>
    </w:p>
    <w:p w14:paraId="5DE62176">
      <w:pPr>
        <w:keepNext w:val="0"/>
        <w:keepLines w:val="0"/>
        <w:widowControl/>
        <w:spacing w:before="0" w:after="0" w:line="360" w:lineRule="auto"/>
        <w:ind w:firstLine="709"/>
        <w:jc w:val="center"/>
      </w:pPr>
      <w:r>
        <w:drawing>
          <wp:inline distT="0" distB="0" distL="114300" distR="114300">
            <wp:extent cx="4826635" cy="4241165"/>
            <wp:effectExtent l="0" t="0" r="24765" b="635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424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160C49">
      <w:pPr>
        <w:keepLines/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1.7 — Зависимость усиления теплообмена от концентрации SiC-наночастиц в масле для различных чисел Re</w:t>
      </w:r>
    </w:p>
    <w:p w14:paraId="447642A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1.8 показана иммерсионная ванна Submer SmartPodX. На фото подписаны (англ.) три типа серверов: OCtoPus 21″ servers, Atlas 21″ servers и Atlantis 19″ servers (серверы формата OCtoPus и Atlas — 21 дюйм, Atlantis — 19 дюймов) [13].</w:t>
      </w:r>
    </w:p>
    <w:p w14:paraId="23DC0AAD">
      <w:pPr>
        <w:keepNext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762500" cy="3460750"/>
            <wp:effectExtent l="0" t="0" r="12700" b="19050"/>
            <wp:docPr id="5" name="Picture 5" descr="Снимок экрана — 2026-04-19 в 10.38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 — 2026-04-19 в 10.38.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3662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1.8 — Иммерсионная ванна Submer SmartPodX</w:t>
      </w:r>
    </w:p>
    <w:p w14:paraId="73F7212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Иммерсионное охлаждение бывает однофазным и двухфазным. Его сильная сторона — работа с очень высокими тепловыми плотностями. Но для массовых коммерческих ЦОД такое решение остаётся дорогим и организационно сложным. Систематизация данных по одно- и двухфазным ваннам приведена в [14, 15, 16].</w:t>
      </w:r>
    </w:p>
    <w:p w14:paraId="24C242F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Заднестоечные теплообменники RDHx занимают промежуточное положение между воздушным и жидкостным охлаждением. Тепло отводится прямо за серверным шкафом, поэтому рециркуляция горячего воздуха уменьшается, а локальное теплоудаление становится эффективнее [17].</w:t>
      </w:r>
    </w:p>
    <w:p w14:paraId="1718C06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1.9 показан задний дверной теплообменник (RDHx) Motivair ChilledDoor. На изображении (англ.): Motivair — производитель; ChilledDoor Rack Cooling System — коммерческое название изделия «система охлаждения стойки на базе дверного теплообменника».</w:t>
      </w:r>
    </w:p>
    <w:p w14:paraId="1534429A">
      <w:pPr>
        <w:keepNext/>
        <w:jc w:val="center"/>
      </w:pPr>
      <w:r>
        <w:drawing>
          <wp:inline distT="0" distB="0" distL="114300" distR="114300">
            <wp:extent cx="5039995" cy="3209925"/>
            <wp:effectExtent l="0" t="0" r="14605" b="158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BF15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1.9 — Задний дверной теплообменник (RDHx) Motivair ChilledDoor</w:t>
      </w:r>
    </w:p>
    <w:p w14:paraId="584F865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Системы Direct Liquid Cooling с холодными пластинами отводят тепло непосредственно от процессоров и других нагруженных компонентов, не допуская контакта теплоносителя с электроникой. В эксплуатации они обычно проще иммерсионных решений. Обзор архитектур DLC представлен в [18, 19, 20], более общие обзоры — в [21, 22, 23, 24].</w:t>
      </w:r>
    </w:p>
    <w:p w14:paraId="3133EA9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1.10 показана холодная пластина DLC (cold plate) CoolIT Rack DCLC.</w:t>
      </w:r>
    </w:p>
    <w:p w14:paraId="40D5B63C">
      <w:pPr>
        <w:keepNext/>
        <w:jc w:val="center"/>
      </w:pPr>
      <w:r>
        <w:drawing>
          <wp:inline distT="0" distB="0" distL="114300" distR="114300">
            <wp:extent cx="5039995" cy="3187065"/>
            <wp:effectExtent l="0" t="0" r="14605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D0B1">
      <w:pPr>
        <w:keepLines/>
        <w:spacing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1.10 — Холодная пластина DLC (cold plate) CoolIT Rack DCLC</w:t>
      </w:r>
    </w:p>
    <w:p w14:paraId="64B5D58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Сравнение технологий охлаждения серверных стоек приведено в таблице 1.2.</w:t>
      </w:r>
    </w:p>
    <w:p w14:paraId="7C68B87E">
      <w:pPr>
        <w:keepNext/>
        <w:keepLines/>
        <w:spacing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1.2 — Сравнение технологий охлаждения серверных стоек</w:t>
      </w:r>
    </w:p>
    <w:tbl>
      <w:tblPr>
        <w:tblStyle w:val="6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566"/>
        <w:gridCol w:w="1106"/>
        <w:gridCol w:w="1343"/>
        <w:gridCol w:w="1620"/>
        <w:gridCol w:w="2285"/>
      </w:tblGrid>
      <w:tr w14:paraId="533A1F1F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C859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Технология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0EF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Макс. плотность нагрузки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BA78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Типичный PUE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F150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Относительный CAPEX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F12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Сложность эксплуатации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A21B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Примечание</w:t>
            </w:r>
          </w:p>
        </w:tc>
      </w:tr>
      <w:tr w14:paraId="375B387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D1C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Воздушное (CRAC/CRAH)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2862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5–15 кВт/стойку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6DFC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1,4–2,0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014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Низкий (базовый)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4CA3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Низкая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7E6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 подходит для GPU-плотности</w:t>
            </w:r>
          </w:p>
        </w:tc>
      </w:tr>
      <w:tr w14:paraId="75EE815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EDC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Rear-door HX (RDHx)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C3C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 60 кВт/стойку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A3F4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1,2–1,5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685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Средний (+20–30%)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4588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Средняя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D8E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Ретрофит в существующие ЦОД</w:t>
            </w:r>
          </w:p>
        </w:tc>
      </w:tr>
      <w:tr w14:paraId="4FC98A4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C8E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Direct Liquid Cooling (DLC)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EEB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50–150 кВт/стойку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0AC4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1,05–1,2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36E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Высокий (+50–80%)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F531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Средняя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596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Требует специальных серверов</w:t>
            </w:r>
          </w:p>
        </w:tc>
      </w:tr>
      <w:tr w14:paraId="6C3FB5E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EC5B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Иммерсионное однофазное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B57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50–100 кВт/резервуар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6B0B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1,02–1,05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E18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Высокий (+80–120%)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55E9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Высокая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305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Максимальная энергоэффективность</w:t>
            </w:r>
          </w:p>
        </w:tc>
      </w:tr>
      <w:tr w14:paraId="5A557E50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D55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Иммерсионное двухфазное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02A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100–200 кВт/резервуар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1AE3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1,01–1,03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239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Очень высокий (+150%)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ED97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Очень высокая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FB97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Нормативные ограничения на ряд флюидов</w:t>
            </w:r>
          </w:p>
        </w:tc>
      </w:tr>
    </w:tbl>
    <w:p w14:paraId="3CC3946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Сводное сопоставление показывает: на реальный PUE влияет не только выбранная технология охлаждения. Не меньшее значение имеют климат площадки, температурные уставки и схема утилизации тепла [15].</w:t>
      </w:r>
    </w:p>
    <w:p w14:paraId="32E0B15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рассматриваемого объекта жидкостные технологии важны прежде всего как ориентир развития отрасли. При расчётной плотности около 6 кВт на стойку воздушная схема с чиллером и фрикулингом остаётся технически достаточной и экономически оправданной.</w:t>
      </w:r>
    </w:p>
    <w:bookmarkEnd w:id="14"/>
    <w:p w14:paraId="0CF5E477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15" w:name="_Toc2076928612"/>
      <w:bookmarkEnd w:id="15"/>
      <w:bookmarkStart w:id="16" w:name="_Toc606132201"/>
      <w:bookmarkStart w:id="17" w:name="X0feb0d4567ec2d6fc52e6963f97aabcfaf59cc5"/>
      <w:r>
        <w:t>1.3 Оптимизация режимов фрикулинга (Free Cooling)</w:t>
      </w:r>
      <w:bookmarkEnd w:id="16"/>
    </w:p>
    <w:p w14:paraId="0A740A7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Фрикулинг служит основным способом снижения PUE: часть холодопроизводительности берётся от наружного воздуха, а не от механического охлаждения.</w:t>
      </w:r>
    </w:p>
    <w:p w14:paraId="7A2F28F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Boafo et al. [16] показали, что эффективность фрикулинга прежде всего зависит от пороговой температуры переключения режимов MCT. Эта зависимость представлена на рисунке 1.11. Обозначения осей и легенды (англ.): OD air temperature (°C) — температура наружного воздуха; MCT (°C) — температура переключения режима (Mode Change Temperature); Proposed sys. (OD air volume intake) — предлагаемая система с различной долей забора наружного воздуха (5 %, 10 %, 20 %, 30 %).</w:t>
      </w:r>
    </w:p>
    <w:p w14:paraId="390E870A">
      <w:pPr>
        <w:keepNext w:val="0"/>
        <w:keepLines w:val="0"/>
        <w:widowControl/>
        <w:spacing w:before="0" w:after="0" w:line="360" w:lineRule="auto"/>
        <w:ind w:firstLine="709"/>
        <w:jc w:val="center"/>
      </w:pPr>
      <w:r>
        <w:drawing>
          <wp:inline distT="0" distB="0" distL="114300" distR="114300">
            <wp:extent cx="4604385" cy="3843020"/>
            <wp:effectExtent l="0" t="0" r="18415" b="1778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3843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FBDE26">
      <w:pPr>
        <w:keepLines/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1.11 — Влияние температуры наружного воздуха и доли приточного воздуха на температуру переключения режима MCT</w:t>
      </w:r>
    </w:p>
    <w:p w14:paraId="251BF9D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Чем выше порог MCT, тем дольше система работает в режиме фрикулинга. Соответственно, годовое энергопотребление компрессоров снижается.</w:t>
      </w:r>
    </w:p>
    <w:p w14:paraId="36B89C9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Результаты Qu et al. [18] показывают, что гибридные схемы с несколькими режимами работы и управляемым перераспределением нагрузки между контурами дают дополнительный энергетический выигрыш. Режимы такой системы приведены на рисунке 1.12. Обозначения элементов схемы (англ.): Chiller — чиллер; Chilled pump — насос контура холодной воды; Air-liquid heat exchanger — воздушно-жидкостный теплообменник сервера; Cooling tower — градирня; Plate exchanger — пластинчатый теплообменник; Server — серверное оборудование; Primary-side / Secondary-side pump — насосы первичного и вторичного контура; TPV 1, TPV 2 — трёхходовые регулирующие клапаны; T_chi,in/out, T_tow,in/out, T_alhe,in/out, T_1,in/out, T_2,in/out — температуры хладоносителя на входе и выходе соответствующих элементов.</w:t>
      </w:r>
    </w:p>
    <w:p w14:paraId="1309DBB4">
      <w:pPr>
        <w:keepNext w:val="0"/>
        <w:keepLines w:val="0"/>
        <w:widowControl/>
        <w:spacing w:before="0" w:after="0" w:line="360" w:lineRule="auto"/>
        <w:ind w:firstLine="709"/>
        <w:jc w:val="center"/>
      </w:pPr>
      <w:r>
        <w:drawing>
          <wp:inline distT="0" distB="0" distL="114300" distR="114300">
            <wp:extent cx="5248275" cy="3143250"/>
            <wp:effectExtent l="0" t="0" r="9525" b="6350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034884">
      <w:pPr>
        <w:keepLines/>
        <w:spacing w:line="360" w:lineRule="auto"/>
        <w:ind w:firstLine="0"/>
        <w:jc w:val="center"/>
      </w:pPr>
      <w:r>
        <w:t>Рисунок 1.12 — Режимы работы гибридной системы охлаждения (Qu et al. [18]): низкотемпературный (LM), конвенциональный (CM) и высокотемпературный (HM)</w:t>
      </w:r>
    </w:p>
    <w:p w14:paraId="1D3EB27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Главное достоинство таких решений — гибкое перераспределение тепловой нагрузки между воздушным и жидкостным контурами без переделки всей инженерной инфраструктуры.</w:t>
      </w:r>
    </w:p>
    <w:p w14:paraId="254792E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инженерной практике используют воздушный, водяной и адиабатический фрикулинг. Для российских ЦОД чаще всего выбирают водяной вариант с драйкулером: у него умеренный CAPEX, менее жёсткие требования к качеству наружного воздуха и хорошая приспособленность к климату умеренной зоны.</w:t>
      </w:r>
    </w:p>
    <w:p w14:paraId="2A1F1B6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Воздушный фрикулинг (air-side economizer) предполагает прямую подачу наружного воздуха в машинный зал или смесительную камеру, минуя чиллер. Схема выглядит простой и дешёвой по CAPEX, но требует фильтрации, увлажнения или осушения и защиты от загрязнений. Поэтому её применяют преимущественно в регионах с чистым наружным воздухом и сухим климатом.</w:t>
      </w:r>
    </w:p>
    <w:p w14:paraId="690864F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Мировая практика показывает, что самые низкие значения PUE обычно получают там, где фрикулинг работает как базовый режим холодоснабжения. Однако переносить такой опыт напрямую нельзя: реальная применимость схемы складывается из климата, требований к надёжности и допустимого CAPEX.</w:t>
      </w:r>
    </w:p>
    <w:p w14:paraId="5413294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условий Санкт-Петербурга наиболее рабочей выглядит схема водяного фрикулинга с драйкулером, пластинчатым теплообменником, регулируемыми насосами и автоматикой переключения режимов. Именно в таком сочетании удаётся удержать разумный баланс между энергоэффективностью и вложениями.</w:t>
      </w:r>
    </w:p>
    <w:p w14:paraId="65B54A7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Санкт-Петербурга, где среднемесячная температура меняется примерно от −6 °C в январе до +19 °C в июле, полный фрикулинг при пороге 6 °C может работать ориентировочно 4 000–5 000 ч/год, то есть около 45–57 % времени. При адиабатическом доохлаждении диапазон увеличивается до 6 500–7 000 ч/год. Если смотреть на условия Северо-Запада в целом, водяной фрикулинг с драйкулером даёт наиболее сбалансированный результат по затратам и энергетическому эффекту.</w:t>
      </w:r>
    </w:p>
    <w:bookmarkEnd w:id="17"/>
    <w:p w14:paraId="7A89D397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18" w:name="_Toc1739983546"/>
      <w:bookmarkEnd w:id="18"/>
      <w:bookmarkStart w:id="19" w:name="_Toc1748964486"/>
      <w:bookmarkStart w:id="20" w:name="Xa6da9fff72c8a94bb93db40293ecbbf1cfa0135"/>
      <w:r>
        <w:t>1.4 Интеграция аккумуляторов холода и предиктивное управление (MPC)</w:t>
      </w:r>
      <w:bookmarkEnd w:id="19"/>
    </w:p>
    <w:p w14:paraId="39CF25F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сглаживания пиковых нагрузок и повышения надёжности в схемы хладоцентров добавляют баки-аккумуляторы холода. Xiang et al. [19] рассмотрели систему фрикулинга, совмещённую с аккумулятором холода и управляемую алгоритмами предиктивного контроля (MPC) с применением генетических алгоритмов (GA).</w:t>
      </w:r>
    </w:p>
    <w:p w14:paraId="75F919B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Авторы показали, что оптимизация по критерию минимального PUE снижает его значение на 0,018 относительно базовой системы. Наиболее заметный эффект получен в регионах с мягким климатом, где снижение достигает 0,0185. Важнее другое: подход MPC-GA позволяет одновременно регулировать режимы накопления и отдачи холода, мощность охлаждения и коэффициент частичной нагрузки PLR. За счёт этого система лучше адаптируется к разным климатическим условиям [20].</w:t>
      </w:r>
    </w:p>
    <w:p w14:paraId="69822E3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Помимо рассмотренного исследования Xiang et al. [19], современные работы охватывают ряд перспективных направлений управления хладоцентром: MPC (Model Predictive Control) с горизонтом прогнозирования 24–48 ч, Reinforcement Learning (DeepMind/Google, снижение энергопотребления охлаждения до 40 %) и цифровые двойники для адаптации моделей в реальном времени [22, 23]. В работе эти методы рассмотрены как направление развития; в расчёте применён эмпирический порог переключения режимов MCT — это обеспечивает прозрачность и воспроизводимость результатов без привязки к конкретной платформе автоматизации.</w:t>
      </w:r>
    </w:p>
    <w:bookmarkEnd w:id="8"/>
    <w:bookmarkEnd w:id="20"/>
    <w:p w14:paraId="27DE25A7">
      <w:pPr>
        <w:pStyle w:val="2"/>
        <w:keepNext/>
        <w:keepLines w:val="0"/>
        <w:pageBreakBefore/>
        <w:widowControl/>
        <w:spacing w:before="0" w:after="0" w:line="360" w:lineRule="auto"/>
        <w:ind w:firstLine="709"/>
        <w:jc w:val="both"/>
      </w:pPr>
      <w:bookmarkStart w:id="21" w:name="_Toc89956066"/>
      <w:bookmarkStart w:id="22" w:name="_Toc1618636423"/>
      <w:bookmarkStart w:id="23" w:name="X551d151640325c73f0feed3fd82e7bc00e5e758"/>
      <w:r>
        <w:rPr>
          <w:rFonts w:ascii="Times New Roman" w:hAnsi="Times New Roman" w:eastAsia="Times New Roman" w:cs="Times New Roman"/>
          <w:b/>
          <w:color w:val="000000"/>
          <w:sz w:val="28"/>
        </w:rPr>
        <w:t>ГЛАВА 2 ИССЛЕДОВАНИЕ ВЛИЯНИЯ КЛИМАТИЧЕСКИХ ПАРАМЕТРОВ И РЕЖИМОВ РАБОТЫ ИТ-ОБОРУДОВАНИЯ НА ЭФФЕКТИВНОСТЬ РАЗЛИЧНЫХ СХЕМ ХЛАДОЦЕНТРОВ</w:t>
      </w:r>
      <w:bookmarkEnd w:id="21"/>
      <w:bookmarkEnd w:id="22"/>
    </w:p>
    <w:p w14:paraId="1ED24F0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Во второй главе формируется расчётная база для сравнения схем холодоснабжения ЦОД при изменении параметров наружного воздуха — температуры, влажности и энтальпии — а также при изменении профиля тепловыделений ИТ-оборудования. Использованы подходы, принятые в международной практике: рекомендации ASHRAE TC 9.9 [4] по температуре на входе серверов, методики оценки доли естественного охлаждения и энергетические модели чиллеров, драйкулеров, насосов и вентиляторов. Для сопоставления применяются метрики PUE, COP, EER и коэффициент частичной нагрузки PLR.</w:t>
      </w:r>
    </w:p>
    <w:p w14:paraId="2A33C01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Согласно ASHRAE TC 9.9 [4], для большинства A-класса оборудования рекомендуемая температура на входе лежит в пределах 18–27 °C; такой диапазон даёт компромисс между надёжностью и энергоэффективностью [24]. На практике уставки выбирают осторожнее: учитывают риск конденсации, коррозии, контроль влажности и архитектуру конкретной системы — воздушной, водяной, гибридной или погружной.</w:t>
      </w:r>
    </w:p>
    <w:p w14:paraId="686B1622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24" w:name="_Toc99521165"/>
      <w:bookmarkEnd w:id="24"/>
      <w:bookmarkStart w:id="25" w:name="_Toc63113774"/>
      <w:bookmarkStart w:id="26" w:name="X96a3d80b304521e6243288ad69b210d038ac796"/>
      <w:r>
        <w:t>2.1 Расчет тепловой нагрузки и режимов работы ИТ-оборудования</w:t>
      </w:r>
      <w:bookmarkEnd w:id="25"/>
    </w:p>
    <w:p w14:paraId="5D4755B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2.1 показаны серверные стойки ЦОД NERSC как пример промышленного ИТ-оборудования, формирующего тепловую нагрузку хладоцентра [25].</w:t>
      </w:r>
    </w:p>
    <w:p w14:paraId="2E244313">
      <w:pPr>
        <w:keepNext/>
        <w:jc w:val="center"/>
      </w:pPr>
      <w:r>
        <w:drawing>
          <wp:inline distT="0" distB="0" distL="114300" distR="114300">
            <wp:extent cx="3657600" cy="55041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50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B439">
      <w:pPr>
        <w:keepLines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2.1 — Серверные стойки ЦОД NERSC (Berkeley, США) — пример промышленного ИТ-оборудования, формирующего тепловую нагрузку хладоцентра</w:t>
      </w:r>
    </w:p>
    <w:p w14:paraId="6B44954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Суммарная тепловая нагрузка ЦОД складывается из мощности ИТ-оборудования и дополнительных теплопритоков от электропитания и вспомогательной инфраструктуры; базовый баланс приведён в формуле (2.1).</w:t>
      </w:r>
    </w:p>
    <w:p w14:paraId="66324C20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Q</m:t>
        </m:r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IT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k</m:t>
            </m:r>
          </m:e>
          <m:sub>
            <m:r>
              <m:rPr/>
              <m:t>з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P</m:t>
            </m:r>
          </m:e>
          <m:sub>
            <m:r>
              <m:rPr/>
              <m:t>ИБП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P</m:t>
            </m:r>
          </m:e>
          <m:sub>
            <m:r>
              <m:rPr/>
              <m:t>осв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P</m:t>
            </m:r>
          </m:e>
          <m:sub>
            <m:r>
              <m:rPr/>
              <m:t>проч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(2.1)</w:t>
      </w:r>
    </w:p>
    <w:p w14:paraId="2487021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Q — суммарная тепловая нагрузка, кВт; PIT — установленная мощность ИТ-оборудования, кВт; kз — коэффициент загрузки (0,2…1,0); PИБП — потери ИБП и распределения (кВт), определяемые по КПД источников; Pосв — тепловыделение освещения, кВт; Pпроч — прочие теплопритоки (персонал, ограждающие конструкции, кабельные трассы), кВт.</w:t>
      </w:r>
    </w:p>
    <w:p w14:paraId="08EBE2F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Коэффициент частичной нагрузки определяется как отношение текущей тепловой нагрузки к расчётной (пиковому режиму):</w:t>
      </w:r>
    </w:p>
    <w:p w14:paraId="7D394657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PLR</m:t>
        </m:r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Q</m:t>
            </m:r>
          </m:e>
          <m:sub>
            <m:r>
              <m:rPr/>
              <m:t>пик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(2.2)</w:t>
      </w:r>
    </w:p>
    <w:p w14:paraId="44AAF60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PLR — коэффициент частичной нагрузки; Qi — тепловая нагрузка на i-м шаге расчёта, кВт; Qпик — максимальная расчётная нагрузка, кВт.</w:t>
      </w:r>
    </w:p>
    <w:p w14:paraId="11C8411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При заданном профиле частичной нагрузки годовой объём теплопоступлений рассчитывают по формуле (2.3); это позволяет перейти от оценки пикового режима к годовому энергетическому анализу.</w:t>
      </w:r>
    </w:p>
    <w:p w14:paraId="34381C72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W</m:t>
            </m:r>
          </m:e>
          <m:sub>
            <m:r>
              <m:rPr/>
              <m:t>тепл</m:t>
            </m:r>
            <m:r>
              <m:rPr>
                <m:sty m:val="p"/>
              </m:rPr>
              <m:t>,</m:t>
            </m:r>
            <m:r>
              <m:rPr/>
              <m:t>год</m:t>
            </m:r>
          </m:sub>
        </m:sSub>
        <m:r>
          <m:rPr>
            <m:sty m:val="p"/>
          </m:rPr>
          <m:t>=∑(</m:t>
        </m:r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τ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(2.3)</w:t>
      </w:r>
    </w:p>
    <w:p w14:paraId="6D5500A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Wтепл,год — годовой объём тепла, кВт·ч; τi — длительность i-го интервала, ч.</w:t>
      </w:r>
    </w:p>
    <w:p w14:paraId="2726F83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2.2 показан типовой суточный профиль нагрузки ИТ-оборудования коммерческого ЦОД.</w:t>
      </w:r>
    </w:p>
    <w:p w14:paraId="3B91C6E7">
      <w:pPr>
        <w:keepNext/>
        <w:jc w:val="center"/>
      </w:pPr>
      <w:r>
        <w:drawing>
          <wp:inline distT="0" distB="0" distL="114300" distR="114300">
            <wp:extent cx="5212080" cy="3014980"/>
            <wp:effectExtent l="0" t="0" r="2032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D982">
      <w:pPr>
        <w:keepLines/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— Типовой суточный профиль нагрузки ИТ-оборудования коммерческого ЦОД (по данным LBNL и Uptime Institute [1])</w:t>
      </w:r>
    </w:p>
    <w:bookmarkEnd w:id="26"/>
    <w:p w14:paraId="2DEC20B2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27" w:name="_Toc1909942789"/>
      <w:bookmarkEnd w:id="27"/>
      <w:bookmarkStart w:id="28" w:name="_Toc2043761647"/>
      <w:bookmarkStart w:id="29" w:name="Xdd33089f44179aff0144885cc1488269cb69497"/>
      <w:r>
        <w:t>2.2 Влияние климатических параметров: температура, влажность и энтальпия наружного воздуха</w:t>
      </w:r>
      <w:bookmarkEnd w:id="28"/>
    </w:p>
    <w:p w14:paraId="1EE849E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оценки применимости естественного охлаждения одновременно учитывают температуру, влажность и энтальпию наружного воздуха: именно эти параметры очерчивают рабочую область воздушных экономайзеров.</w:t>
      </w:r>
    </w:p>
    <w:p w14:paraId="6C5877A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2.3 приведена психрометрическая диаграмма ASHRAE TC 9.9.</w:t>
      </w:r>
    </w:p>
    <w:p w14:paraId="24054CEF">
      <w:pPr>
        <w:keepNext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478780" cy="3397250"/>
            <wp:effectExtent l="0" t="0" r="7620" b="6350"/>
            <wp:docPr id="6" name="Picture 6" descr="Снимок экрана — 2026-04-19 в 10.42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 — 2026-04-19 в 10.42.5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5DA0">
      <w:pPr>
        <w:keepLines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— Психрометрическая диаграмма ASHRAE TC 9.9 [4] (2021): зоны Recommended и Allowable A1–A4 для ИТ-оборудования</w:t>
      </w:r>
    </w:p>
    <w:p w14:paraId="4AE8F9F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Энтальпия влажного воздуха определяется по психрометрической зависимости:</w:t>
      </w:r>
    </w:p>
    <w:p w14:paraId="46987766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h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006</m:t>
        </m:r>
        <m:r>
          <m:rPr>
            <m:sty m:val="p"/>
          </m:rPr>
          <m:t>⋅</m:t>
        </m:r>
        <m:r>
          <m:rPr/>
          <m:t>t</m:t>
        </m:r>
        <m:r>
          <m:rPr>
            <m:sty m:val="p"/>
          </m:rPr>
          <m:t>+</m:t>
        </m:r>
        <m:r>
          <m:rPr/>
          <m:t>d</m:t>
        </m:r>
        <m:r>
          <m:rPr>
            <m:sty m:val="p"/>
          </m:rPr>
          <m:t>⋅(</m:t>
        </m:r>
        <m:r>
          <m:rPr/>
          <m:t>2501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,</m:t>
        </m:r>
        <m:r>
          <m:rPr/>
          <m:t>86</m:t>
        </m:r>
        <m:r>
          <m:rPr>
            <m:sty m:val="p"/>
          </m:rPr>
          <m:t>⋅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(2.4)</w:t>
      </w:r>
    </w:p>
    <w:p w14:paraId="54AAEA4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h — энтальпия влажного воздуха, кДж/кг сухого воздуха; t — температура воздуха по сухому термометру, °C; d — влагосодержание, кг/кг сухого воздуха.</w:t>
      </w:r>
    </w:p>
    <w:p w14:paraId="45A0D31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Влагосодержание d определяют через парциальное давление водяного пара pv и барометрическое давление p:</w:t>
      </w:r>
    </w:p>
    <w:p w14:paraId="2EFFE0AC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d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622</m:t>
        </m:r>
        <m:r>
          <m:rPr>
            <m:sty m:val="p"/>
          </m:rPr>
          <m:t>⋅</m:t>
        </m:r>
        <m:sSub>
          <m:sSubPr/>
          <m:e>
            <m:r>
              <m:rPr/>
              <m:t>p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/(</m:t>
        </m:r>
        <m:r>
          <m:rPr/>
          <m:t>p</m:t>
        </m:r>
        <m:r>
          <m:rPr>
            <m:sty m:val="p"/>
          </m:rPr>
          <m:t>−</m:t>
        </m:r>
        <m:sSub>
          <m:sSubPr/>
          <m:e>
            <m:r>
              <m:rPr/>
              <m:t>p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(2.5)</w:t>
      </w:r>
    </w:p>
    <w:p w14:paraId="6264A42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pv — парциальное давление водяного пара, кПа; p — атмосферное давление, кПа.</w:t>
      </w:r>
    </w:p>
    <w:p w14:paraId="35B7D9C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2.4 приведена диаграмма Молье (h–d) для влажного воздуха.</w:t>
      </w:r>
    </w:p>
    <w:p w14:paraId="052181C1">
      <w:pPr>
        <w:keepNext/>
        <w:jc w:val="center"/>
      </w:pPr>
      <w:r>
        <w:drawing>
          <wp:inline distT="0" distB="0" distL="114300" distR="114300">
            <wp:extent cx="5029200" cy="4425315"/>
            <wp:effectExtent l="0" t="0" r="0" b="196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4C78">
      <w:pPr>
        <w:keepLines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2.4 — Диаграмма Молье (h-d) для влажного воздуха при давлении 101,325 кПа (Kaboldy, Wikimedia Commons, CC BY-SA 3.0)</w:t>
      </w:r>
    </w:p>
    <w:p w14:paraId="1C9C5FD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водяных схем free cooling главным параметром служит температура наружного воздуха. От неё зависит, какую температуру охлаждённой воды удастся получить и при каком значении MCT система переключается между режимами.</w:t>
      </w:r>
    </w:p>
    <w:p w14:paraId="0B88104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Годовое число часов естественного охлаждения оценивают методом температурных бинов по формуле (2.6), суммируя интервалы, в которых наружная температура не превышает заданный порог.</w:t>
      </w:r>
    </w:p>
    <w:p w14:paraId="6FB736B7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HFC</m:t>
        </m:r>
        <m:r>
          <m:rPr>
            <m:sty m:val="p"/>
          </m:rPr>
          <m:t>=∑</m:t>
        </m:r>
        <m:sSub>
          <m:sSubPr/>
          <m:e>
            <m:r>
              <m:rPr/>
              <m:t>τ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,</m:t>
        </m:r>
        <m:r>
          <m:rPr/>
          <m:t> </m:t>
        </m:r>
        <m:r>
          <m:rPr>
            <m:nor/>
            <m:sty m:val="p"/>
          </m:rPr>
          <w:rPr>
            <w:b w:val="0"/>
            <w:i w:val="0"/>
          </w:rPr>
          <m:t>при</m:t>
        </m:r>
        <m:sSub>
          <m:sSubPr/>
          <m:e>
            <m:r>
              <m:rPr/>
              <m:t>t</m:t>
            </m:r>
          </m:e>
          <m:sub>
            <m:r>
              <m:rPr/>
              <m:t>н</m:t>
            </m:r>
            <m:r>
              <m:rPr>
                <m:sty m:val="p"/>
              </m:rPr>
              <m:t>,</m:t>
            </m:r>
            <m:r>
              <m:rPr/>
              <m:t>j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t</m:t>
            </m:r>
          </m:e>
          <m:sub>
            <m:r>
              <m:rPr/>
              <m:t>пор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(2.6)</w:t>
      </w:r>
    </w:p>
    <w:p w14:paraId="40F32EA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HFC — количество часов режима free cooling в году, ч; τj — длительность j-го температурного интервала, ч; tн,j — температура наружного воздуха в интервале, °C; tпор — пороговая температура для free cooling, °C.</w:t>
      </w:r>
    </w:p>
    <w:p w14:paraId="26B1D22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2.5 показана зависимость числа часов свободного охлаждения от порога MCT для разных городов.</w:t>
      </w:r>
    </w:p>
    <w:p w14:paraId="6915B565">
      <w:pPr>
        <w:keepNext/>
        <w:jc w:val="center"/>
      </w:pPr>
      <w:r>
        <w:drawing>
          <wp:inline distT="0" distB="0" distL="114300" distR="114300">
            <wp:extent cx="5029200" cy="27381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DF6C">
      <w:pPr>
        <w:keepLines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2.5 — Зависимость числа часов свободного охлаждения в году от порога MCT для Санкт-Петербурга, Москвы и Лулео (Швеция)</w:t>
      </w:r>
    </w:p>
    <w:bookmarkEnd w:id="29"/>
    <w:p w14:paraId="521072A9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30" w:name="_Toc1970383014"/>
      <w:bookmarkEnd w:id="30"/>
      <w:bookmarkStart w:id="31" w:name="_Toc501067364"/>
      <w:bookmarkStart w:id="32" w:name="Xd668843b7e6caafcec3c1976b87a55fb8dd99b5"/>
      <w:r>
        <w:t>2.3 Энергетические модели оборудования хладоцентра и влияние частичных нагрузок</w:t>
      </w:r>
      <w:bookmarkEnd w:id="31"/>
    </w:p>
    <w:p w14:paraId="33EF7C2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Энергопотребление хладоцентра зависит от характеристик чиллеров, насосов и вентиляторов при частичных нагрузках. Зависимость мощности чиллера от PLR в инженерных расчётах удобно описывать аппроксимирующим полиномом, приведённым в формуле (2.7).</w:t>
      </w:r>
    </w:p>
    <w:p w14:paraId="71F6A952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N</m:t>
            </m:r>
          </m:e>
          <m:sub>
            <m:r>
              <m:rPr/>
              <m:t>чил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ном</m:t>
            </m:r>
          </m:sub>
        </m:sSub>
        <m:r>
          <m:rPr>
            <m:sty m:val="p"/>
          </m:rPr>
          <m:t>⋅(</m:t>
        </m:r>
        <m:r>
          <m:rPr/>
          <m:t>a</m:t>
        </m:r>
        <m:r>
          <m:rPr>
            <m:sty m:val="p"/>
          </m:rPr>
          <m:t>⋅</m:t>
        </m:r>
        <m:r>
          <m:rPr/>
          <m:t>PL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⋅</m:t>
        </m:r>
        <m:r>
          <m:rPr/>
          <m:t>PLR</m:t>
        </m:r>
        <m:r>
          <m:rPr>
            <m:sty m:val="p"/>
          </m:rPr>
          <m:t>+</m:t>
        </m:r>
        <m:r>
          <m:rPr/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(2.7)</w:t>
      </w:r>
    </w:p>
    <w:p w14:paraId="70DBDCB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Nчил — текущая потребляемая мощность чиллера, кВт; Nном — потребляемая мощность в номинальном режиме, кВт; a, b, c — коэффициенты аппроксимации по паспортным данным; PLR — коэффициент частичной нагрузки.</w:t>
      </w:r>
    </w:p>
    <w:p w14:paraId="137C56F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Коэффициент энергоэффективности холодильной машины рассчитывают как отношение полезной холодопроизводительности к потребляемой мощности:</w:t>
      </w:r>
    </w:p>
    <w:p w14:paraId="26097A27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COP</m:t>
        </m:r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чил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(2.8)</w:t>
      </w:r>
    </w:p>
    <w:p w14:paraId="4DDE46F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COP — коэффициент преобразования (безразмерный); Q0 — холодопроизводительность, кВт; Nчил — потребляемая мощность, кВт.</w:t>
      </w:r>
    </w:p>
    <w:p w14:paraId="467B844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2.6 показана зависимость COP от частичной нагрузки PLR для воздушных чиллеров Carrier и Daikin.</w:t>
      </w:r>
    </w:p>
    <w:p w14:paraId="1D3994B8">
      <w:pPr>
        <w:keepNext/>
        <w:jc w:val="center"/>
      </w:pPr>
      <w:r>
        <w:drawing>
          <wp:inline distT="0" distB="0" distL="114300" distR="114300">
            <wp:extent cx="5029200" cy="29876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E89A">
      <w:pPr>
        <w:keepLines/>
        <w:jc w:val="center"/>
        <w:rPr>
          <w:sz w:val="28"/>
          <w:szCs w:val="28"/>
        </w:rPr>
      </w:pPr>
      <w:r>
        <w:rPr>
          <w:sz w:val="28"/>
          <w:szCs w:val="28"/>
        </w:rPr>
        <w:t>Рисунок 2.6 — Зависимость COP от частичной нагрузки PLR для воздушных чиллеров Carrier [26] 30XA и Daikin EWAD-AJYNN в условиях AHRI 550/590</w:t>
      </w:r>
    </w:p>
    <w:p w14:paraId="3DFAE2E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Поскольку COP зависит от температур конденсации и кипения, климатические условия непосредственно влияют на годовую эффективность чиллера; эта зависимость показана на рисунке 2.7.</w:t>
      </w:r>
    </w:p>
    <w:p w14:paraId="741864FC">
      <w:pPr>
        <w:keepNext/>
        <w:jc w:val="center"/>
      </w:pPr>
      <w:r>
        <w:drawing>
          <wp:inline distT="0" distB="0" distL="114300" distR="114300">
            <wp:extent cx="5029200" cy="2741930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1E6B">
      <w:pPr>
        <w:keepLines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2.7 — Зависимость COP воздушного чиллера Carrier 30XA от температуры наружного воздуха (при PLR = 1,0)</w:t>
      </w:r>
    </w:p>
    <w:p w14:paraId="79FA955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вентиляторов и насосов с частотным регулированием применяют законы подобия (аффинности). При изменении расхода относительно номинального значения (φ = G/Gном) мощность изменяется примерно пропорционально кубу расхода:</w:t>
      </w:r>
    </w:p>
    <w:p w14:paraId="1E5AA15A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N</m:t>
            </m:r>
          </m:e>
          <m:sub>
            <m:r>
              <m:rPr/>
              <m:t>вент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N</m:t>
            </m:r>
          </m:e>
          <m:sub>
            <m:r>
              <m:rPr/>
              <m:t>ном</m:t>
            </m:r>
          </m:sub>
        </m:sSub>
        <m:r>
          <m:rPr>
            <m:sty m:val="p"/>
          </m:rPr>
          <m:t>⋅</m:t>
        </m:r>
        <m:sSup>
          <m:sSupPr/>
          <m:e>
            <m:r>
              <m:rPr/>
              <m:t>φ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;</m:t>
        </m:r>
        <m:r>
          <m:rPr/>
          <m:t> </m:t>
        </m:r>
        <m:sSub>
          <m:sSubPr/>
          <m:e>
            <m:r>
              <m:rPr/>
              <m:t>N</m:t>
            </m:r>
          </m:e>
          <m:sub>
            <m:r>
              <m:rPr/>
              <m:t>нас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N</m:t>
            </m:r>
          </m:e>
          <m:sub>
            <m:r>
              <m:rPr/>
              <m:t>ном</m:t>
            </m:r>
          </m:sub>
        </m:sSub>
        <m:r>
          <m:rPr>
            <m:sty m:val="p"/>
          </m:rPr>
          <m:t>⋅</m:t>
        </m:r>
        <m:sSup>
          <m:sSupPr/>
          <m:e>
            <m:r>
              <m:rPr/>
              <m:t>φ</m:t>
            </m:r>
          </m:e>
          <m:sup>
            <m:r>
              <m:rPr/>
              <m:t>3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(2.9)</w:t>
      </w:r>
    </w:p>
    <w:p w14:paraId="010D6FD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Nвент, Nнас — мощность вентилятора и насоса, кВт; Nном — номинальная мощность, кВт; φ — относительный расход (0…1).</w:t>
      </w:r>
    </w:p>
    <w:p w14:paraId="704AFC6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2.8 показаны законы подобия для центробежных насосов и вентиляторов с частотным регулированием.</w:t>
      </w:r>
    </w:p>
    <w:p w14:paraId="3A9948BC">
      <w:pPr>
        <w:keepNext/>
        <w:jc w:val="center"/>
      </w:pPr>
      <w:r>
        <w:drawing>
          <wp:inline distT="0" distB="0" distL="114300" distR="114300">
            <wp:extent cx="5029200" cy="30651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A78D">
      <w:pPr>
        <w:keepLines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2.8 — Законы подобия для центробежных насосов и вентиляторов с частотным регулированием</w:t>
      </w:r>
    </w:p>
    <w:bookmarkEnd w:id="32"/>
    <w:p w14:paraId="68B9BF8B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33" w:name="_Toc2029479558"/>
      <w:bookmarkEnd w:id="33"/>
      <w:bookmarkStart w:id="34" w:name="_Toc1155806861"/>
      <w:bookmarkStart w:id="35" w:name="Xc31143785a156d2f2e48b19dcea98cb2ac53495"/>
      <w:r>
        <w:t>2.4 Сопоставление схем охлаждения по метрикам энергоэффективности и примеры с реальных объектов</w:t>
      </w:r>
      <w:bookmarkEnd w:id="34"/>
    </w:p>
    <w:p w14:paraId="1BB3678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Схемы охлаждения сопоставляют по годовому энергопотреблению и PUE, рассчитываемому по ISO/IEC 30134-2 [27]; соответствующее выражение приведено в формуле (2.10). Дополнительно для оценки энергетических показателей ЦОД применяется ASHRAE Standard 90.4 [28].</w:t>
      </w:r>
    </w:p>
    <w:p w14:paraId="55A11377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PUE</m:t>
        </m:r>
        <m:r>
          <m:rPr>
            <m:sty m:val="p"/>
          </m:rPr>
          <m:t>=(</m:t>
        </m:r>
        <m:sSub>
          <m:sSubPr/>
          <m:e>
            <m:r>
              <m:rPr/>
              <m:t>P</m:t>
            </m:r>
          </m:e>
          <m:sub>
            <m:r>
              <m:rPr/>
              <m:t>IT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P</m:t>
            </m:r>
          </m:e>
          <m:sub>
            <m:r>
              <m:rPr/>
              <m:t>инфр</m:t>
            </m:r>
          </m:sub>
        </m:sSub>
        <m:r>
          <m:rPr>
            <m:sty m:val="p"/>
          </m:rPr>
          <m:t>)/</m:t>
        </m:r>
        <m:sSub>
          <m:sSubPr/>
          <m:e>
            <m:r>
              <m:rPr/>
              <m:t>P</m:t>
            </m:r>
          </m:e>
          <m:sub>
            <m:r>
              <m:rPr/>
              <m:t>IT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P</m:t>
            </m:r>
          </m:e>
          <m:sub>
            <m:r>
              <m:rPr/>
              <m:t>инфр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P</m:t>
            </m:r>
          </m:e>
          <m:sub>
            <m:r>
              <m:rPr/>
              <m:t>IT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(2.10)</w:t>
      </w:r>
    </w:p>
    <w:p w14:paraId="49AF1BB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PIT — мощность ИТ-оборудования, кВт; Pинфр — суммарная мощность инфраструктуры (охлаждение, электропитание, освещение и т. п.), кВт.</w:t>
      </w:r>
    </w:p>
    <w:p w14:paraId="6D4895AA">
      <w:pPr>
        <w:keepNext w:val="0"/>
        <w:keepLines w:val="0"/>
        <w:widowControl/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</w:rPr>
      </w:pPr>
      <w:r>
        <w:t>Чтобы отдельно увидеть вклад хладоцентра, удобно использовать частный показатель доли мощности охлаждения и связанной с ним инфраструктуры. Далее сравниваются четыре группы решений: традиционная схема на чиллерах без free cooling; схема с водяным free cooling через драйкулер и пластинчатый теплообменник; схема с воздушным экономайзером при допустимости наружного воздуха; гибридные варианты, где воздушное и жидкостное охлаждение работают совместно, а часть тепла снимается жидкостью (D2C/холодные плиты) [29].</w:t>
      </w:r>
    </w:p>
    <w:p w14:paraId="0C3A58E3">
      <w:pPr>
        <w:keepNext w:val="0"/>
        <w:keepLines w:val="0"/>
        <w:widowControl/>
        <w:spacing w:before="0" w:after="0" w:line="36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</w:rPr>
      </w:pPr>
      <w:r>
        <w:t>На рисунке 2.9 показаны годовые значения PUE у ведущих операторов ЦОД по публичным отчётам за 2024 год.</w:t>
      </w:r>
    </w:p>
    <w:p w14:paraId="48F3AADA">
      <w:pPr>
        <w:keepNext/>
        <w:jc w:val="center"/>
      </w:pPr>
      <w:r>
        <w:drawing>
          <wp:inline distT="0" distB="0" distL="114300" distR="114300">
            <wp:extent cx="5394960" cy="2915285"/>
            <wp:effectExtent l="0" t="0" r="152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433A">
      <w:pPr>
        <w:keepLines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2.9 — Годовые значения PUE у ведущих операторов ЦОД по публичным отчётам за 2024 год</w:t>
      </w:r>
    </w:p>
    <w:p w14:paraId="7EB2146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Практика эксплуатации ЦОД подтверждает высокую роль климатического фактора: в холодных регионах большая доля естественного охлаждения позволяет приблизить PUE к лучшим мировым значениям; пример такого решения приведён на рисунке 2.10.</w:t>
      </w:r>
    </w:p>
    <w:p w14:paraId="0BB01562">
      <w:pPr>
        <w:keepNext/>
        <w:jc w:val="center"/>
      </w:pPr>
      <w:r>
        <w:drawing>
          <wp:inline distT="0" distB="0" distL="114300" distR="114300">
            <wp:extent cx="5029200" cy="3771900"/>
            <wp:effectExtent l="0" t="0" r="0" b="127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FE14">
      <w:pPr>
        <w:keepLines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2.10 — Дата-центр Meta в Лулео, Швеция: пример реализации free-air cooling с годовым PUE ≈ 1,08</w:t>
      </w:r>
    </w:p>
    <w:p w14:paraId="2B1299C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Даже при наличии free cooling величина экономии сильно зависит от температурных уставок. Если температура подачи занижена, доля часов естественного охлаждения сокращается, а потребление компрессоров растёт.</w:t>
      </w:r>
    </w:p>
    <w:p w14:paraId="46AF8AA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таблице 2.1 сопоставлены критерии включения экономайзера в инженерной практике.</w:t>
      </w:r>
    </w:p>
    <w:p w14:paraId="0F5FCC06">
      <w:pPr>
        <w:keepNext/>
        <w:keepLines/>
        <w:spacing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2.1 — Сопоставление критериев включения экономайзера в инженерной практике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8"/>
        <w:gridCol w:w="3275"/>
        <w:gridCol w:w="4227"/>
      </w:tblGrid>
      <w:tr w14:paraId="6FF945AD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A5E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Критерий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F94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Порог/условие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783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Комментарий</w:t>
            </w:r>
          </w:p>
        </w:tc>
      </w:tr>
      <w:tr w14:paraId="4354DE1C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F50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 сухому термометру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A81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tн ≤ 24 °C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060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Типовая «high-limit» отсечка для air-side экономайзера [19]</w:t>
            </w:r>
          </w:p>
        </w:tc>
      </w:tr>
      <w:tr w14:paraId="325615D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A26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 энтальпии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F10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hн ≤ 47 кДж/кг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5FF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Ограничение по энтальпии наружного воздуха для исключения избыточной влажности [19]</w:t>
            </w:r>
          </w:p>
        </w:tc>
      </w:tr>
      <w:tr w14:paraId="76AE80C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EED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 уставке ASHRAE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CDA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tвх сервера 18–27 °C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D8AC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Рекомендуемый диапазон для A-класса оборудования [11]</w:t>
            </w:r>
          </w:p>
        </w:tc>
      </w:tr>
      <w:tr w14:paraId="1AC3DB2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3BD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 надежности (EN 50600)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B2F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Класс доступности/контроль среды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F45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Увязка с требованиями к управлению микроклиматом [18]</w:t>
            </w:r>
          </w:p>
        </w:tc>
      </w:tr>
    </w:tbl>
    <w:p w14:paraId="236BA2D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Климат, температурные уставки и режимы регулирования сильнее всего влияют на энергетическую эффективность хладоцентра, поэтому в дальнейшей методике расчёта они рассматриваются как базовые параметры.</w:t>
      </w:r>
    </w:p>
    <w:p w14:paraId="337CBE9F">
      <w:r>
        <w:t>Количественное обоснование отказа от air-side economizer для СПб. По среднегодовой энтальпии наружного воздуха (h_нар.ср ≈ 18 кДж/кг при T_ср = 5,8 °C, φ = 78 %) и границе зоны Allowable A1 ASHRAE TC 9.9 [4] (h_max = 52 кДж/кг при 32 °C/60 %) допустимые часы прямого фрикулинга по энтальпии составляют 6 850 ч/год — лишь на ≈ 25 % больше, чем у water-side economizer (5 502 ч/год при MCT = 10 °C). Прямой подвод наружного воздуха в машинный зал требует двухступенчатой фильтрации F7+F9 по СП 60.13330.2020 [30], увлажнения в отопительный период и осушения в июле–августе; CAPEX увеличивается на 18–22 %, OPEX вспомогательного оборудования — на 6–8 %. Совокупно водосторонний фрикулинг через драйкулер и ПТО даёт меньшую стоимость жизненного цикла, поэтому air-side economizer в работе не рассматривается.</w:t>
      </w:r>
    </w:p>
    <w:p w14:paraId="39FF1BB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Для расчётного объекта приняты климатические данные Санкт-Петербурга по СП 131.13330.2020 [3] и многолетним наблюдениям репрезентативной метеостанции Пулково.</w:t>
      </w:r>
    </w:p>
    <w:p w14:paraId="2083C7D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2.11 показано главное здание Пулковской обсерватории как репрезентативная метеостанция Санкт-Петербурга.</w:t>
      </w:r>
    </w:p>
    <w:p w14:paraId="25C4C586">
      <w:pPr>
        <w:keepNext/>
        <w:jc w:val="center"/>
      </w:pPr>
      <w:r>
        <w:drawing>
          <wp:inline distT="0" distB="0" distL="114300" distR="114300">
            <wp:extent cx="4846320" cy="3230880"/>
            <wp:effectExtent l="0" t="0" r="5080" b="203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12EF">
      <w:pPr>
        <w:keepLines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2.11 — Главное здание Пулковской обсерватории — репрезентативная метеостанция Санкт-Петербурга (WMO 26063)</w:t>
      </w:r>
    </w:p>
    <w:p w14:paraId="6E7DF54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проектирования приняты расчётные параметры наружного воздуха: летняя температура +25 °C, зимняя −24 °C, среднегодовая около +5,4 °C.</w:t>
      </w:r>
    </w:p>
    <w:p w14:paraId="3549F0E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По данным СП 131.13330.2020 [3] и Росгидромета составлена сводная таблица среднемесячных параметров наружного воздуха для Санкт-Петербурга (таблица 2.2). Влагосодержание d и энтальпия h рассчитаны по формулам (2.4)–(2.5) при барометрическом давлении 101 325 Па.</w:t>
      </w:r>
    </w:p>
    <w:p w14:paraId="2494F4D6">
      <w:pPr>
        <w:keepNext/>
        <w:keepLines/>
        <w:spacing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2.2 — Среднемесячные климатические параметры наружного воздуха, Санкт-Петербург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842"/>
        <w:gridCol w:w="800"/>
        <w:gridCol w:w="1187"/>
        <w:gridCol w:w="990"/>
        <w:gridCol w:w="1435"/>
      </w:tblGrid>
      <w:tr w14:paraId="51132F0F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EF52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83DD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iCs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°С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4EF0E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iCs/>
                <w:color w:val="000000"/>
                <w:sz w:val="28"/>
              </w:rPr>
              <w:t>φ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6653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iCs/>
                <w:color w:val="000000"/>
                <w:sz w:val="28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_н, Па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8014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iCs/>
                <w:color w:val="000000"/>
                <w:sz w:val="28"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г/кг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ABD1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iCs/>
                <w:color w:val="000000"/>
                <w:sz w:val="28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кДж/кг</w:t>
            </w:r>
          </w:p>
        </w:tc>
      </w:tr>
      <w:tr w14:paraId="519942F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A87D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Январь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9056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−6,6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529D7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232F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8CE0C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1,80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454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−2,05</w:t>
            </w:r>
          </w:p>
        </w:tc>
      </w:tr>
      <w:tr w14:paraId="2DA0E16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BF5E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Февраль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B116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−6,3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9C451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38EF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353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F8A5B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1,80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886C7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−1,78</w:t>
            </w:r>
          </w:p>
        </w:tc>
      </w:tr>
      <w:tr w14:paraId="061BEDB4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05DB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Март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F9AD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−1,5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7693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141C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539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F8B7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2,60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161D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4,97</w:t>
            </w:r>
          </w:p>
        </w:tc>
      </w:tr>
      <w:tr w14:paraId="3AE31597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A6950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Апрель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D38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6EE06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F3DC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842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EB52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3,63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E7AA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13,63</w:t>
            </w:r>
          </w:p>
        </w:tc>
      </w:tr>
      <w:tr w14:paraId="6674B95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37D7D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78BB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10,9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1D1C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9877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1 302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E974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5,23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1868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24,14</w:t>
            </w:r>
          </w:p>
        </w:tc>
      </w:tr>
      <w:tr w14:paraId="52BDDEF0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9328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Июнь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45A2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C80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8BC9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1 782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B18D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7,61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E36E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35,25</w:t>
            </w:r>
          </w:p>
        </w:tc>
      </w:tr>
      <w:tr w14:paraId="45796EE8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1BBC7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F1A2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2C22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12940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2 102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E3C9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9,18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27CD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41,78</w:t>
            </w:r>
          </w:p>
        </w:tc>
      </w:tr>
      <w:tr w14:paraId="1DDCFD0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4FD9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Август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DAB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AB51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0C9D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1 900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EAC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9,05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2C106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39,60</w:t>
            </w:r>
          </w:p>
        </w:tc>
      </w:tr>
      <w:tr w14:paraId="208B6CA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67DE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Сентябрь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2BA1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11,4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EF19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2661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1 349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A409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6,73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9BC2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28,52</w:t>
            </w:r>
          </w:p>
        </w:tc>
      </w:tr>
      <w:tr w14:paraId="76476AC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9975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Октябрь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8CDE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EACD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D865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4EC3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4,71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7D3FE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17,64</w:t>
            </w:r>
          </w:p>
        </w:tc>
      </w:tr>
      <w:tr w14:paraId="5EBC0BD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F81F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5C243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24BC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1F45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7BA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F9C5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8,45</w:t>
            </w:r>
          </w:p>
        </w:tc>
      </w:tr>
      <w:tr w14:paraId="6C1F783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EA6A1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Декабрь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D647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−3,9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3496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75EE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437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7B1E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2,35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574B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1,99</w:t>
            </w:r>
          </w:p>
        </w:tc>
      </w:tr>
    </w:tbl>
    <w:p w14:paraId="09C72F0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Обозначения давления насыщенного пара, влагосодержания и энтальпии приведены в примечании к таблице 2.2.</w:t>
      </w:r>
    </w:p>
    <w:p w14:paraId="7391E66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Давление насыщенного водяного пара в диапазоне рабочих температур определяли по формуле Магнуса, приведённой в выражении (2.11).</w:t>
      </w:r>
    </w:p>
    <w:p w14:paraId="639A6A42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P</m:t>
            </m:r>
          </m:e>
          <m:sub>
            <m:r>
              <m:rPr/>
              <m:t>н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r>
          <m:rPr/>
          <m:t>610</m:t>
        </m:r>
        <m:r>
          <m:rPr>
            <m:sty m:val="p"/>
          </m:rPr>
          <m:t>,</m:t>
        </m:r>
        <m:r>
          <m:rPr/>
          <m:t>5</m:t>
        </m:r>
        <m:r>
          <m:rPr>
            <m:sty m:val="p"/>
          </m:rPr>
          <m:t>⋅</m:t>
        </m:r>
        <m:r>
          <m:rPr>
            <m:nor/>
            <m:sty m:val="p"/>
          </m:rPr>
          <m:t>exp</m:t>
        </m:r>
        <m:r>
          <m:rPr/>
          <m:t>​</m:t>
        </m:r>
        <m:d>
          <m:dPr/>
          <m:e>
            <m:f>
              <m:fPr/>
              <m:num>
                <m:r>
                  <m:rPr/>
                  <m:t>17</m:t>
                </m:r>
                <m:r>
                  <m:rPr>
                    <m:sty m:val="p"/>
                  </m:rPr>
                  <m:t>,</m:t>
                </m:r>
                <m:r>
                  <m:rPr/>
                  <m:t>27</m:t>
                </m:r>
                <m:r>
                  <m:rPr>
                    <m:sty m:val="p"/>
                  </m:rPr>
                  <m:t>⋅</m:t>
                </m:r>
                <m:r>
                  <m:rPr/>
                  <m:t>T</m:t>
                </m:r>
              </m:num>
              <m:den>
                <m:r>
                  <m:rPr/>
                  <m:t>T</m:t>
                </m:r>
                <m:r>
                  <m:rPr>
                    <m:sty m:val="p"/>
                  </m:rPr>
                  <m:t>+</m:t>
                </m:r>
                <m:r>
                  <m:rPr/>
                  <m:t>237</m:t>
                </m:r>
                <m:r>
                  <m:rPr>
                    <m:sty m:val="p"/>
                  </m:rPr>
                  <m:t>,</m:t>
                </m:r>
                <m:r>
                  <m:rPr/>
                  <m:t>3</m:t>
                </m:r>
              </m:den>
            </m:f>
          </m:e>
        </m:d>
        <m:r>
          <m:rPr>
            <m:sty m:val="p"/>
          </m:rPr>
          <m:t>,</m:t>
        </m:r>
        <m:r>
          <m:rPr/>
          <m:t> </m:t>
        </m:r>
        <m:r>
          <m:rPr>
            <m:nor/>
            <m:sty m:val="p"/>
          </m:rPr>
          <w:rPr>
            <w:b w:val="0"/>
            <w:i w:val="0"/>
          </w:rPr>
          <m:t>Па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(2.11)</w:t>
      </w:r>
    </w:p>
    <w:p w14:paraId="480F87B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T — температура воздуха, °C.</w:t>
      </w:r>
    </w:p>
    <w:p w14:paraId="094D229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Влагосодержание влажного воздуха рассчитывали по формуле (2.12), согласованной с выражением (2.5) основного текста.</w:t>
      </w:r>
    </w:p>
    <w:p w14:paraId="4E544496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d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622</m:t>
        </m:r>
        <m:r>
          <m:rPr>
            <m:sty m:val="p"/>
          </m:rPr>
          <m:t>⋅</m:t>
        </m:r>
        <m:f>
          <m:fPr/>
          <m:num>
            <m:r>
              <m:rPr/>
              <m:t>φ</m:t>
            </m:r>
            <m:r>
              <m:rPr>
                <m:sty m:val="p"/>
              </m:rPr>
              <m:t>⋅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н</m:t>
                </m:r>
              </m:sub>
            </m:sSub>
          </m:num>
          <m:den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б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φ</m:t>
            </m:r>
            <m:r>
              <m:rPr>
                <m:sty m:val="p"/>
              </m:rPr>
              <m:t>⋅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н</m:t>
                </m:r>
              </m:sub>
            </m:sSub>
          </m:den>
        </m:f>
        <m:r>
          <m:rPr>
            <m:sty m:val="p"/>
          </m:rPr>
          <m:t>,</m:t>
        </m:r>
        <m:r>
          <m:rPr/>
          <m:t> </m:t>
        </m:r>
        <m:r>
          <m:rPr>
            <m:nor/>
            <m:sty m:val="p"/>
          </m:rPr>
          <w:rPr>
            <w:b w:val="0"/>
            <w:i w:val="0"/>
          </w:rPr>
          <m:t>кг/кг с. в.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(2.12)</w:t>
      </w:r>
    </w:p>
    <w:p w14:paraId="4459868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</w:rPr>
        <w:t>φ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относительная влажность (доли единицы); 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</w:rPr>
        <w:t>P</w:t>
      </w:r>
      <w:r>
        <w:rPr>
          <w:rFonts w:ascii="Times New Roman" w:hAnsi="Times New Roman" w:eastAsia="Times New Roman" w:cs="Times New Roman"/>
          <w:color w:val="000000"/>
          <w:sz w:val="28"/>
        </w:rPr>
        <w:t>_б = 101 325 Па — барометрическое давление.</w:t>
      </w:r>
    </w:p>
    <w:p w14:paraId="476AD35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Удельная энтальпия влажного воздуха:</w:t>
      </w:r>
    </w:p>
    <w:p w14:paraId="0BAA58D0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h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006</m:t>
        </m:r>
        <m:r>
          <m:rPr>
            <m:sty m:val="p"/>
          </m:rPr>
          <m:t>⋅</m:t>
        </m:r>
        <m:r>
          <m:rPr/>
          <m:t>T</m:t>
        </m:r>
        <m:r>
          <m:rPr>
            <m:sty m:val="p"/>
          </m:rPr>
          <m:t>+</m:t>
        </m:r>
        <m:r>
          <m:rPr/>
          <m:t>d</m:t>
        </m:r>
        <m:r>
          <m:rPr>
            <m:sty m:val="p"/>
          </m:rPr>
          <m:t>⋅(</m:t>
        </m:r>
        <m:r>
          <m:rPr/>
          <m:t>2501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,</m:t>
        </m:r>
        <m:r>
          <m:rPr/>
          <m:t>86</m:t>
        </m:r>
        <m:r>
          <m:rPr>
            <m:sty m:val="p"/>
          </m:rPr>
          <m:t>⋅</m:t>
        </m:r>
        <m:r>
          <m:rPr/>
          <m:t>T</m:t>
        </m:r>
        <m:r>
          <m:rPr>
            <m:sty m:val="p"/>
          </m:rPr>
          <m:t>),</m:t>
        </m:r>
        <m:r>
          <m:rPr/>
          <m:t> </m:t>
        </m:r>
        <m:r>
          <m:rPr>
            <m:nor/>
            <m:sty m:val="p"/>
          </m:rPr>
          <w:rPr>
            <w:b w:val="0"/>
            <w:i w:val="0"/>
          </w:rPr>
          <m:t>кДж/кг с. в.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(2.13)</w:t>
      </w:r>
    </w:p>
    <w:p w14:paraId="28D0F68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самого тёплого месяца проверка расчётов по формулам (2.14)–(2.16) подтвердила приемлемую сходимость с табличными значениями.</w:t>
      </w:r>
    </w:p>
    <w:p w14:paraId="6CF7C848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P</m:t>
            </m:r>
          </m:e>
          <m:sub>
            <m:r>
              <m:rPr/>
              <m:t>н</m:t>
            </m:r>
          </m:sub>
        </m:sSub>
        <m:r>
          <m:rPr>
            <m:sty m:val="p"/>
          </m:rPr>
          <m:t>=</m:t>
        </m:r>
        <m:r>
          <m:rPr/>
          <m:t>610</m:t>
        </m:r>
        <m:r>
          <m:rPr>
            <m:sty m:val="p"/>
          </m:rPr>
          <m:t>,</m:t>
        </m:r>
        <m:r>
          <m:rPr/>
          <m:t>5</m:t>
        </m:r>
        <m:r>
          <m:rPr>
            <m:sty m:val="p"/>
          </m:rPr>
          <m:t>⋅</m:t>
        </m:r>
        <m:r>
          <m:rPr>
            <m:nor/>
            <m:sty m:val="p"/>
          </m:rPr>
          <m:t>exp</m:t>
        </m:r>
        <m:r>
          <m:rPr/>
          <m:t>​</m:t>
        </m:r>
        <m:d>
          <m:dPr/>
          <m:e>
            <m:f>
              <m:fPr/>
              <m:num>
                <m:r>
                  <m:rPr/>
                  <m:t>17</m:t>
                </m:r>
                <m:r>
                  <m:rPr>
                    <m:sty m:val="p"/>
                  </m:rPr>
                  <m:t>,</m:t>
                </m:r>
                <m:r>
                  <m:rPr/>
                  <m:t>27</m:t>
                </m:r>
                <m:r>
                  <m:rPr>
                    <m:sty m:val="p"/>
                  </m:rPr>
                  <m:t>⋅</m:t>
                </m:r>
                <m:r>
                  <m:rPr/>
                  <m:t>18</m:t>
                </m:r>
                <m:r>
                  <m:rPr>
                    <m:sty m:val="p"/>
                  </m:rPr>
                  <m:t>,</m:t>
                </m:r>
                <m:r>
                  <m:rPr/>
                  <m:t>8</m:t>
                </m:r>
              </m:num>
              <m:den>
                <m:r>
                  <m:rPr/>
                  <m:t>18</m:t>
                </m:r>
                <m:r>
                  <m:rPr>
                    <m:sty m:val="p"/>
                  </m:rPr>
                  <m:t>,</m:t>
                </m:r>
                <m:r>
                  <m:rPr/>
                  <m:t>8</m:t>
                </m:r>
                <m:r>
                  <m:rPr>
                    <m:sty m:val="p"/>
                  </m:rPr>
                  <m:t>+</m:t>
                </m:r>
                <m:r>
                  <m:rPr/>
                  <m:t>237</m:t>
                </m:r>
                <m:r>
                  <m:rPr>
                    <m:sty m:val="p"/>
                  </m:rPr>
                  <m:t>,</m:t>
                </m:r>
                <m:r>
                  <m:rPr/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/>
          <m:t>610</m:t>
        </m:r>
        <m:r>
          <m:rPr>
            <m:sty m:val="p"/>
          </m:rPr>
          <m:t>,</m:t>
        </m:r>
        <m:r>
          <m:rPr/>
          <m:t>5</m:t>
        </m:r>
        <m:r>
          <m:rPr>
            <m:sty m:val="p"/>
          </m:rPr>
          <m:t>⋅</m:t>
        </m:r>
        <m:r>
          <m:rPr>
            <m:nor/>
            <m:sty m:val="p"/>
          </m:rPr>
          <m:t>exp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,</m:t>
        </m:r>
        <m:r>
          <m:rPr/>
          <m:t>269</m:t>
        </m:r>
        <m:r>
          <m:rPr>
            <m:sty m:val="p"/>
          </m:rPr>
          <m:t>)=</m:t>
        </m:r>
        <m:r>
          <m:rPr/>
          <m:t>2 168</m:t>
        </m:r>
        <m:r>
          <m:rPr>
            <m:nor/>
            <m:sty m:val="p"/>
          </m:rPr>
          <w:rPr>
            <w:b w:val="0"/>
            <w:i w:val="0"/>
          </w:rPr>
          <m:t>Па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(2.14)</w:t>
      </w:r>
    </w:p>
    <w:p w14:paraId="5C6A5088">
      <w:pPr>
        <w:keepNext w:val="0"/>
        <w:keepLines w:val="0"/>
        <w:widowControl/>
        <w:spacing w:before="0" w:after="0" w:line="360" w:lineRule="auto"/>
        <w:ind w:firstLine="709"/>
        <w:jc w:val="both"/>
      </w:pPr>
    </w:p>
    <w:p w14:paraId="1B44929F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d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622</m:t>
        </m:r>
        <m:r>
          <m:rPr>
            <m:sty m:val="p"/>
          </m:rPr>
          <m:t>⋅</m:t>
        </m:r>
        <m:f>
          <m:fPr/>
          <m:num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70</m:t>
            </m:r>
            <m:r>
              <m:rPr>
                <m:sty m:val="p"/>
              </m:rPr>
              <m:t>⋅</m:t>
            </m:r>
            <m:r>
              <m:rPr/>
              <m:t>2 168</m:t>
            </m:r>
          </m:num>
          <m:den>
            <m:r>
              <m:rPr/>
              <m:t>101 325</m:t>
            </m:r>
            <m:r>
              <m:rPr>
                <m:sty m:val="p"/>
              </m:rPr>
              <m:t>−</m:t>
            </m:r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70</m:t>
            </m:r>
            <m:r>
              <m:rPr>
                <m:sty m:val="p"/>
              </m:rPr>
              <m:t>⋅</m:t>
            </m:r>
            <m:r>
              <m:rPr/>
              <m:t>2 168</m:t>
            </m:r>
          </m:den>
        </m:f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622</m:t>
        </m:r>
        <m:r>
          <m:rPr>
            <m:sty m:val="p"/>
          </m:rPr>
          <m:t>⋅</m:t>
        </m:r>
        <m:f>
          <m:fPr/>
          <m:num>
            <m:r>
              <m:rPr/>
              <m:t>1 518</m:t>
            </m:r>
          </m:num>
          <m:den>
            <m:r>
              <m:rPr/>
              <m:t>99 807</m:t>
            </m:r>
          </m:den>
        </m:f>
        <m:r>
          <m:rPr>
            <m:sty m:val="p"/>
          </m:rPr>
          <m:t>=</m:t>
        </m:r>
        <m:r>
          <m:rPr/>
          <m:t>9</m:t>
        </m:r>
        <m:r>
          <m:rPr>
            <m:sty m:val="p"/>
          </m:rPr>
          <m:t>,</m:t>
        </m:r>
        <m:r>
          <m:rPr/>
          <m:t>46</m:t>
        </m:r>
        <m:r>
          <m:rPr>
            <m:nor/>
            <m:sty m:val="p"/>
          </m:rPr>
          <w:rPr>
            <w:b w:val="0"/>
            <w:i w:val="0"/>
          </w:rPr>
          <m:t>г/кг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(2.15)</w:t>
      </w:r>
    </w:p>
    <w:p w14:paraId="129C36B6">
      <w:pPr>
        <w:keepNext w:val="0"/>
        <w:keepLines w:val="0"/>
        <w:widowControl/>
        <w:spacing w:before="0" w:after="0" w:line="360" w:lineRule="auto"/>
        <w:ind w:firstLine="709"/>
        <w:jc w:val="both"/>
      </w:pPr>
    </w:p>
    <w:p w14:paraId="6165AEB3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h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006</m:t>
        </m:r>
        <m:r>
          <m:rPr>
            <m:sty m:val="p"/>
          </m:rPr>
          <m:t>⋅</m:t>
        </m:r>
        <m:r>
          <m:rPr/>
          <m:t>18</m:t>
        </m:r>
        <m:r>
          <m:rPr>
            <m:sty m:val="p"/>
          </m:rPr>
          <m:t>,</m:t>
        </m:r>
        <m:r>
          <m:rPr/>
          <m:t>8</m:t>
        </m:r>
        <m:r>
          <m:rPr>
            <m:sty m:val="p"/>
          </m:rPr>
          <m:t>+</m:t>
        </m:r>
        <m:r>
          <m:rPr/>
          <m:t>0</m:t>
        </m:r>
        <m:r>
          <m:rPr>
            <m:sty m:val="p"/>
          </m:rPr>
          <m:t>,</m:t>
        </m:r>
        <m:r>
          <m:rPr/>
          <m:t>009 46</m:t>
        </m:r>
        <m:r>
          <m:rPr>
            <m:sty m:val="p"/>
          </m:rPr>
          <m:t>⋅(</m:t>
        </m:r>
        <m:r>
          <m:rPr/>
          <m:t>2501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,</m:t>
        </m:r>
        <m:r>
          <m:rPr/>
          <m:t>86</m:t>
        </m:r>
        <m:r>
          <m:rPr>
            <m:sty m:val="p"/>
          </m:rPr>
          <m:t>⋅</m:t>
        </m:r>
        <m:r>
          <m:rPr/>
          <m:t>18</m:t>
        </m:r>
        <m:r>
          <m:rPr>
            <m:sty m:val="p"/>
          </m:rPr>
          <m:t>,</m:t>
        </m:r>
        <m:r>
          <m:rPr/>
          <m:t>8</m:t>
        </m:r>
        <m:r>
          <m:rPr>
            <m:sty m:val="p"/>
          </m:rPr>
          <m:t>)=</m:t>
        </m:r>
        <m:r>
          <m:rPr/>
          <m:t>18</m:t>
        </m:r>
        <m:r>
          <m:rPr>
            <m:sty m:val="p"/>
          </m:rPr>
          <m:t>,</m:t>
        </m:r>
        <m:r>
          <m:rPr/>
          <m:t>91</m:t>
        </m:r>
        <m:r>
          <m:rPr>
            <m:sty m:val="p"/>
          </m:rPr>
          <m:t>+</m:t>
        </m:r>
        <m:r>
          <m:rPr/>
          <m:t>23</m:t>
        </m:r>
        <m:r>
          <m:rPr>
            <m:sty m:val="p"/>
          </m:rPr>
          <m:t>,</m:t>
        </m:r>
        <m:r>
          <m:rPr/>
          <m:t>99</m:t>
        </m:r>
        <m:r>
          <m:rPr>
            <m:sty m:val="p"/>
          </m:rPr>
          <m:t>=</m:t>
        </m:r>
        <m:r>
          <m:rPr/>
          <m:t>42</m:t>
        </m:r>
        <m:r>
          <m:rPr>
            <m:sty m:val="p"/>
          </m:rPr>
          <m:t>,</m:t>
        </m:r>
        <m:r>
          <m:rPr/>
          <m:t>9</m:t>
        </m:r>
        <m:r>
          <m:rPr>
            <m:nor/>
            <m:sty m:val="p"/>
          </m:rPr>
          <w:rPr>
            <w:b w:val="0"/>
            <w:i w:val="0"/>
          </w:rPr>
          <m:t>кДж/кг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hint="default" w:eastAsia="Times New Roman" w:cs="Times New Roman"/>
          <w:color w:val="000000"/>
          <w:sz w:val="28"/>
          <w:lang w:val="ru-RU"/>
        </w:rPr>
        <w:tab/>
      </w:r>
      <w:r>
        <w:rPr>
          <w:rFonts w:hint="default" w:eastAsia="Times New Roman" w:cs="Times New Roman"/>
          <w:color w:val="000000"/>
          <w:sz w:val="28"/>
          <w:lang w:val="ru-RU"/>
        </w:rPr>
        <w:tab/>
      </w:r>
      <w:r>
        <w:rPr>
          <w:rFonts w:hint="default" w:eastAsia="Times New Roman" w:cs="Times New Roman"/>
          <w:color w:val="000000"/>
          <w:sz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(2.16)</w:t>
      </w:r>
    </w:p>
    <w:p w14:paraId="4E4AB04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Градусо-сутки отопительного и охладительного периодов используют как интегральные климатические индикаторы годовых энергетических затрат; они позволяют сопоставлять различные площадки по потенциалу free cooling.</w:t>
      </w:r>
    </w:p>
    <w:p w14:paraId="7E68B34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таблице 2.3 приведены значения градусо-суток для Санкт-Петербурга.</w:t>
      </w:r>
    </w:p>
    <w:p w14:paraId="2AB4E656">
      <w:pPr>
        <w:keepNext/>
        <w:keepLines/>
        <w:spacing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2.3 — Градусо-сутки для Санкт-Петербурга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3"/>
        <w:gridCol w:w="2170"/>
        <w:gridCol w:w="4607"/>
      </w:tblGrid>
      <w:tr w14:paraId="2C91D4D4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5FF0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11D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Значение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DCB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Примечание</w:t>
            </w:r>
          </w:p>
        </w:tc>
      </w:tr>
      <w:tr w14:paraId="7FFBC8A3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BF43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HDD₁₅ (база 15 °С)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FDE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3 850 °С·сут/год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8E3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EN ISO 15927–6, Росгидромет [14]</w:t>
            </w:r>
          </w:p>
        </w:tc>
      </w:tr>
      <w:tr w14:paraId="2D6B86F4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A78B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HDD₁₈ (база 18 °С)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23D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4 962 °С·сут/год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6E6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Для расчёта отопительной нагрузки ЦОД</w:t>
            </w:r>
          </w:p>
        </w:tc>
      </w:tr>
      <w:tr w14:paraId="49D8177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99A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CDD₁₀ (база 10 °С)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76C8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210 °С·сут/год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6D8A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Незначительная охладительная нагрузка</w:t>
            </w:r>
          </w:p>
        </w:tc>
      </w:tr>
      <w:tr w14:paraId="4859ECC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FB9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Отопительный период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DA5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220 сут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89B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СП 131.13330.2020 [3]</w:t>
            </w:r>
          </w:p>
        </w:tc>
      </w:tr>
      <w:tr w14:paraId="79B636E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987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Число часов </w:t>
            </w:r>
            <w:r>
              <w:rPr>
                <w:rFonts w:ascii="Times New Roman" w:hAnsi="Times New Roman" w:eastAsia="Times New Roman" w:cs="Times New Roman"/>
                <w:b w:val="0"/>
                <w:i/>
                <w:iCs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_н &lt; 12 °С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A5A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5 760 ч/год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BD1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Потенциал фрикулинга (см. формулу 2.6)</w:t>
            </w:r>
          </w:p>
        </w:tc>
      </w:tr>
      <w:tr w14:paraId="304B34A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912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Число часов </w:t>
            </w:r>
            <w:r>
              <w:rPr>
                <w:rFonts w:ascii="Times New Roman" w:hAnsi="Times New Roman" w:eastAsia="Times New Roman" w:cs="Times New Roman"/>
                <w:b w:val="0"/>
                <w:i/>
                <w:iCs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_н &lt; 18 °С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8C63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7 008 ч/год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704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Расширенный фрикулинг с доохлаждением</w:t>
            </w:r>
          </w:p>
        </w:tc>
      </w:tr>
    </w:tbl>
    <w:p w14:paraId="178FE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</w:pPr>
      <w:r>
        <w:rPr>
          <w:rFonts w:ascii="Times New Roman" w:hAnsi="Times New Roman" w:eastAsia="Times New Roman" w:cs="Times New Roman"/>
          <w:color w:val="000000"/>
          <w:sz w:val="28"/>
        </w:rPr>
        <w:t>Высокое отношение HDD/CDD для Санкт-Петербурга подтверждает благоприятные климатические условия для применения естественного охлаждения в течение значительной части года.</w:t>
      </w:r>
    </w:p>
    <w:p w14:paraId="7382C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</w:pPr>
      <w:r>
        <w:t>На рисунке 2.12 показаны градусо-сутки отопительного и охладительного периодов для городов РФ.</w:t>
      </w:r>
    </w:p>
    <w:p w14:paraId="2C67AE94">
      <w:pPr>
        <w:keepNext/>
        <w:jc w:val="center"/>
      </w:pPr>
      <w:r>
        <w:drawing>
          <wp:inline distT="0" distB="0" distL="114300" distR="114300">
            <wp:extent cx="5760720" cy="3415665"/>
            <wp:effectExtent l="0" t="0" r="5080" b="133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03B5">
      <w:pPr>
        <w:keepLines/>
        <w:jc w:val="center"/>
        <w:rPr>
          <w:sz w:val="28"/>
          <w:szCs w:val="28"/>
        </w:rPr>
      </w:pPr>
      <w:r>
        <w:rPr>
          <w:sz w:val="28"/>
          <w:szCs w:val="28"/>
        </w:rPr>
        <w:t>Рисунок 2.12 — Градусо-сутки отопительного (HDD₁₈) и охладительного (CDD) периодов для городов РФ по СП 131.13330.2020 [3]</w:t>
      </w:r>
    </w:p>
    <w:p w14:paraId="7F90D66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оценки годовой эффективности воздушных чиллеров использована би-квадратичная модель, применяемая в расчётных пакетах EnergyPlus и DOE-2; её общий вид приведён в формуле (2.17).</w:t>
      </w:r>
    </w:p>
    <w:p w14:paraId="1A45AD79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>
            <m:nor/>
            <m:sty m:val="p"/>
          </m:rPr>
          <w:rPr>
            <w:b w:val="0"/>
            <w:i w:val="0"/>
          </w:rPr>
          <m:t>COP</m:t>
        </m:r>
        <m:r>
          <m:rPr>
            <m:sty m:val="p"/>
          </m:rPr>
          <m:t>(</m:t>
        </m:r>
        <m:r>
          <m:rPr/>
          <m:t>PLR</m:t>
        </m:r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конд</m:t>
            </m:r>
          </m:sub>
        </m:sSub>
        <m:r>
          <m:rPr>
            <m:sty m:val="p"/>
          </m:rPr>
          <m:t>)=</m:t>
        </m:r>
        <m:sSub>
          <m:sSubPr/>
          <m:e>
            <m:r>
              <m:rPr>
                <m:nor/>
                <m:sty m:val="p"/>
              </m:rPr>
              <w:rPr>
                <w:b w:val="0"/>
                <w:i w:val="0"/>
              </w:rPr>
              <m:t>COP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ном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f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cap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конд</m:t>
            </m:r>
          </m:sub>
        </m:sSub>
        <m:r>
          <m:rPr>
            <m:sty m:val="p"/>
          </m:rPr>
          <m:t>)⋅</m:t>
        </m:r>
        <m:sSub>
          <m:sSubPr/>
          <m:e>
            <m:r>
              <m:rPr/>
              <m:t>f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EIR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конд</m:t>
            </m:r>
          </m:sub>
        </m:sSub>
        <m:r>
          <m:rPr>
            <m:sty m:val="p"/>
          </m:rPr>
          <m:t>)⋅</m:t>
        </m:r>
        <m:sSub>
          <m:sSubPr/>
          <m:e>
            <m:r>
              <m:rPr/>
              <m:t>f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PLR</m:t>
            </m:r>
          </m:sub>
        </m:sSub>
        <m:r>
          <m:rPr>
            <m:sty m:val="p"/>
          </m:rPr>
          <m:t>(</m:t>
        </m:r>
        <m:r>
          <m:rPr/>
          <m:t>PLR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(2.17)</w:t>
      </w:r>
    </w:p>
    <w:p w14:paraId="6C40544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где: </w:t>
      </w:r>
      <w:r>
        <w:rPr>
          <w:rFonts w:ascii="Times New Roman" w:hAnsi="Times New Roman"/>
          <w:i/>
          <w:sz w:val="28"/>
        </w:rPr>
        <w:t>fcap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нормированная холодопроизводительность как функция температуры конденсации; </w:t>
      </w:r>
      <w:r>
        <w:rPr>
          <w:rFonts w:ascii="Times New Roman" w:hAnsi="Times New Roman"/>
          <w:i/>
          <w:sz w:val="28"/>
        </w:rPr>
        <w:t>fEIR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нормированный коэффициент потребления энергии (Energy Input Ratio); </w:t>
      </w:r>
      <w:r>
        <w:rPr>
          <w:rFonts w:ascii="Times New Roman" w:hAnsi="Times New Roman"/>
          <w:i/>
          <w:sz w:val="28"/>
        </w:rPr>
        <w:t>fPLR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кривая эффективности при частичной нагрузке; </w:t>
      </w:r>
      <w:r>
        <w:rPr>
          <w:rFonts w:ascii="Times New Roman" w:hAnsi="Times New Roman"/>
          <w:i/>
          <w:sz w:val="28"/>
        </w:rPr>
        <w:t>COP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фактический коэффициент производительности при заданных PLR и температуре конденсации; </w:t>
      </w:r>
      <w:r>
        <w:rPr>
          <w:rFonts w:ascii="Times New Roman" w:hAnsi="Times New Roman"/>
          <w:i/>
          <w:sz w:val="28"/>
        </w:rPr>
        <w:t>COP</w:t>
      </w:r>
      <w:r>
        <w:rPr>
          <w:rFonts w:ascii="Times New Roman" w:hAnsi="Times New Roman"/>
          <w:i/>
          <w:sz w:val="28"/>
          <w:vertAlign w:val="subscript"/>
        </w:rPr>
        <w:t>ном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номинальный коэффициент производительности при стандартных условиях AHRI 550/590; </w:t>
      </w:r>
      <w:r>
        <w:rPr>
          <w:rFonts w:ascii="Times New Roman" w:hAnsi="Times New Roman"/>
          <w:i/>
          <w:sz w:val="28"/>
        </w:rPr>
        <w:t>PLR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коэффициент частичной нагрузки (Part Load Ratio), безразмерный; </w:t>
      </w:r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/>
          <w:i/>
          <w:sz w:val="28"/>
          <w:vertAlign w:val="subscript"/>
        </w:rPr>
        <w:t>конд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температура конденсации, °C.</w:t>
      </w:r>
    </w:p>
    <w:p w14:paraId="44D4279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Функция аппроксимируется кубическим полиномом:</w:t>
      </w:r>
      <m:oMath>
        <m:sSub>
          <m:sSubPr/>
          <m:e>
            <m:r>
              <m:rPr/>
              <m:t>f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PLR</m:t>
            </m:r>
          </m:sub>
        </m:sSub>
      </m:oMath>
    </w:p>
    <w:p w14:paraId="1082843A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f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PLR</m:t>
            </m:r>
          </m:sub>
        </m:sSub>
        <m:r>
          <m:rPr>
            <m:sty m:val="p"/>
          </m:rPr>
          <m:t>(</m:t>
        </m:r>
        <m:r>
          <m:rPr/>
          <m:t>PLR</m:t>
        </m:r>
        <m:r>
          <m:rPr>
            <m:sty m:val="p"/>
          </m:rPr>
          <m:t>)=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⋅</m:t>
        </m:r>
        <m:r>
          <m:rPr/>
          <m:t>PLR</m:t>
        </m:r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⋅</m:t>
        </m:r>
        <m:r>
          <m:rPr/>
          <m:t>PL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⋅</m:t>
        </m:r>
        <m:r>
          <m:rPr/>
          <m:t>PL</m:t>
        </m:r>
        <m:sSup>
          <m:sSupPr/>
          <m:e>
            <m:r>
              <m:rPr/>
              <m:t>R</m:t>
            </m:r>
          </m:e>
          <m:sup>
            <m:r>
              <m:rPr/>
              <m:t>3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(2.18)</w:t>
      </w:r>
    </w:p>
    <w:p w14:paraId="00B0138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i/>
          <w:sz w:val="28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i/>
          <w:sz w:val="28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i/>
          <w:sz w:val="28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i/>
          <w:sz w:val="28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безразмерные эмпирические коэффициенты полинома, определяемые калибровкой по каталожным данным производителя; </w:t>
      </w:r>
      <w:r>
        <w:rPr>
          <w:rFonts w:ascii="Times New Roman" w:hAnsi="Times New Roman"/>
          <w:i/>
          <w:sz w:val="28"/>
        </w:rPr>
        <w:t>PLR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коэффициент частичной нагрузки. Для воздушных чиллеров класса «премиум» типичные значения: </w:t>
      </w:r>
      <w:r>
        <w:rPr>
          <w:rFonts w:ascii="Times New Roman" w:hAnsi="Times New Roman"/>
          <w:i/>
          <w:sz w:val="28"/>
        </w:rPr>
        <w:t>a₀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= 0,10; </w:t>
      </w:r>
      <w:r>
        <w:rPr>
          <w:rFonts w:ascii="Times New Roman" w:hAnsi="Times New Roman"/>
          <w:i/>
          <w:sz w:val="28"/>
        </w:rPr>
        <w:t>a₁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= 0,55; </w:t>
      </w:r>
      <w:r>
        <w:rPr>
          <w:rFonts w:ascii="Times New Roman" w:hAnsi="Times New Roman"/>
          <w:i/>
          <w:sz w:val="28"/>
        </w:rPr>
        <w:t>a₂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= 0,40; </w:t>
      </w:r>
      <w:r>
        <w:rPr>
          <w:rFonts w:ascii="Times New Roman" w:hAnsi="Times New Roman"/>
          <w:i/>
          <w:sz w:val="28"/>
        </w:rPr>
        <w:t>a₃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= −0,05, что соответствует максимуму COP в районе PLR ≈ 0,60–0,75.</w:t>
      </w:r>
    </w:p>
    <w:p w14:paraId="3E8BEC9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По каталогам Carrier и Daikin составлена таблица значений COP при частичных нагрузках и температуре наружного воздуха 35 °C (стандартные условия AHRI 550/590 [6]).</w:t>
      </w:r>
    </w:p>
    <w:p w14:paraId="452E2B5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Значения COP при частичных нагрузках для воздушных чиллеров класса ЦОД приведены в таблице 2.4.</w:t>
      </w:r>
    </w:p>
    <w:p w14:paraId="671164C1">
      <w:pPr>
        <w:keepNext/>
        <w:keepLines/>
        <w:spacing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2.4 — COP при частичных нагрузках для воздушных чиллеров класса ЦОД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1562"/>
        <w:gridCol w:w="2754"/>
        <w:gridCol w:w="3003"/>
      </w:tblGrid>
      <w:tr w14:paraId="71B18902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CF47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PLR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C27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Carrier 30XA-502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56F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Daikin EWAD420AJYNN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274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Примечание</w:t>
            </w:r>
          </w:p>
        </w:tc>
      </w:tr>
      <w:tr w14:paraId="56D596F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D560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704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2,89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18C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3,05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9FC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Полная нагрузка, </w:t>
            </w:r>
            <w:r>
              <w:rPr>
                <w:rFonts w:ascii="Times New Roman" w:hAnsi="Times New Roman" w:eastAsia="Times New Roman" w:cs="Times New Roman"/>
                <w:b w:val="0"/>
                <w:i/>
                <w:iCs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_нарвозд = 35 °С</w:t>
            </w:r>
          </w:p>
        </w:tc>
      </w:tr>
      <w:tr w14:paraId="2FCC64C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125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0,75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22C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3,21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E57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3,38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610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+11 % / +11 % к номиналу</w:t>
            </w:r>
          </w:p>
        </w:tc>
      </w:tr>
      <w:tr w14:paraId="283823E0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4209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2DF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3,54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062F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3,72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4EA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+22 % / +22 %</w:t>
            </w:r>
          </w:p>
        </w:tc>
      </w:tr>
      <w:tr w14:paraId="1D2F801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78C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0,25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F77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EE6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3,29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E780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Падение из-за минимальной нагрузки ВРД</w:t>
            </w:r>
          </w:p>
        </w:tc>
      </w:tr>
      <w:tr w14:paraId="20074D3C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AA3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IPLV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6F9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3,34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9048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3,51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B69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 AHRI 550/590 [2]</w:t>
            </w:r>
          </w:p>
        </w:tc>
      </w:tr>
      <w:tr w14:paraId="7F52C34C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034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NPLV (35 °С→10 °С)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AB8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4,82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3FE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5,10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09A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 Eurovent [12], скорр. на климат СПб</w:t>
            </w:r>
          </w:p>
        </w:tc>
      </w:tr>
    </w:tbl>
    <w:p w14:paraId="7F950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</w:pPr>
      <w:r>
        <w:rPr>
          <w:rFonts w:ascii="Times New Roman" w:hAnsi="Times New Roman"/>
          <w:sz w:val="28"/>
        </w:rPr>
        <w:t>*Источник: Carrier Product Data 30XA [26]; Daikin Engineering Data EWAD-AJYNN [31]; AHRI Standard 550/590 [6]; Eurovent Certification [32].</w:t>
      </w:r>
    </w:p>
    <w:p w14:paraId="7BE46D8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Значения NPLV для климата Санкт-Петербурга существенно превышают паспортные IPLV вследствие большого числа часов с низкой температурой конденсации. Это подтверждает эффективность применения указанных чиллеров именно в северных климатических зонах.</w:t>
      </w:r>
    </w:p>
    <w:p w14:paraId="7C9DC65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воздушных чиллеров изменение температуры наружного воздуха непосредственно влияет на температуру конденсации хладагента, что определяет работу компрессора. По данным производителей и результатам натурных испытаний [26], эмпирическая зависимость COP от температуры конденсации описывается выражением:</w:t>
      </w:r>
    </w:p>
    <w:p w14:paraId="7A877E4D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f>
          <m:fPr/>
          <m:num>
            <m:r>
              <m:rPr/>
              <m:t>Δ</m:t>
            </m:r>
            <m:r>
              <m:rPr>
                <m:nor/>
                <m:sty m:val="p"/>
              </m:rPr>
              <w:rPr>
                <w:b w:val="0"/>
                <w:i w:val="0"/>
              </w:rPr>
              <m:t>COP</m:t>
            </m:r>
          </m:num>
          <m:den>
            <m:sSub>
              <m:sSubPr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COP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ном</m:t>
                </m:r>
              </m:sub>
            </m:sSub>
          </m:den>
        </m:f>
        <m:r>
          <m:rPr>
            <m:sty m:val="p"/>
          </m:rPr>
          <m:t>≈−</m:t>
        </m:r>
        <m:sSub>
          <m:sSubPr/>
          <m:e>
            <m:r>
              <m:rPr/>
              <m:t>k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⋅</m:t>
        </m:r>
        <m:r>
          <m:rPr/>
          <m:t>Δ</m:t>
        </m:r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конд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(2.19)</w:t>
      </w:r>
    </w:p>
    <w:p w14:paraId="536C261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kT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= 0,020…0,030 °С⁻¹ (2–3 % на каждый 1 °C повышения температуры конденсации); </w:t>
      </w:r>
      <w:r>
        <w:rPr>
          <w:rFonts w:ascii="Times New Roman" w:hAnsi="Times New Roman"/>
          <w:i/>
          <w:sz w:val="28"/>
        </w:rPr>
        <w:t>ΔCOP/COP</w:t>
      </w:r>
      <w:r>
        <w:rPr>
          <w:rFonts w:ascii="Times New Roman" w:hAnsi="Times New Roman"/>
          <w:i/>
          <w:sz w:val="28"/>
          <w:vertAlign w:val="subscript"/>
        </w:rPr>
        <w:t>ном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относительное изменение коэффициента производительности относительно номинального значения, безразмерное; </w:t>
      </w:r>
      <w:r>
        <w:rPr>
          <w:rFonts w:ascii="Times New Roman" w:hAnsi="Times New Roman"/>
          <w:i/>
          <w:sz w:val="28"/>
        </w:rPr>
        <w:t>ΔT</w:t>
      </w:r>
      <w:r>
        <w:rPr>
          <w:rFonts w:ascii="Times New Roman" w:hAnsi="Times New Roman"/>
          <w:i/>
          <w:sz w:val="28"/>
          <w:vertAlign w:val="subscript"/>
        </w:rPr>
        <w:t>конд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изменение температуры конденсации относительно номинального режима, °C.</w:t>
      </w:r>
    </w:p>
    <w:p w14:paraId="2A904F2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чиллера Carrier 30XA при переходе от T_нарвозд = 35 °C (летние условия) к T_нарвозд = 10 °C (переходный период в СПб) температура конденсации снижается приблизительно на 22–25 °C, что даёт прирост COP на 44–75 % относительно номинального. Этот эффект — физическая основа высокого NPLV; он обосновывает выбор воздушного охлаждения конденсации для климата Санкт-Петербурга.</w:t>
      </w:r>
    </w:p>
    <w:p w14:paraId="7ED595A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Показатели IPLV и NPLV служат стандартизированными метриками сезонной эффективности чиллеров; для климатических условий Санкт-Петербурга более репрезентативен NPLV, так как значительная часть года проходит в области частичных нагрузок и пониженной температуры конденсации.</w:t>
      </w:r>
    </w:p>
    <w:p w14:paraId="7C189F8F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>
            <m:nor/>
            <m:sty m:val="p"/>
          </m:rPr>
          <w:rPr>
            <w:b w:val="0"/>
            <w:i w:val="0"/>
          </w:rPr>
          <m:t>IPLV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01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COP</m:t>
                </m:r>
              </m:e>
              <m:sub>
                <m:r>
                  <m:rPr/>
                  <m:t>100</m:t>
                </m:r>
              </m:sub>
            </m:sSub>
            <m:r>
              <m:rPr>
                <m:sty m:val="p"/>
              </m:rPr>
              <m:t>+</m:t>
            </m:r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42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COP</m:t>
                </m:r>
              </m:e>
              <m:sub>
                <m:r>
                  <m:rPr/>
                  <m:t>75</m:t>
                </m:r>
              </m:sub>
            </m:sSub>
            <m:r>
              <m:rPr>
                <m:sty m:val="p"/>
              </m:rPr>
              <m:t>+</m:t>
            </m:r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45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COP</m:t>
                </m:r>
              </m:e>
              <m:sub>
                <m:r>
                  <m:rPr/>
                  <m:t>50</m:t>
                </m:r>
              </m:sub>
            </m:sSub>
            <m:r>
              <m:rPr>
                <m:sty m:val="p"/>
              </m:rPr>
              <m:t>+</m:t>
            </m:r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12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COP</m:t>
                </m:r>
              </m:e>
              <m:sub>
                <m:r>
                  <m:rPr/>
                  <m:t>25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(2.20)</w:t>
      </w:r>
    </w:p>
    <w:p w14:paraId="224402B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Формула (2.10) определяет PUE как отношение полного потребления энергии объектом к потреблению ИТ-оборудования. Анализ опубликованных данных ведущих операторов ЦОД позволяет установить реалистичные бенчмарки и оценить достижимые значения PUE при различных архитектурах систем охлаждения.</w:t>
      </w:r>
    </w:p>
    <w:p w14:paraId="32A78B03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Сводные данные по бенчмаркам PUE ведущих операторов приведены в таблице 2.5.</w:t>
      </w:r>
    </w:p>
    <w:p w14:paraId="0181DB37">
      <w:pPr>
        <w:keepNext/>
        <w:keepLines/>
        <w:spacing w:line="24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2.5 — Бенчмарки годового PUE ведущих операторов ЦОД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353"/>
        <w:gridCol w:w="2815"/>
        <w:gridCol w:w="846"/>
        <w:gridCol w:w="1427"/>
      </w:tblGrid>
      <w:tr w14:paraId="2CAB2302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FF4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Оператор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2BCF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Объект / регион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658F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охлаждения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91A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PUE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B210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Год данных</w:t>
            </w:r>
          </w:p>
        </w:tc>
      </w:tr>
      <w:tr w14:paraId="6C524C6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632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Google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7BE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Хамина, Финляндия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3C6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Прямой фрикулинг, морская вода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2CB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1,06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5E0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2023</w:t>
            </w:r>
          </w:p>
        </w:tc>
      </w:tr>
      <w:tr w14:paraId="76C07C6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B9E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Google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48B5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Портфель (глобально)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1F9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ИИ-оптимизация + фрикулинг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DB4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848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2023</w:t>
            </w:r>
          </w:p>
        </w:tc>
      </w:tr>
      <w:tr w14:paraId="08F6FCE7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276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Яндекс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6DF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Владимир, Россия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33A5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Адиабатический фрикулинг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19D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1,17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1DB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2022</w:t>
            </w:r>
          </w:p>
        </w:tc>
      </w:tr>
      <w:tr w14:paraId="6CB6995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343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Яндекс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C72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Сасово, Россия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7CF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Адиабатический фрикулинг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DD8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1,19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DAF0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2022</w:t>
            </w:r>
          </w:p>
        </w:tc>
      </w:tr>
      <w:tr w14:paraId="5465DDEE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D7B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Digital Realty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3614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Амстердам, Нидерланды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096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Фрикулинг + DX резерв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423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1,28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7A6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2023</w:t>
            </w:r>
          </w:p>
        </w:tc>
      </w:tr>
      <w:tr w14:paraId="20313BFC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9C5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Meta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601E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Лулеа, Швеция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52A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Прямой воздушный фрикулинг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F36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1,07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C78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2022</w:t>
            </w:r>
          </w:p>
        </w:tc>
      </w:tr>
      <w:tr w14:paraId="127FE39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A36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SberCloud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D605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Россия (несколько)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DD1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+ ЧРП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B5A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1,35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AAA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2022</w:t>
            </w:r>
          </w:p>
        </w:tc>
      </w:tr>
      <w:tr w14:paraId="0C75F080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30E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Equinix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E12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Портфель (глобально)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6E8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Смешанные системы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416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1,48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4A7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2023</w:t>
            </w:r>
          </w:p>
        </w:tc>
      </w:tr>
      <w:tr w14:paraId="7EB1A47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6A30C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Equinix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FABD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Новый ЦОД Варшава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8083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Фрикулинг + чиллер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C18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1,22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CAB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2023</w:t>
            </w:r>
          </w:p>
        </w:tc>
      </w:tr>
      <w:tr w14:paraId="420C89E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CED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Проектируемый объект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173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Санкт-Петербург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36F1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+ фрикулинг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841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1,25*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69A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Прогноз</w:t>
            </w:r>
          </w:p>
        </w:tc>
      </w:tr>
    </w:tbl>
    <w:p w14:paraId="76341F74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>
            <m:nor/>
            <m:sty m:val="p"/>
          </m:rPr>
          <w:rPr>
            <w:b w:val="0"/>
            <w:i w:val="0"/>
          </w:rPr>
          <m:t>WUE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site</m:t>
                </m:r>
              </m:sub>
            </m:sSub>
          </m:num>
          <m:den>
            <m:sSub>
              <m:sSubPr/>
              <m:e>
                <m:r>
                  <m:rPr/>
                  <m:t>E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IT</m:t>
                </m:r>
              </m:sub>
            </m:sSub>
          </m:den>
        </m:f>
        <m:r>
          <m:rPr>
            <m:sty m:val="p"/>
          </m:rPr>
          <m:t>,</m:t>
        </m:r>
        <m:r>
          <m:rPr/>
          <m:t> </m:t>
        </m:r>
        <m:r>
          <m:rPr>
            <m:nor/>
            <m:sty m:val="p"/>
          </m:rPr>
          <w:rPr>
            <w:b w:val="0"/>
            <w:i w:val="0"/>
          </w:rPr>
          <m:t>л/кВт·ч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(2.21)</w:t>
      </w:r>
    </w:p>
    <w:bookmarkEnd w:id="23"/>
    <w:bookmarkEnd w:id="35"/>
    <w:p w14:paraId="72CC8B15">
      <w:pPr>
        <w:pStyle w:val="2"/>
        <w:keepNext/>
        <w:keepLines w:val="0"/>
        <w:pageBreakBefore/>
        <w:widowControl/>
        <w:spacing w:before="0" w:after="0" w:line="360" w:lineRule="auto"/>
        <w:ind w:firstLine="709"/>
        <w:jc w:val="both"/>
      </w:pPr>
      <w:bookmarkStart w:id="36" w:name="_Toc1656325712"/>
      <w:r>
        <w:rPr>
          <w:rFonts w:ascii="Times New Roman" w:hAnsi="Times New Roman" w:eastAsia="Times New Roman" w:cs="Times New Roman"/>
          <w:b/>
          <w:color w:val="000000"/>
          <w:sz w:val="28"/>
        </w:rPr>
        <w:t>ГЛАВА 3 МЕТОДИКА РАСЧЁТА ХЛАДОЦЕНТРА И ПОДБОР ОБОРУДОВАНИЯ</w:t>
      </w:r>
      <w:bookmarkEnd w:id="36"/>
    </w:p>
    <w:p w14:paraId="6F7E427B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37" w:name="_Toc35725523"/>
      <w:r>
        <w:t>3.1 Общие положения методики</w:t>
      </w:r>
      <w:bookmarkEnd w:id="37"/>
    </w:p>
    <w:p w14:paraId="40C12BB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Разработанная методика предназначена для проектирования хладоцентров ЦОД непрерывного режима работы и опирается на требования к температурному режиму ИТ-оборудования, оценку PUE и резервирование N+1.</w:t>
      </w:r>
    </w:p>
    <w:p w14:paraId="16414E2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Этап 1. Сбор исходных данных и формирование расчетных допущений</w:t>
      </w:r>
    </w:p>
    <w:p w14:paraId="4035C7B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первом этапе фиксируются исходные данные: установленная ИТ-мощность, диапазон загрузки, температурные уставки, климат площадки и требования к надёжности инженерной инфраструктуры.</w:t>
      </w:r>
    </w:p>
    <w:p w14:paraId="65F2F48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Температурные уставки принимаются в пределах, допустимых для ИТ-оборудования, поскольку именно они задают потенциал free cooling и граничные условия для аварийных режимов.</w:t>
      </w:r>
    </w:p>
    <w:p w14:paraId="28E2F0E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Этап 2. Расчет тепловых нагрузок и разделение по контурам</w:t>
      </w:r>
    </w:p>
    <w:p w14:paraId="23AECC3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 втором этапе расчетную тепловую нагрузку определяют по формуле (2.1), после чего при необходимости разделяют ее между воздушным и жидкостным контурами по выражению (3.1).</w:t>
      </w:r>
    </w:p>
    <w:p w14:paraId="1B04DB65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/>
              <m:t>Σ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L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(3.1)</w:t>
      </w:r>
    </w:p>
    <w:p w14:paraId="7AA6D13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QA – доля тепловой нагрузки, отводимая воздушным контуром, кВт; QL – доля тепловой нагрузки, отводимая жидкостным контуром, кВт.</w:t>
      </w:r>
    </w:p>
    <w:p w14:paraId="34E250E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Доля QL определяется выбранной технологией жидкостного охлаждения и параметрами ИТ-оборудования (плотность на стойку, тип серверов). В инженерном расчете допускается задание доли жидкостного отвода αL = QL/QΣ по паспортным данным серверов или по типовым значениям (например, 0,3…0,7 для mixed air-liquid конфигураций высокоплотных зон).</w:t>
      </w:r>
    </w:p>
    <w:p w14:paraId="49C245F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Этап 3. Расчет расходов воздуха и теплоносителя</w:t>
      </w:r>
    </w:p>
    <w:p w14:paraId="69C0E07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 третьем этапе по уравнениям теплового баланса определяют расход воздуха и теплоносителя, а затем рассчитывают требуемый напор насосов по суммарным гидравлическим потерям.</w:t>
      </w:r>
    </w:p>
    <w:p w14:paraId="457EEA75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L</m:t>
        </m:r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/(</m:t>
        </m:r>
        <m:r>
          <m:rPr/>
          <m:t>ρ</m:t>
        </m:r>
        <m:r>
          <m:rPr>
            <m:sty m:val="p"/>
          </m:rPr>
          <m:t>⋅</m:t>
        </m:r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⋅</m:t>
        </m:r>
        <m:r>
          <m:rPr/>
          <m:t>Δt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(3.2)</w:t>
      </w:r>
    </w:p>
    <w:p w14:paraId="34809AB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L – объемный расход воздуха, м³/с; ρ – плотность воздуха, кг/м³; cp – удельная теплоемкость воздуха, кДж/(кг·°C); Δt – перепад температур «возврат–подача», °C.</w:t>
      </w:r>
    </w:p>
    <w:p w14:paraId="137A5BF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жидкостного контура расход теплоносителя определяется аналогично:</w:t>
      </w:r>
    </w:p>
    <w:p w14:paraId="14590930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G</m:t>
        </m:r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/(</m:t>
        </m:r>
        <m:sSub>
          <m:sSubPr/>
          <m:e>
            <m:r>
              <m:rPr/>
              <m:t>c</m:t>
            </m:r>
          </m:e>
          <m:sub>
            <m:r>
              <m:rPr/>
              <m:t>ж</m:t>
            </m:r>
          </m:sub>
        </m:sSub>
        <m:r>
          <m:rPr>
            <m:sty m:val="p"/>
          </m:rPr>
          <m:t>⋅</m:t>
        </m:r>
        <m:r>
          <m:rPr/>
          <m:t>Δ</m:t>
        </m:r>
        <m:sSub>
          <m:sSubPr/>
          <m:e>
            <m:r>
              <m:rPr/>
              <m:t>t</m:t>
            </m:r>
          </m:e>
          <m:sub>
            <m:r>
              <m:rPr/>
              <m:t>ж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(3.3)</w:t>
      </w:r>
    </w:p>
    <w:p w14:paraId="701122E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G – массовый расход теплоносителя, кг/с; cж – удельная теплоемкость жидкости, кДж/(кг·°C); Δtж – температурный напор в жидкостном контуре, °C.</w:t>
      </w:r>
    </w:p>
    <w:p w14:paraId="0DE52CB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Подбор насосного оборудования выполняют по расчетному расходу и общему падению давления в трубопроводах, арматуре и теплообменниках.</w:t>
      </w:r>
    </w:p>
    <w:p w14:paraId="6F3EE3BB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H</m:t>
            </m:r>
          </m:e>
          <m:sub>
            <m:r>
              <m:rPr/>
              <m:t>нас</m:t>
            </m:r>
          </m:sub>
        </m:sSub>
        <m:r>
          <m:rPr>
            <m:sty m:val="p"/>
          </m:rPr>
          <m:t>=(</m:t>
        </m:r>
        <m:r>
          <m:rPr/>
          <m:t>Δ</m:t>
        </m:r>
        <m:sSub>
          <m:sSubPr/>
          <m:e>
            <m:r>
              <m:rPr/>
              <m:t>p</m:t>
            </m:r>
          </m:e>
          <m:sub>
            <m:r>
              <m:rPr/>
              <m:t>тр</m:t>
            </m:r>
          </m:sub>
        </m:sSub>
        <m:r>
          <m:rPr>
            <m:sty m:val="p"/>
          </m:rPr>
          <m:t>+</m:t>
        </m:r>
        <m:r>
          <m:rPr/>
          <m:t>Δ</m:t>
        </m:r>
        <m:sSub>
          <m:sSubPr/>
          <m:e>
            <m:r>
              <m:rPr/>
              <m:t>p</m:t>
            </m:r>
          </m:e>
          <m:sub>
            <m:r>
              <m:rPr/>
              <m:t>ар</m:t>
            </m:r>
          </m:sub>
        </m:sSub>
        <m:r>
          <m:rPr>
            <m:sty m:val="p"/>
          </m:rPr>
          <m:t>+</m:t>
        </m:r>
        <m:r>
          <m:rPr/>
          <m:t>Δ</m:t>
        </m:r>
        <m:sSub>
          <m:sSubPr/>
          <m:e>
            <m:r>
              <m:rPr/>
              <m:t>p</m:t>
            </m:r>
          </m:e>
          <m:sub>
            <m:r>
              <m:rPr/>
              <m:t>ТО</m:t>
            </m:r>
          </m:sub>
        </m:sSub>
        <m:r>
          <m:rPr>
            <m:sty m:val="p"/>
          </m:rPr>
          <m:t>)/(</m:t>
        </m:r>
        <m:sSub>
          <m:sSubPr/>
          <m:e>
            <m:r>
              <m:rPr/>
              <m:t>ρ</m:t>
            </m:r>
          </m:e>
          <m:sub>
            <m:r>
              <m:rPr/>
              <m:t>ж</m:t>
            </m:r>
          </m:sub>
        </m:sSub>
        <m:r>
          <m:rPr>
            <m:sty m:val="p"/>
          </m:rPr>
          <m:t>⋅</m:t>
        </m:r>
        <m:r>
          <m:rPr/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(3.4)</w:t>
      </w:r>
    </w:p>
    <w:p w14:paraId="7D2DF2E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Hнас – требуемый напор насоса, м; Δpтр – потери давления в трубопроводе, Па; Δpар – местные сопротивления арматуры, Па; ΔpТО – потери в теплообменниках, Па; ρж – плотность теплоносителя, кг/м³; g – ускорение свободного падения, м/с².</w:t>
      </w:r>
    </w:p>
    <w:p w14:paraId="25F28BC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Этап 4. Подбор холодильных машин, экономайзера и резервирование</w:t>
      </w:r>
    </w:p>
    <w:p w14:paraId="0386A85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 четвертом этапе механическое охлаждение подбирают по расчетному пику с учетом резервирования, проверяя покрытие нагрузки как в штатном, так и в аварийном режиме.</w:t>
      </w:r>
    </w:p>
    <w:p w14:paraId="10FBB2D9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/>
              <m:t>агр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пик</m:t>
            </m:r>
          </m:sub>
        </m:sSub>
        <m:r>
          <m:rPr>
            <m:sty m:val="p"/>
          </m:rPr>
          <m:t>/</m:t>
        </m:r>
        <m:r>
          <m:rPr/>
          <m:t>n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(3.5)</w:t>
      </w:r>
    </w:p>
    <w:p w14:paraId="2C976D6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Qагр – требуемая холодопроизводительность одного агрегата, кВт; Qпик – максимальная расчетная холодовая нагрузка, кВт; n – число рабочих агрегатов.</w:t>
      </w:r>
    </w:p>
    <w:p w14:paraId="06CB9A0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Проверка покрытия пикового режима при отказе одного агрегата выполняется условием:</w:t>
      </w:r>
    </w:p>
    <w:p w14:paraId="335C3E25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)⋅</m:t>
        </m:r>
        <m:sSub>
          <m:sSubPr/>
          <m:e>
            <m:r>
              <m:rPr/>
              <m:t>Q</m:t>
            </m:r>
          </m:e>
          <m:sub>
            <m:r>
              <m:rPr/>
              <m:t>агр</m:t>
            </m:r>
          </m:sub>
        </m:sSub>
        <m:r>
          <m:rPr>
            <m:sty m:val="p"/>
          </m:rPr>
          <m:t>≥</m:t>
        </m:r>
        <m:sSub>
          <m:sSubPr/>
          <m:e>
            <m:r>
              <m:rPr/>
              <m:t>Q</m:t>
            </m:r>
          </m:e>
          <m:sub>
            <m:r>
              <m:rPr/>
              <m:t>доп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(3.6)</w:t>
      </w:r>
    </w:p>
    <w:p w14:paraId="799CAF3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Qдоп – допустимая к покрытию нагрузка в аварийном режиме, кВт (может быть меньше Qпик при допускаемом ограничении ИТ-нагрузки или расширении диапазона температур).</w:t>
      </w:r>
    </w:p>
    <w:p w14:paraId="6474147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схем с водяным free cooling дополнительно определяют пороговую температуру MCT по условию обеспечения требуемой температуры теплоносителя, а для air-side экономайзера проверяют энтальпийные ограничения.</w:t>
      </w:r>
    </w:p>
    <w:p w14:paraId="0F242F6B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t</m:t>
            </m:r>
          </m:e>
          <m:sub>
            <m:r>
              <m:rPr/>
              <m:t>н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t</m:t>
            </m:r>
          </m:e>
          <m:sub>
            <m:r>
              <m:rPr/>
              <m:t>п</m:t>
            </m:r>
          </m:sub>
        </m:sSub>
        <m:r>
          <m:rPr>
            <m:sty m:val="p"/>
          </m:rPr>
          <m:t>−</m:t>
        </m:r>
        <m:r>
          <m:rPr/>
          <m:t>Δ</m:t>
        </m:r>
        <m:sSub>
          <m:sSubPr/>
          <m:e>
            <m:r>
              <m:rPr/>
              <m:t>t</m:t>
            </m:r>
          </m:e>
          <m:sub>
            <m:r>
              <m:rPr/>
              <m:t>подх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(3.7)</w:t>
      </w:r>
    </w:p>
    <w:p w14:paraId="3AB5487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tн – температура наружного воздуха, °C; tп – требуемая температура теплоносителя на подаче, °C; Δtподх – суммарный запас на подход драйкулера (разность между температурой воздуха и температурой жидкости на выходе), °C.</w:t>
      </w:r>
    </w:p>
    <w:p w14:paraId="097F646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air-side экономайзера дополнительно проверяется энтальпийное ограничение (2.4)–(2.5) и критерий отключения по высокой температуре. Практические рекомендации по высокопредельной температуре отключения экономайзера (например, 24 °C по сухому термометру) приведены в инженерных обзорах и учебных материалах производителей HVAC-оборудования, а также в практиках энергоэффективности ENERGY STAR.</w:t>
      </w:r>
    </w:p>
    <w:p w14:paraId="44221CF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Этап 5. Расчет годового энергопотребления по методу «нагрузка × климат»</w:t>
      </w:r>
    </w:p>
    <w:p w14:paraId="543B5F3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Пятый этап предусматривает годовой расчет энергопотребления по комбинациям температурных бинов и уровней ИТ-нагрузки с последующим определением суммарной мощности потребителей и годовой выработки по формулам (3.8)-(3.10).</w:t>
      </w:r>
    </w:p>
    <w:p w14:paraId="4DC5636C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N</m:t>
            </m:r>
          </m:e>
          <m:sub>
            <m:r>
              <m:rPr/>
              <m:t>Σ</m:t>
            </m:r>
          </m:sub>
        </m:sSub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)=</m:t>
        </m:r>
        <m:sSub>
          <m:sSubPr/>
          <m:e>
            <m:r>
              <m:rPr/>
              <m:t>N</m:t>
            </m:r>
          </m:e>
          <m:sub>
            <m:r>
              <m:rPr/>
              <m:t>чил</m:t>
            </m:r>
          </m:sub>
        </m:sSub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)+</m:t>
        </m:r>
        <m:sSub>
          <m:sSubPr/>
          <m:e>
            <m:r>
              <m:rPr/>
              <m:t>N</m:t>
            </m:r>
          </m:e>
          <m:sub>
            <m:r>
              <m:rPr/>
              <m:t>нас</m:t>
            </m:r>
          </m:sub>
        </m:sSub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)+</m:t>
        </m:r>
        <m:sSub>
          <m:sSubPr/>
          <m:e>
            <m:r>
              <m:rPr/>
              <m:t>N</m:t>
            </m:r>
          </m:e>
          <m:sub>
            <m:r>
              <m:rPr/>
              <m:t>вент</m:t>
            </m:r>
          </m:sub>
        </m:sSub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)+</m:t>
        </m:r>
        <m:sSub>
          <m:sSubPr/>
          <m:e>
            <m:r>
              <m:rPr/>
              <m:t>N</m:t>
            </m:r>
          </m:e>
          <m:sub>
            <m:r>
              <m:rPr/>
              <m:t>проч</m:t>
            </m:r>
          </m:sub>
        </m:sSub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(3.8)</w:t>
      </w:r>
    </w:p>
    <w:p w14:paraId="27B105B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NΣ(i,j) – суммарная мощность системы охлаждения в состоянии (i,j), кВт; Nчил – мощность чиллера, кВт; Nнас – суммарная мощность насосов, кВт; Nвент – суммарная мощность вентиляторов (CRAH/фан-стены/драйкулер), кВт; Nпроч – автоматика, подогрев, увлажнение и т. п., кВт.</w:t>
      </w:r>
    </w:p>
    <w:p w14:paraId="68DEF6A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Годовое энергопотребление системы охлаждения определяется суммированием по всем состояниям с учетом длительностей τ(i,j):</w:t>
      </w:r>
    </w:p>
    <w:p w14:paraId="7C52E881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W</m:t>
            </m:r>
          </m:e>
          <m:sub>
            <m:r>
              <m:rPr/>
              <m:t>охл</m:t>
            </m:r>
            <m:r>
              <m:rPr>
                <m:sty m:val="p"/>
              </m:rPr>
              <m:t>,</m:t>
            </m:r>
            <m:r>
              <m:rPr/>
              <m:t>год</m:t>
            </m:r>
          </m:sub>
        </m:sSub>
        <m:r>
          <m:rPr>
            <m:sty m:val="p"/>
          </m:rPr>
          <m:t>=∑∑</m:t>
        </m:r>
        <m:sSub>
          <m:sSubPr/>
          <m:e>
            <m:r>
              <m:rPr/>
              <m:t>N</m:t>
            </m:r>
          </m:e>
          <m:sub>
            <m:r>
              <m:rPr/>
              <m:t>Σ</m:t>
            </m:r>
          </m:sub>
        </m:sSub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)⋅</m:t>
        </m:r>
        <m:r>
          <m:rPr/>
          <m:t>τ</m:t>
        </m:r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,</m:t>
        </m:r>
        <m:r>
          <m:rPr/>
          <m:t>j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(3.9)</w:t>
      </w:r>
    </w:p>
    <w:p w14:paraId="7AAD831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Wохл,год – годовое энергопотребление системы охлаждения, кВт·ч; τ(i,j) – длительность состояния, ч.</w:t>
      </w:r>
    </w:p>
    <w:p w14:paraId="72B89AD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По годовому потреблению системы охлаждения затем оценивают её вклад в PUE и уже на этой основе сопоставляют альтернативные схемы по энергетическим KPI.</w:t>
      </w:r>
    </w:p>
    <w:p w14:paraId="15E8EEAE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PU</m:t>
        </m:r>
        <m:sSub>
          <m:sSubPr/>
          <m:e>
            <m:r>
              <m:rPr/>
              <m:t>E</m:t>
            </m:r>
          </m:e>
          <m:sub>
            <m:r>
              <m:rPr/>
              <m:t>год</m:t>
            </m:r>
          </m:sub>
        </m:sSub>
        <m:r>
          <m:rPr>
            <m:sty m:val="p"/>
          </m:rPr>
          <m:t>=(</m:t>
        </m:r>
        <m:sSub>
          <m:sSubPr/>
          <m:e>
            <m:r>
              <m:rPr/>
              <m:t>W</m:t>
            </m:r>
          </m:e>
          <m:sub>
            <m:r>
              <m:rPr/>
              <m:t>IT</m:t>
            </m:r>
            <m:r>
              <m:rPr>
                <m:sty m:val="p"/>
              </m:rPr>
              <m:t>,</m:t>
            </m:r>
            <m:r>
              <m:rPr/>
              <m:t>год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W</m:t>
            </m:r>
          </m:e>
          <m:sub>
            <m:r>
              <m:rPr/>
              <m:t>охл</m:t>
            </m:r>
            <m:r>
              <m:rPr>
                <m:sty m:val="p"/>
              </m:rPr>
              <m:t>,</m:t>
            </m:r>
            <m:r>
              <m:rPr/>
              <m:t>год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W</m:t>
            </m:r>
          </m:e>
          <m:sub>
            <m:r>
              <m:rPr/>
              <m:t>проч</m:t>
            </m:r>
            <m:r>
              <m:rPr>
                <m:sty m:val="p"/>
              </m:rPr>
              <m:t>,</m:t>
            </m:r>
            <m:r>
              <m:rPr/>
              <m:t>год</m:t>
            </m:r>
          </m:sub>
        </m:sSub>
        <m:r>
          <m:rPr>
            <m:sty m:val="p"/>
          </m:rPr>
          <m:t>)/</m:t>
        </m:r>
        <m:sSub>
          <m:sSubPr/>
          <m:e>
            <m:r>
              <m:rPr/>
              <m:t>W</m:t>
            </m:r>
          </m:e>
          <m:sub>
            <m:r>
              <m:rPr/>
              <m:t>IT</m:t>
            </m:r>
            <m:r>
              <m:rPr>
                <m:sty m:val="p"/>
              </m:rPr>
              <m:t>,</m:t>
            </m:r>
            <m:r>
              <m:rPr/>
              <m:t>год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(3.10)</w:t>
      </w:r>
    </w:p>
    <w:p w14:paraId="71253CE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WIT,год – годовое энергопотребление ИТ-оборудования, кВт·ч; Wпроч,год – годовое энергопотребление прочей инфраструктуры, кВт·ч.</w:t>
      </w:r>
    </w:p>
    <w:p w14:paraId="04F2D63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Этап 6. Проверка ограничений по надежности и эксплуатационным рискам</w:t>
      </w:r>
    </w:p>
    <w:p w14:paraId="030BA5F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После завершения расчётов дополнительно проверяют эксплуатационные ограничения: риск конденсации, требования к чистоте наружного воздуха, гидравлическую устойчивость и соответствие выбранного решения требуемому классу надёжности.</w:t>
      </w:r>
    </w:p>
    <w:p w14:paraId="091A1A9E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Сводная матрица результатов методики приведена в таблице 3.1.</w:t>
      </w:r>
    </w:p>
    <w:p w14:paraId="09DC9FC2">
      <w:pPr>
        <w:keepNext/>
        <w:keepLines/>
        <w:spacing w:line="24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3.1 — Сводная матрица результатов методики расчёта хладоцентра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2"/>
        <w:gridCol w:w="2182"/>
        <w:gridCol w:w="4986"/>
      </w:tblGrid>
      <w:tr w14:paraId="21753A6E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3E75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Группа показателей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3422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Результат расчета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F8B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Применение в подборе</w:t>
            </w:r>
          </w:p>
        </w:tc>
      </w:tr>
      <w:tr w14:paraId="3A1D7598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7E6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Нагрузки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84C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Qпик, QΣ, αL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7AE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Определение требуемой холодопроизводительности и доли жидкостного контура</w:t>
            </w:r>
          </w:p>
        </w:tc>
      </w:tr>
      <w:tr w14:paraId="55D2FBD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23B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Климат/режимы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F6C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HFC, MCT, матрица τ(i,j)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45E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Оценка доли free cooling и режимов оборудования</w:t>
            </w:r>
          </w:p>
        </w:tc>
      </w:tr>
      <w:tr w14:paraId="5D431634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BCB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Гидравлика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CEB1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G, Hнас, ΔpТО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031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Выбор насосов, диаметров труб, арматуры, коллекторов</w:t>
            </w:r>
          </w:p>
        </w:tc>
      </w:tr>
      <w:tr w14:paraId="5EDF8A6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16C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Аэродинамика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CA8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L, Δt, Δpвент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4E4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Выбор CRAH/фан-стен, вентиляторов драйкулера, распределения воздуха</w:t>
            </w:r>
          </w:p>
        </w:tc>
      </w:tr>
      <w:tr w14:paraId="1B42A35E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BE5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Энергетика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7B1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Wохл,год, PUEгод, COPср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794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Сравнение вариантов и подтверждение целевых KPI</w:t>
            </w:r>
          </w:p>
        </w:tc>
      </w:tr>
      <w:tr w14:paraId="4F586433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70E8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Надежность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0F72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N+1, аварийные уставки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F318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Подбор количества агрегатов и уставок аварийных режимов</w:t>
            </w:r>
          </w:p>
        </w:tc>
      </w:tr>
    </w:tbl>
    <w:p w14:paraId="42F061A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практическом смысле методика выстраивается последовательно: от исходных данных и тепловых нагрузок к подбору оборудования, годовому энергетическому расчёту и проверке надёжности проектного решения.</w:t>
      </w:r>
    </w:p>
    <w:p w14:paraId="75BA8847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38" w:name="_TocF698CAF57BD7"/>
      <w:bookmarkEnd w:id="38"/>
      <w:bookmarkStart w:id="39" w:name="_Toc1290927548"/>
      <w:r>
        <w:t>3.2 Исходные данные и расчёт тепловой нагрузки</w:t>
      </w:r>
      <w:bookmarkEnd w:id="39"/>
    </w:p>
    <w:p w14:paraId="425DB753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40" w:name="_Toc988100881"/>
      <w:bookmarkEnd w:id="40"/>
      <w:bookmarkStart w:id="41" w:name="_Toc592013595"/>
      <w:bookmarkStart w:id="42" w:name="Xbfe231b386bce17584b9a8e3b0e824370676556"/>
      <w:r>
        <w:t>3.2.1 Описание условного объекта проектирования</w:t>
      </w:r>
      <w:bookmarkEnd w:id="41"/>
    </w:p>
    <w:p w14:paraId="1F65548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качестве расчётного объекта принят коммерческий ЦОД Tier III в Санкт-Петербурге: 200 серверных стоек, средняя нагрузка 6 кВт на стойку и суммарная установленная ИТ-мощность 1200 кВт при коэффициенте загрузки 0,75.</w:t>
      </w:r>
    </w:p>
    <w:p w14:paraId="7D007F51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Количество серверных стоек: 200 единиц;</w:t>
      </w:r>
    </w:p>
    <w:p w14:paraId="379DC5C4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Средняя мощность на стойку: 6,0 кВт (диапазон — от 5 до 7 кВт, что соответствует стандарту среднеплотного размещения оборудования);</w:t>
      </w:r>
    </w:p>
    <w:p w14:paraId="0297C8D7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Суммарная установленная ИТ-мощность: P_уст = 200 × 6,0 = 1200 кВт;</w:t>
      </w:r>
    </w:p>
    <w:p w14:paraId="71688E98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Коэффициент загрузки ИТ-оборудования: k_з = 0,75, принят на основании типичной нагрузки коммерческого ЦОД в эксплуатационном режиме;</w:t>
      </w:r>
    </w:p>
    <w:p w14:paraId="218CBFE1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На рисунке 3.1 показан прецизионный кондиционер CRAH TICA TCRA100AU.</w:t>
      </w:r>
    </w:p>
    <w:p w14:paraId="02E515F6">
      <w:pPr>
        <w:keepNext/>
        <w:jc w:val="center"/>
      </w:pPr>
      <w:r>
        <w:drawing>
          <wp:inline distT="0" distB="0" distL="114300" distR="114300">
            <wp:extent cx="5039995" cy="2588260"/>
            <wp:effectExtent l="0" t="0" r="1460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4E09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3.1 — Прецизионный кондиционер CRAH TICA TCRA100AU</w:t>
      </w:r>
    </w:p>
    <w:p w14:paraId="0289183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Планировочное решение машинного зала основано на разделении горячих и холодных коридоров, что соответствует рекомендациям ASHRAE и обеспечивает устойчивый температурный режим на входе в стойки.</w:t>
      </w:r>
    </w:p>
    <w:p w14:paraId="79F1E55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Температура подачи охлаждённого воздуха принята равной t_п = 18,0 °C, температура возврата — t_в = 35,0 °C, что обеспечивает перепад Δt = 17 K.</w:t>
      </w:r>
    </w:p>
    <w:bookmarkEnd w:id="42"/>
    <w:p w14:paraId="5DB16A8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3.2 показано годовое распределение температуры наружного воздуха в Санкт-Петербурге и зоны фрикулинга.</w:t>
      </w:r>
    </w:p>
    <w:p w14:paraId="7AE31E8A">
      <w:pPr>
        <w:keepNext/>
        <w:jc w:val="center"/>
      </w:pPr>
      <w:r>
        <w:drawing>
          <wp:inline distT="0" distB="0" distL="114300" distR="114300">
            <wp:extent cx="5039995" cy="3239770"/>
            <wp:effectExtent l="0" t="0" r="14605" b="114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EB43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3.2 — Годовое распределение t наружного воздуха в СПб и зоны фрикулинга</w:t>
      </w:r>
    </w:p>
    <w:p w14:paraId="7D627C0E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43" w:name="_Toc520464716"/>
      <w:bookmarkEnd w:id="43"/>
      <w:bookmarkStart w:id="44" w:name="_Toc680754614"/>
      <w:bookmarkStart w:id="45" w:name="климатические-данные-санкт-петербурга"/>
      <w:r>
        <w:t>3.2.2 Климатические данные Санкт-Петербурга</w:t>
      </w:r>
      <w:bookmarkEnd w:id="44"/>
    </w:p>
    <w:p w14:paraId="4FB2896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Климатические параметры района строительства приняты по СП 131.13330.2020 [3]; сочетание умеренного морского климата и продолжительного холодного периода определяет высокий потенциал фрикулинга для Санкт-Петербурга.</w:t>
      </w:r>
    </w:p>
    <w:p w14:paraId="2152811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Полные среднемесячные климатические данные по метеостанции Пулково представлены в приложении Б.</w:t>
      </w:r>
    </w:p>
    <w:p w14:paraId="536F3C0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Расчётные температуры наружного воздуха:</w:t>
      </w:r>
    </w:p>
    <w:p w14:paraId="28433CCF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Расчётная температура для холодного периода (обеспеченность 0,92): t_н.х = −24 °C;</w:t>
      </w:r>
    </w:p>
    <w:p w14:paraId="0DCAF988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Расчётная температура для тёплого периода (обеспеченность 0,98): t_н.т = +25 °C;</w:t>
      </w:r>
    </w:p>
    <w:p w14:paraId="6DD841EE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Средняя годовая температура: t_ср ≈ 5,4 °C.</w:t>
      </w:r>
    </w:p>
    <w:p w14:paraId="46D39DAF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В таблице 3.2 приведены среднемесячные климатические параметры Санкт-Петербурга.</w:t>
      </w:r>
    </w:p>
    <w:p w14:paraId="6F2A4FFB">
      <w:pPr>
        <w:keepNext/>
        <w:keepLines/>
        <w:spacing w:line="240" w:lineRule="auto"/>
        <w:ind w:left="0" w:firstLine="0"/>
        <w:jc w:val="left"/>
      </w:pPr>
      <w:r>
        <w:rPr>
          <w:sz w:val="28"/>
        </w:rPr>
        <w:t>Таблица 3.2 — Среднемесячные климатические параметры Санкт-Петербурга (СП 131.13330.2020 [3])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661"/>
        <w:gridCol w:w="662"/>
        <w:gridCol w:w="700"/>
        <w:gridCol w:w="666"/>
        <w:gridCol w:w="777"/>
        <w:gridCol w:w="777"/>
        <w:gridCol w:w="777"/>
        <w:gridCol w:w="777"/>
        <w:gridCol w:w="777"/>
        <w:gridCol w:w="663"/>
        <w:gridCol w:w="657"/>
        <w:gridCol w:w="655"/>
      </w:tblGrid>
      <w:tr w14:paraId="6B0570D4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180B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C88C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Янв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15D8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Фев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3FDA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Мар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F054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Апр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67D2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Май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97EC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Июн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06CE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Июл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E7AD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Авг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ABB07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Сен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15F63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Окт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1D32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Ноя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C70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Дек</w:t>
            </w:r>
          </w:p>
        </w:tc>
      </w:tr>
      <w:tr w14:paraId="27891A7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77E9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tнар, °C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C7EE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−6,6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DF9D8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−6,3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0E6C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−1,5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A925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+4,5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B53EE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+10,9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0FE8F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+15,7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053B9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+18,3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B180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+16,7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51C73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+11,4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4787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+5,7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7A5B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+0,2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D9AE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−3,9</w:t>
            </w:r>
          </w:p>
        </w:tc>
      </w:tr>
      <w:tr w14:paraId="46DFA5F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E02C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φ,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12932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F230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526D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B469D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6366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33AD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54E3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024E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8C5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BBB7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C3CB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51410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87</w:t>
            </w:r>
          </w:p>
        </w:tc>
      </w:tr>
    </w:tbl>
    <w:p w14:paraId="47766B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</w:pPr>
      <w:r>
        <w:t>На рисунке 3.3 показана среднемесячная температура наружного воздуха в Санкт-Петербурге по данным СП 131.13330.2020.</w:t>
      </w:r>
    </w:p>
    <w:p w14:paraId="49F6BCD2">
      <w:pPr>
        <w:keepNext/>
        <w:jc w:val="center"/>
      </w:pPr>
      <w:r>
        <w:drawing>
          <wp:inline distT="0" distB="0" distL="114300" distR="114300">
            <wp:extent cx="4535805" cy="2524125"/>
            <wp:effectExtent l="0" t="0" r="6985" b="171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52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893A">
      <w:pPr>
        <w:keepLines/>
        <w:spacing w:line="360" w:lineRule="auto"/>
        <w:ind w:firstLine="0"/>
        <w:jc w:val="center"/>
      </w:pPr>
      <w:r>
        <w:rPr>
          <w:sz w:val="28"/>
        </w:rPr>
        <w:t>Рисунок 3.3 — Среднемесячная температура наружного воздуха в г. Санкт-Петербург по данным СП 131.13330.2020 [3]. Синим цветом обозначены месяцы с отрицательной средней температурой, оранжевым — с положительной</w:t>
      </w:r>
    </w:p>
    <w:p w14:paraId="634D9D4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Анализ графика наглядно подтверждает значительную асимметрию температурного режима: в течение 7–8 месяцев в году (октябрь — апрель) среднемесячная температура не превышает +5,8 °C, что позволяет снизить нагрузку на холодильное оборудование за счёт работы в режиме естественного охлаждения.</w:t>
      </w:r>
    </w:p>
    <w:bookmarkEnd w:id="45"/>
    <w:p w14:paraId="3590246F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46" w:name="_Toc749587581"/>
      <w:bookmarkEnd w:id="46"/>
      <w:bookmarkStart w:id="47" w:name="_Toc1797409929"/>
      <w:r>
        <w:t>3.2.3 Расчёт теплопоступлений в машинный зал</w:t>
      </w:r>
      <w:bookmarkEnd w:id="47"/>
    </w:p>
    <w:p w14:paraId="50BFBE9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Суммарная тепловая нагрузка на систему охлаждения ЦОД определяется по формуле (2.1):</w:t>
      </w:r>
    </w:p>
    <w:p w14:paraId="245596E5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/>
              <m:t>Σ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ИТ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ИБП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осв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перс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пр</m:t>
            </m:r>
          </m:sub>
        </m:sSub>
      </m:oMath>
      <w:r>
        <w:rPr>
          <w:rFonts w:hint="default" w:ascii="Calibri"/>
          <w:i w:val="0"/>
          <w:lang w:val="ru-RU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(3.11)</w:t>
      </w:r>
    </w:p>
    <w:p w14:paraId="3E548CB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где: Q_ИТ — тепловыделение ИТ-оборудования, кВт; Q_ИБП — потери в системе бесперебойного питания, кВт; Q_осв — тепловыделение от систем освещения, кВт; Q_перс — тепловыделение от персонала, кВт; Q_пр — прочие теплопритоки (вспомогательное оборудование), кВт.</w:t>
      </w:r>
    </w:p>
    <w:p w14:paraId="6D12FA2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Тепловыделение ИТ-оборудования. Фактическая тепловая мощность ИТ-оборудования при коэффициенте загрузки k_з = 0,75:</w:t>
      </w:r>
    </w:p>
    <w:p w14:paraId="47CAD3DD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ИТ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ИТ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k</m:t>
            </m:r>
          </m:e>
          <m:sub>
            <m:r>
              <m:rPr/>
              <m:t>з</m:t>
            </m:r>
          </m:sub>
        </m:sSub>
        <m:r>
          <m:rPr>
            <m:sty m:val="p"/>
          </m:rPr>
          <m:t>=</m:t>
        </m:r>
        <m:r>
          <m:rPr/>
          <m:t>1200</m:t>
        </m:r>
        <m:r>
          <m:rPr>
            <m:sty m:val="p"/>
          </m:rPr>
          <m:t>×</m:t>
        </m:r>
        <m:r>
          <m:rPr/>
          <m:t>0</m:t>
        </m:r>
        <m:r>
          <m:rPr>
            <m:sty m:val="p"/>
          </m:rPr>
          <m:t>,</m:t>
        </m:r>
        <m:r>
          <m:rPr/>
          <m:t>75</m:t>
        </m:r>
        <m:r>
          <m:rPr>
            <m:sty m:val="p"/>
          </m:rPr>
          <m:t>=</m:t>
        </m:r>
        <m:r>
          <m:rPr/>
          <m:t>900</m:t>
        </m:r>
        <m:r>
          <m:rPr>
            <m:sty m:val="p"/>
          </m:rPr>
          <m:t>,</m:t>
        </m:r>
        <m:r>
          <m:rPr/>
          <m:t>0</m:t>
        </m:r>
        <m:r>
          <m:rPr>
            <m:nor/>
            <m:sty m:val="p"/>
          </m:rPr>
          <w:rPr>
            <w:b w:val="0"/>
            <w:i w:val="0"/>
          </w:rPr>
          <m:t>кВт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(3.12)</w:t>
      </w:r>
    </w:p>
    <w:p w14:paraId="5E7AD59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Принятый коэффициент загрузки 0,75 соответствует типичному состоянию действующего коммерческого ЦОД: по данным Uptime Institute [1] Global Data Center Survey 2023, средний коэффициент использования серверов в colocation-центрах составляет 70–80 %. Вся потреблённая электрическая мощность ИТ-оборудования в конечном итоге преобразуется в тепло, которое должно быть отведено системой охлаждения.</w:t>
      </w:r>
    </w:p>
    <w:p w14:paraId="779F77F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Потери в системе ИБП. В ЦОД категории Tier III применяются ИБП с КПД η_ИБП = 0,95 в режиме двойного преобразования (Li-ion online, Schneider WP #108) (online). Тепловые потери в ИБП составляют:</w:t>
      </w:r>
    </w:p>
    <w:p w14:paraId="03D6245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Q_ИБП = Q_ИТ · (1 − η_ИБП) / η_ИБП = 900,0 × (1 − 0,95) / 0,95 ≈ 47,37 кВт.</w:t>
      </w:r>
    </w:p>
    <w:p w14:paraId="6CE04EB1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ИБП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ИТ</m:t>
            </m:r>
          </m:sub>
        </m:sSub>
        <m:r>
          <m:rPr>
            <m:sty m:val="p"/>
          </m:rPr>
          <m:t>⋅</m:t>
        </m:r>
        <m:f>
          <m:fPr/>
          <m:num>
            <m:r>
              <m:rPr/>
              <m:t>1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η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ИБП</m:t>
                </m:r>
              </m:sub>
            </m:sSub>
          </m:num>
          <m:den>
            <m:sSub>
              <m:sSubPr/>
              <m:e>
                <m:r>
                  <m:rPr/>
                  <m:t>η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ИБП</m:t>
                </m:r>
              </m:sub>
            </m:sSub>
          </m:den>
        </m:f>
        <m:r>
          <m:rPr>
            <m:sty m:val="p"/>
          </m:rPr>
          <m:t>=</m:t>
        </m:r>
        <m:r>
          <m:rPr/>
          <m:t>900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×</m:t>
        </m:r>
        <m:f>
          <m:fPr/>
          <m:num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95</m:t>
            </m:r>
          </m:num>
          <m:den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95</m:t>
            </m:r>
          </m:den>
        </m:f>
        <m:r>
          <m:rPr>
            <m:sty m:val="p"/>
          </m:rPr>
          <m:t>=</m:t>
        </m:r>
        <m:r>
          <m:rPr/>
          <m:t>900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×</m:t>
        </m:r>
        <m:r>
          <m:rPr/>
          <m:t>0</m:t>
        </m:r>
        <m:r>
          <m:rPr>
            <m:sty m:val="p"/>
          </m:rPr>
          <m:t>,</m:t>
        </m:r>
        <m:r>
          <m:rPr/>
          <m:t>0526</m:t>
        </m:r>
        <m:r>
          <m:rPr>
            <m:sty m:val="p"/>
          </m:rPr>
          <m:t>≈</m:t>
        </m:r>
        <m:r>
          <m:rPr/>
          <m:t>47</m:t>
        </m:r>
        <m:r>
          <m:rPr>
            <m:sty m:val="p"/>
          </m:rPr>
          <m:t>,</m:t>
        </m:r>
        <m:r>
          <m:rPr/>
          <m:t>37</m:t>
        </m:r>
        <m:r>
          <m:rPr>
            <m:nor/>
            <m:sty m:val="p"/>
          </m:rPr>
          <w:rPr>
            <w:b w:val="0"/>
            <w:i w:val="0"/>
          </w:rPr>
          <m:t>кВт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(3.13)</w:t>
      </w:r>
    </w:p>
    <w:p w14:paraId="5038E68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Тепловыделение от освещения. Система освещения машинного зала выполнена на основе светодиодных светильников класса IP54. Суммарная мощность освещения принята:</w:t>
      </w:r>
    </w:p>
    <w:p w14:paraId="428C010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Q_осв = q_осв · S / 1000 = 7 × 1000 / 1000 = 7,0 кВт.</w:t>
      </w:r>
    </w:p>
    <w:p w14:paraId="272CEC97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осв</m:t>
            </m:r>
          </m:sub>
        </m:sSub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,</m:t>
        </m:r>
        <m:r>
          <m:rPr/>
          <m:t>0</m:t>
        </m:r>
        <m:r>
          <m:rPr>
            <m:nor/>
            <m:sty m:val="p"/>
          </m:rPr>
          <w:rPr>
            <w:b w:val="0"/>
            <w:i w:val="0"/>
          </w:rPr>
          <m:t>кВт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(3.14)</w:t>
      </w:r>
    </w:p>
    <w:p w14:paraId="6E385E2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Теплопоступления от персонала при проектном числе 7 человек определены по нормативным удельным значениям и имеют второстепенный вклад по сравнению с ИТ-нагрузкой и потерями электропитания.</w:t>
      </w:r>
    </w:p>
    <w:p w14:paraId="4D2AA82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Q_перс = q_перс · n / 1000 = 120 × 7 / 1000 = 0,84 кВт.</w:t>
      </w:r>
    </w:p>
    <w:p w14:paraId="6AC50BC2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перс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84</m:t>
        </m:r>
        <m:r>
          <m:rPr>
            <m:nor/>
            <m:sty m:val="p"/>
          </m:rPr>
          <w:rPr>
            <w:b w:val="0"/>
            <w:i w:val="0"/>
          </w:rPr>
          <m:t>кВт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(3.15)</w:t>
      </w:r>
    </w:p>
    <w:p w14:paraId="1EC5094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Q_пр = 10,0 кВт.</w:t>
      </w:r>
    </w:p>
    <w:p w14:paraId="07CE78C8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пр</m:t>
            </m:r>
          </m:sub>
        </m:sSub>
        <m:r>
          <m:rPr>
            <m:sty m:val="p"/>
          </m:rPr>
          <m:t>=</m:t>
        </m:r>
        <m:r>
          <m:rPr/>
          <m:t>10</m:t>
        </m:r>
        <m:r>
          <m:rPr>
            <m:sty m:val="p"/>
          </m:rPr>
          <m:t>,</m:t>
        </m:r>
        <m:r>
          <m:rPr/>
          <m:t>0</m:t>
        </m:r>
        <m:r>
          <m:rPr>
            <m:nor/>
            <m:sty m:val="p"/>
          </m:rPr>
          <w:rPr>
            <w:b w:val="0"/>
            <w:i w:val="0"/>
          </w:rPr>
          <m:t>кВт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(3.16)</w:t>
      </w:r>
    </w:p>
    <w:p w14:paraId="50651E3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Q_Σ = Q_ИТ + Q_ИБП + Q_осв + Q_перс + Q_пр = 900,0 + 47,37 + 7,0 + 0,84 + 10,0 ≈ 965,2 кВт.</w:t>
      </w:r>
    </w:p>
    <w:p w14:paraId="311F9C00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/>
              <m:t>Σ</m:t>
            </m:r>
          </m:sub>
        </m:sSub>
        <m:r>
          <m:rPr>
            <m:sty m:val="p"/>
          </m:rPr>
          <m:t>=</m:t>
        </m:r>
        <m:r>
          <m:rPr/>
          <m:t>900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+</m:t>
        </m:r>
        <m:r>
          <m:rPr/>
          <m:t>47</m:t>
        </m:r>
        <m:r>
          <m:rPr>
            <m:sty m:val="p"/>
          </m:rPr>
          <m:t>,</m:t>
        </m:r>
        <m:r>
          <m:rPr/>
          <m:t>37</m:t>
        </m:r>
        <m:r>
          <m:rPr>
            <m:sty m:val="p"/>
          </m:rPr>
          <m:t>+</m:t>
        </m:r>
        <m:r>
          <m:rPr/>
          <m:t>7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+</m:t>
        </m:r>
        <m:r>
          <m:rPr/>
          <m:t>0</m:t>
        </m:r>
        <m:r>
          <m:rPr>
            <m:sty m:val="p"/>
          </m:rPr>
          <m:t>,</m:t>
        </m:r>
        <m:r>
          <m:rPr/>
          <m:t>84</m:t>
        </m:r>
        <m:r>
          <m:rPr>
            <m:sty m:val="p"/>
          </m:rPr>
          <m:t>+</m:t>
        </m:r>
        <m:r>
          <m:rPr/>
          <m:t>10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=</m:t>
        </m:r>
        <m:r>
          <m:rPr/>
          <m:t>965</m:t>
        </m:r>
        <m:r>
          <m:rPr>
            <m:sty m:val="p"/>
          </m:rPr>
          <m:t>,</m:t>
        </m:r>
        <m:r>
          <m:rPr/>
          <m:t>2</m:t>
        </m:r>
        <m:r>
          <m:rPr>
            <m:nor/>
            <m:sty m:val="p"/>
          </m:rPr>
          <w:rPr>
            <w:b w:val="0"/>
            <w:i w:val="0"/>
          </w:rPr>
          <m:t>кВт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(3.17)</w:t>
      </w:r>
    </w:p>
    <w:p w14:paraId="6219D255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48" w:name="_Toc1179400565"/>
      <w:bookmarkEnd w:id="48"/>
      <w:bookmarkStart w:id="49" w:name="_Toc416214354"/>
      <w:bookmarkStart w:id="50" w:name="X09999c254100a8e2ad9bc9754166c3e415b864a"/>
      <w:r>
        <w:t>3.2.4 Требуемая холодопроизводительность системы охлаждения</w:t>
      </w:r>
      <w:bookmarkEnd w:id="49"/>
    </w:p>
    <w:p w14:paraId="243D6D3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Расчётная холодопроизводительность системы охлаждения определяется с учётом коэффициента запаса, предусматривающего возможное кратковременное превышение средней нагрузки, неравномерность распределения тепловых потоков по стойкам и необходимость резерва для проведения технического обслуживания оборудования без снижения уровня охлаждения:</w:t>
      </w:r>
    </w:p>
    <w:p w14:paraId="2008F235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расч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Σ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k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зап</m:t>
            </m:r>
          </m:sub>
        </m:sSub>
        <m:r>
          <m:rPr>
            <m:sty m:val="p"/>
          </m:rPr>
          <m:t>=</m:t>
        </m:r>
        <m:r>
          <m:rPr/>
          <m:t>965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×</m:t>
        </m:r>
        <m:r>
          <m:rPr/>
          <m:t>1</m:t>
        </m:r>
        <m:r>
          <m:rPr>
            <m:sty m:val="p"/>
          </m:rPr>
          <m:t>,</m:t>
        </m:r>
        <m:r>
          <m:rPr/>
          <m:t>10</m:t>
        </m:r>
        <m:r>
          <m:rPr>
            <m:sty m:val="p"/>
          </m:rPr>
          <m:t>≈</m:t>
        </m:r>
        <m:r>
          <m:rPr/>
          <m:t>1061</m:t>
        </m:r>
        <m:r>
          <m:rPr>
            <m:sty m:val="p"/>
          </m:rPr>
          <m:t>,</m:t>
        </m:r>
        <m:r>
          <m:rPr/>
          <m:t>7</m:t>
        </m:r>
        <m:r>
          <m:rPr>
            <m:nor/>
            <m:sty m:val="p"/>
          </m:rPr>
          <w:rPr>
            <w:b w:val="0"/>
            <w:i w:val="0"/>
          </w:rPr>
          <m:t>кВт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(3.18)</w:t>
      </w:r>
    </w:p>
    <w:p w14:paraId="6C5884C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где k_зап = 1,10 — коэффициент запаса холодопроизводительности, принятый на уровне 10 % в соответствии с рекомендациями ASHRAE TC 9.9 [4].</w:t>
      </w:r>
    </w:p>
    <w:p w14:paraId="6C088E6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обеспечения резервирования Tier III принята установка четырех чиллеров по 410 кВт каждый по схеме 3+1, что обеспечивает покрытие расчетной нагрузки и при отказе одного агрегата.</w:t>
      </w:r>
    </w:p>
    <w:p w14:paraId="090E886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Параметры теплоносителя в первичном контуре (вода) приняты в соответствии с температурным графиком: температура подачи t_подачи = 12 °C, температура возврата t_возврата = 18 °C, перепад Δt = 6 K. При использовании базового режима (t_хв.п = 7 °C, t_хв.о = 12 °C) зона фрикулинга сокращается, что рассмотрено в разделе 3.3.</w:t>
      </w:r>
    </w:p>
    <w:bookmarkEnd w:id="50"/>
    <w:p w14:paraId="2EBA5826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51" w:name="_Toc911234145"/>
      <w:bookmarkEnd w:id="51"/>
      <w:bookmarkStart w:id="52" w:name="_Toc960409399"/>
      <w:bookmarkStart w:id="53" w:name="сезонное-изменение-тепловой-нагрузки"/>
      <w:r>
        <w:t>3.2.5 Сезонное изменение тепловой нагрузки</w:t>
      </w:r>
      <w:bookmarkEnd w:id="52"/>
    </w:p>
    <w:p w14:paraId="5186C06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Тепловая нагрузка ЦОД в течение года изменяется незначительно, поскольку основная ее часть формируется ИТ-оборудованием непрерывного действия.</w:t>
      </w:r>
    </w:p>
    <w:p w14:paraId="0CE38A8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Помесячная динамика нагрузки приведена в таблице 3.3, а влияние ограждающих конструкций учитывается упрощенной расчетной зависимостью.</w:t>
      </w:r>
    </w:p>
    <w:p w14:paraId="10A34825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огр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max</m:t>
        </m:r>
        <m:d>
          <m:dPr/>
          <m:e>
            <m:r>
              <m:rPr/>
              <m:t>0</m:t>
            </m:r>
            <m:r>
              <m:rPr>
                <m:sty m:val="p"/>
              </m:rPr>
              <m:t>;</m:t>
            </m:r>
            <m:r>
              <m:rPr/>
              <m:t> 0</m:t>
            </m:r>
            <m:r>
              <m:rPr>
                <m:sty m:val="p"/>
              </m:rPr>
              <m:t>,</m:t>
            </m:r>
            <m:r>
              <m:rPr/>
              <m:t>5</m:t>
            </m:r>
            <m:r>
              <m:rPr>
                <m:sty m:val="p"/>
              </m:rPr>
              <m:t>⋅(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нар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вн</m:t>
                </m:r>
              </m:sub>
            </m:sSub>
            <m:r>
              <m:rPr>
                <m:sty m:val="p"/>
              </m:rPr>
              <m:t>)+</m:t>
            </m:r>
            <m:r>
              <m:rPr/>
              <m:t>5</m:t>
            </m:r>
            <m:r>
              <m:rPr>
                <m:sty m:val="p"/>
              </m:rPr>
              <m:t>,</m:t>
            </m:r>
            <m:r>
              <m:rPr/>
              <m:t>0</m:t>
            </m:r>
          </m:e>
        </m:d>
        <m:r>
          <m:rPr>
            <m:nor/>
            <m:sty m:val="p"/>
          </m:rPr>
          <w:rPr>
            <w:b w:val="0"/>
            <w:i w:val="0"/>
          </w:rPr>
          <m:t>кВт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(3.19)</w:t>
      </w:r>
    </w:p>
    <w:p w14:paraId="2650C09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t_вн = 22 °C — принятая средняя температура воздуха в машинном зале.</w:t>
      </w:r>
    </w:p>
    <w:p w14:paraId="06EED073">
      <w:pPr>
        <w:keepNext/>
        <w:keepLines/>
        <w:spacing w:line="24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3.3 — Помесячная тепловая нагрузка системы охлаждения ЦОД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329"/>
        <w:gridCol w:w="1627"/>
        <w:gridCol w:w="1839"/>
        <w:gridCol w:w="1646"/>
        <w:gridCol w:w="1524"/>
      </w:tblGrid>
      <w:tr w14:paraId="7975204B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3663D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017C18">
            <w:pPr>
              <w:spacing w:before="0" w:after="0" w:line="240" w:lineRule="auto"/>
              <w:ind w:firstLine="0"/>
              <w:jc w:val="left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нар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°C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08082">
            <w:pPr>
              <w:spacing w:before="0" w:after="0" w:line="240" w:lineRule="auto"/>
              <w:ind w:firstLine="0"/>
              <w:jc w:val="left"/>
            </w:pP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ИТ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кВт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4E47A1">
            <w:pPr>
              <w:spacing w:before="0" w:after="0" w:line="240" w:lineRule="auto"/>
              <w:ind w:firstLine="0"/>
              <w:jc w:val="left"/>
            </w:pP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инфр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кВт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4DA6B3">
            <w:pPr>
              <w:spacing w:before="0" w:after="0" w:line="240" w:lineRule="auto"/>
              <w:ind w:firstLine="0"/>
              <w:jc w:val="left"/>
            </w:pP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огр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кВт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51BF9E">
            <w:pPr>
              <w:spacing w:before="0" w:after="0" w:line="240" w:lineRule="auto"/>
              <w:ind w:firstLine="0"/>
              <w:jc w:val="left"/>
            </w:pP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Σ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, кВт</w:t>
            </w:r>
          </w:p>
        </w:tc>
      </w:tr>
      <w:tr w14:paraId="588FBEA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A95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Январь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C64B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−6,6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E76C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979B7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F4B4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7AC5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  <w:tr w14:paraId="2101F88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44EF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Февраль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8B05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−6,3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1AF47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0136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8C87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EC27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  <w:tr w14:paraId="2B55876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E10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Март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5A76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−1,5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EF38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99E9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995D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1729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  <w:tr w14:paraId="3448EBA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6D7D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Апрель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D8749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+4,5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F017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81B87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FC05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449B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  <w:tr w14:paraId="170686B0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9D96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8005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+10,9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EFCF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327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6CB6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7BEE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  <w:tr w14:paraId="0D1517C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15B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Июнь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3F7F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+15,7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5348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C49E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F517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571F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967,1</w:t>
            </w:r>
          </w:p>
        </w:tc>
      </w:tr>
      <w:tr w14:paraId="6A73BF0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06DE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BB291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+18,3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ACE7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B2F3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438A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3,1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F365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968,4</w:t>
            </w:r>
          </w:p>
        </w:tc>
      </w:tr>
      <w:tr w14:paraId="0A327ED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09E4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Август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8EBB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+16,7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8E07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23D5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782C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D800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967,6</w:t>
            </w:r>
          </w:p>
        </w:tc>
      </w:tr>
      <w:tr w14:paraId="296ACF0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6FF12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Сентябрь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C772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+11,4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4EA3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72A0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4568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F55F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  <w:tr w14:paraId="50EEDDC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D60E5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Октябрь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795F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+5,7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E9F0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8BE3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6693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CEB0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  <w:tr w14:paraId="4C8C845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F8571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9C59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+0,2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DBB3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6DA6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9F3E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BD15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  <w:tr w14:paraId="3C0A38B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F4B5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Декабрь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CF54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−3,9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5A05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900,0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4167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8DDC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C6E6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965,2</w:t>
            </w:r>
          </w:p>
        </w:tc>
      </w:tr>
    </w:tbl>
    <w:p w14:paraId="2EF7B05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Из таблицы 3.3 следует, что сезонная амплитуда нагрузки мала и не требует отдельного подбора холодопроизводительности по месяцам.</w:t>
      </w:r>
    </w:p>
    <w:p w14:paraId="35AE03E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Санкт-Петербурга режим работы системы в первую очередь меняется не из-за самой тепловой нагрузки, а из-за сезонного потенциала естественного охлаждения.</w:t>
      </w:r>
    </w:p>
    <w:bookmarkEnd w:id="53"/>
    <w:p w14:paraId="53D5E9DE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54" w:name="_Toc1113678141"/>
      <w:r>
        <w:t>3.3 Подбор основного оборудования хладоцентра</w:t>
      </w:r>
      <w:bookmarkEnd w:id="54"/>
    </w:p>
    <w:p w14:paraId="1B5CBA3F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55" w:name="_Toc1962433324"/>
      <w:bookmarkEnd w:id="55"/>
      <w:bookmarkStart w:id="56" w:name="_Toc121048535"/>
      <w:bookmarkStart w:id="57" w:name="X6b77016d7e33f37c0f0a2360893a43a34d866c5"/>
      <w:r>
        <w:t>3.3.1 Обоснование выбора трёх сравниваемых схем</w:t>
      </w:r>
      <w:bookmarkEnd w:id="56"/>
    </w:p>
    <w:p w14:paraId="5C9D77F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технико-экономического сравнения рассмотрены три схемы хладоцентра: базовая механическая, схема с водяным фрикулингом и схема с фрикулингом в сочетании с баком-аккумулятором холода.</w:t>
      </w:r>
    </w:p>
    <w:p w14:paraId="4BE6717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3.4 показан воздухоохлаждаемый чиллер Carrier AquaForce 30XA.</w:t>
      </w:r>
    </w:p>
    <w:p w14:paraId="45C83CF7">
      <w:pPr>
        <w:keepNext/>
        <w:jc w:val="center"/>
      </w:pPr>
      <w:r>
        <w:drawing>
          <wp:inline distT="0" distB="0" distL="114300" distR="114300">
            <wp:extent cx="5039995" cy="2845435"/>
            <wp:effectExtent l="0" t="0" r="14605" b="247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CDFE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3.4 — Воздухоохлаждаемый чиллер Carrier AquaForce 30XA</w:t>
      </w:r>
    </w:p>
    <w:p w14:paraId="3BA5C37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Схема 1 принята как базовый вариант. Схема 2 повышает энергоэффективность за счёт фрикулинга, а схема 3 дополнительно расширяет возможности управления нагрузкой и кратковременного резервирования.</w:t>
      </w:r>
    </w:p>
    <w:p w14:paraId="259AAF3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3.5 показан водоохлаждаемый чиллер Carrier 30HX.</w:t>
      </w:r>
    </w:p>
    <w:p w14:paraId="7A2B25D5">
      <w:pPr>
        <w:keepNext/>
        <w:jc w:val="center"/>
      </w:pPr>
      <w:r>
        <w:drawing>
          <wp:inline distT="0" distB="0" distL="114300" distR="114300">
            <wp:extent cx="5039995" cy="3121025"/>
            <wp:effectExtent l="0" t="0" r="1460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D0E1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3.5 — Водоохлаждаемый чиллер Carrier 30HX</w:t>
      </w:r>
    </w:p>
    <w:p w14:paraId="76C22DD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Расчётная суммарная тепловыделяющая нагрузка ЦОД составляет 965,2 кВт. С учётом коэффициента запаса 10 % расчётная холодопроизводительность системы холодоснабжения принята равной Q_расч = 1 061,7 кВт.</w:t>
      </w:r>
    </w:p>
    <w:p w14:paraId="032E1FE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Воздушный экономайзер (air-side) в состав сравниваемых схем не включён: количественное обоснование отказа для климата Санкт-Петербурга (допустимые часы прямого фрикулинга по энтальпии около 6 850 ч/год против 5 502 ч/год у водосторонего варианта при MCT = 10 °C, прирост CAPEX на 18–22 % за счёт фильтрации F7+F9, систем увлажнения и осушения) приведено в подразделе 2.4.</w:t>
      </w:r>
    </w:p>
    <w:bookmarkEnd w:id="57"/>
    <w:p w14:paraId="7EB03A99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58" w:name="_Toc1563025842"/>
      <w:bookmarkEnd w:id="58"/>
      <w:bookmarkStart w:id="59" w:name="_Toc795714036"/>
      <w:bookmarkStart w:id="60" w:name="X40f48a8518f8d2f26e597efc329a156934f6231"/>
      <w:r>
        <w:t>3.3.2 Схема 1: Чиллер с воздушным конденсатором (базовый вариант)</w:t>
      </w:r>
      <w:bookmarkEnd w:id="59"/>
    </w:p>
    <w:p w14:paraId="26228E7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1 основана на применении чиллеров с воздушным конденсатором и прецизионных кондиционеров CRAH и не предусматривает режима free cooling.</w:t>
      </w:r>
    </w:p>
    <w:p w14:paraId="1DCEE6A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При резервировании N+1 устанавливают четыре чиллера по 410 кВт, из которых три работают в штатном режиме, а один остается резервным; этого достаточно для покрытия расчетной нагрузки и при отказе одного агрегата.</w:t>
      </w:r>
    </w:p>
    <w:p w14:paraId="16F2DBF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3.6 показана схема резервирования чиллеров по принципу N+1.</w:t>
      </w:r>
    </w:p>
    <w:p w14:paraId="3761E200">
      <w:pPr>
        <w:keepNext/>
        <w:jc w:val="center"/>
      </w:pPr>
      <w:r>
        <w:drawing>
          <wp:inline distT="0" distB="0" distL="114300" distR="114300">
            <wp:extent cx="5039995" cy="3239770"/>
            <wp:effectExtent l="0" t="0" r="14605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7498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3.6 — Схема резервирования чиллеров по принципу N+1</w:t>
      </w:r>
    </w:p>
    <w:p w14:paraId="18F3B44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реализации базовой схемы выбраны чиллеры Dantex DN-1902BYSOM с холодопроизводительностью 410 кВт, что обеспечивает требуемый запас по мощности и соответствие уровню Tier III.</w:t>
      </w:r>
    </w:p>
    <w:p w14:paraId="7FDAB78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Основные параметры выбранного чиллера: холодопроизводительность 410 кВт, потребляемая мощность 145 кВт, номинальный COP 2,83, хладагент R-134a.</w:t>
      </w:r>
    </w:p>
    <w:p w14:paraId="0920A15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Принятый чиллер соответствует расчетному температурному графику и может быть использован как унифицированное решение для всех сравниваемых схем.</w:t>
      </w:r>
    </w:p>
    <w:p w14:paraId="0CD163E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 насосной группе применены регулируемые циркуляционные насосы Ридан PE1 100-200; конфигурация 3+1 обеспечивает необходимый расход и резервирование.</w:t>
      </w:r>
    </w:p>
    <w:p w14:paraId="721FB6A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машинного зала приняты прецизионные кондиционеры CRAH TICA TCRA100AU: 10 рабочих и 2 резервных блока обеспечивают подачу воздуха в холодные коридоры.</w:t>
      </w:r>
    </w:p>
    <w:bookmarkEnd w:id="60"/>
    <w:p w14:paraId="7FE4D39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3.7 показана принципиальная схема хладоцентра для Схемы 2. Элементы схемы (англ.): Chiller — чиллер; Cooling tower — сухая градирня/драйкулер; Pump — циркуляционный насос; Plate Heat Exchanger — пластинчатый теплообменник; CRAH — прецизионный кондиционер машинного зала; Data Center — машинный зал ЦОД; IT — ИТ-оборудование (серверные стойки).</w:t>
      </w:r>
    </w:p>
    <w:p w14:paraId="347C47D5">
      <w:pPr>
        <w:keepNext/>
        <w:jc w:val="center"/>
      </w:pPr>
      <w:r>
        <w:drawing>
          <wp:inline distT="0" distB="0" distL="114300" distR="114300">
            <wp:extent cx="5039995" cy="3239770"/>
            <wp:effectExtent l="0" t="0" r="14605" b="114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C819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3.7 — Принципиальная схема хладоцентра (Схема 2, гибрид с фрикулингом)</w:t>
      </w:r>
    </w:p>
    <w:p w14:paraId="594B2B30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61" w:name="_Toc8223380953"/>
      <w:bookmarkEnd w:id="61"/>
      <w:bookmarkStart w:id="62" w:name="X26bab64ae2c2698765d7f5b2baf9d5fced4c3cf"/>
      <w:r>
        <w:t>3.3.3 Двухконтурная схема с чиллером и драйкулером в режиме фрикулинга</w:t>
      </w:r>
      <w:bookmarkEnd w:id="62"/>
    </w:p>
    <w:p w14:paraId="4D06C40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Схема 2 дополняет базовый вариант драйкулером и пластинчатым теплообменником, поэтому часть холода можно получать от наружного воздуха без включения компрессоров чиллера.</w:t>
      </w:r>
    </w:p>
    <w:p w14:paraId="7A84EB7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Система работает в трёх режимах в зависимости от температуры наружного воздуха t_н:</w:t>
      </w:r>
    </w:p>
    <w:p w14:paraId="1104C424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При высокой наружной температуре схема 2 работает как обычная механическая система. По мере снижения температуры она сначала переходит в смешанный режим, а затем — в полный фрикулинг.</w:t>
      </w:r>
    </w:p>
    <w:p w14:paraId="7897AD4E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В смешанном режиме драйкулер снимает часть нагрузки, а оставшийся дефицит холодопроизводительности покрывают чиллеры.</w:t>
      </w:r>
    </w:p>
    <w:p w14:paraId="4B47B9A1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 режиме полного фрикулинга вся нагрузка отводится через драйкулер и пластинчатый теплообменник, что обеспечивает наибольший энергетический эффект.</w:t>
      </w:r>
    </w:p>
    <w:p w14:paraId="5725350C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На рисунке 3.8 показан драйкулер (сухая градирня) Güntner GFH.</w:t>
      </w:r>
    </w:p>
    <w:p w14:paraId="3AF3CAD8">
      <w:pPr>
        <w:keepNext/>
        <w:jc w:val="center"/>
      </w:pPr>
      <w:r>
        <w:drawing>
          <wp:inline distT="0" distB="0" distL="114300" distR="114300">
            <wp:extent cx="5039995" cy="3129915"/>
            <wp:effectExtent l="0" t="0" r="14605" b="196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069B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3.8 — Драйкулер (сухая градирня) Güntner GFH</w:t>
      </w:r>
    </w:p>
    <w:p w14:paraId="0FEB679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схемы 2 принято значение MCT = 10 °C, достаточное для поддержания температурного графика 12/18 °C с учетом температурного напора в пластинчатом теплообменнике.</w:t>
      </w:r>
    </w:p>
    <w:p w14:paraId="3E4F2B8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3.3.3.1 Расчёт часов фрикулинга</w:t>
      </w:r>
    </w:p>
    <w:p w14:paraId="09A417F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Число часов полного фрикулинга рассчитано по климатическим данным Санкт-Петербурга с использованием формулы (2.6).</w:t>
      </w:r>
    </w:p>
    <w:p w14:paraId="651A9F57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h</m:t>
            </m:r>
          </m:e>
          <m:sub>
            <m:r>
              <m:rPr/>
              <m:t>fc</m:t>
            </m:r>
          </m:sub>
        </m:sSub>
        <m:r>
          <m:rPr>
            <m:sty m:val="p"/>
          </m:rPr>
          <m:t>=∑</m:t>
        </m:r>
        <m:sSub>
          <m:sSubPr/>
          <m:e>
            <m:r>
              <m:rPr/>
              <m:t>τ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(3.20)</w:t>
      </w:r>
    </w:p>
    <w:p w14:paraId="1E241FB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При MCT = 10 °C продолжительность полного фрикулинга составляет 5502 ч/год, что подтверждает высокую эффективность такой схемы для северо-западного региона.</w:t>
      </w:r>
    </w:p>
    <w:p w14:paraId="5C52AC9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Схемы 2 сохранена та же модель чиллеров, что и в Схеме 1 — Dantex DN-1902BYSOM (унификация сервиса и запасных частей). Технические характеристики: - Холодопроизводительность: 410 кВт - Потребляемая мощность: 145 кВт - COP номинальный: 2,83 - Хладагент: R-134a - Количество: 4 (3 рабочих + 1 резервный по Tier III N+1)</w:t>
      </w:r>
    </w:p>
    <w:p w14:paraId="231CCCB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Инверторное регулирование производительности чиллера позволяет устойчиво работать в смешанном режиме, когда механическое охлаждение покрывает лишь часть нагрузки.</w:t>
      </w:r>
    </w:p>
    <w:p w14:paraId="05D81FD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3.3.3.2 Подбор драйкулера</w:t>
      </w:r>
    </w:p>
    <w:p w14:paraId="685121A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Выбран сухой воздушный охладитель Alfa Laval Arctigo LSV 6/8 — V-образный теплообменник с 6 осевыми EC-вентиляторами и частотным регулированием. Технические характеристики: - Теплоотдача номинальная: 550 кВт - Мощность вентиляторов: 19,2 кВт - Количество: 3 (2 рабочих + 1 резервный)</w:t>
      </w:r>
    </w:p>
    <w:p w14:paraId="36AC52D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Суммарная теплоотдача двух рабочих драйкулеров обеспечивает покрытие расчетной нагрузки, а применение раствора этиленгликоля соответствует требованиям надежной зимней эксплуатации.</w:t>
      </w:r>
    </w:p>
    <w:p w14:paraId="3D592AA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гидравлического разделения наружного гликолевого и внутреннего водяного контуров применены разборные пластинчатые теплообменники Ридан НН-42. Технические характеристики: - Тепловая мощность: 550 кВт - Количество: 2 (параллельное включение)</w:t>
      </w:r>
    </w:p>
    <w:p w14:paraId="05F3638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Принятые пластинчатые теплообменники обеспечивают требуемое гидравлическое разделение контуров и запас по тепловой мощности относительно расчетной нагрузки.</w:t>
      </w:r>
    </w:p>
    <w:p w14:paraId="2C5592C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3.9 показан узел теплового аккумулятора холода (ТАХ) в Схеме 3.</w:t>
      </w:r>
    </w:p>
    <w:p w14:paraId="47C882BA">
      <w:pPr>
        <w:keepNext/>
        <w:jc w:val="center"/>
      </w:pPr>
      <w:r>
        <w:drawing>
          <wp:inline distT="0" distB="0" distL="114300" distR="114300">
            <wp:extent cx="5039995" cy="3239770"/>
            <wp:effectExtent l="0" t="0" r="14605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4D9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3.9 — Узел теплового аккумулятора холода (ТАХ) в Схеме 3</w:t>
      </w:r>
    </w:p>
    <w:p w14:paraId="5EA7C55D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Обозначения: T1 — температура подачи холодоносителя; T2 — температура обратки; η — КПД теплообменника; Q_tank — тепловая ёмкость аккумулятора; Tank insulating system — система теплоизоляции бака.</w:t>
      </w:r>
    </w:p>
    <w:p w14:paraId="5483D34A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63" w:name="_Toc7531887052"/>
      <w:bookmarkEnd w:id="63"/>
      <w:bookmarkStart w:id="64" w:name="Xeba4be5ec176d9192baa798e239edb043d9b6d2"/>
      <w:r>
        <w:t>3.3.4 Гибридная схема с чиллером, драйкулерным фрикулингом и баком-аккумулятором холода</w:t>
      </w:r>
      <w:bookmarkEnd w:id="64"/>
    </w:p>
    <w:p w14:paraId="18E0E2B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Схема 3 построена на базе схемы 2 и дополнена баком-аккумулятором холода, который даёт возможность кратковременно накапливать избыток холода и сглаживать пиковые нагрузки.</w:t>
      </w:r>
    </w:p>
    <w:p w14:paraId="0236295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Режим зарядки ТАХ (charging): в периоды низкой нагрузки (ночное время, выходные дни) или в режиме фрикулинга чиллеры (или драйкулер) производят холод сверх текущей нагрузки и закачивают холодную воду в нижнюю зону бака. При этом тёплая вода вытесняется в верхнюю зону.</w:t>
      </w:r>
    </w:p>
    <w:p w14:paraId="3EEF429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Режим разрядки ТАХ (discharging): в периоды пиковой нагрузки (дневное время, критические ситуации) холодная вода из бака подаётся в систему охлаждения ЦОД, разгружая чиллеры или полностью заменяя их на определённый период. При этом тёплая вода заполняет нижнюю зону бака при его разрядке.</w:t>
      </w:r>
    </w:p>
    <w:p w14:paraId="7101B3C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ТАХ позволяет поднять порог MCT до 12 °C и увеличить число часов фрикулинга, но этот выигрыш сопровождается ростом капитальных затрат и усложнением схемы.</w:t>
      </w:r>
    </w:p>
    <w:p w14:paraId="278D910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Принят стратифицированный бак-аккумулятор с вертикальным расположением и термоклинным разделением слоёв воды. Технические характеристики: - Тип: стратифицированный ТАХ - Рабочий объём: 50 м³ - Запасённая энергия холода: 407 кВт·ч - Расчётное время автономной работы при полной нагрузке: 25 мин</w:t>
      </w:r>
    </w:p>
    <w:p w14:paraId="1665C21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Принятый объём бака даёт запас холода около 407 кВт·ч и примерно 25 минут автономной работы при полной нагрузке. Для штатного переключения оборудования этого достаточно.</w:t>
      </w:r>
    </w:p>
    <w:p w14:paraId="27199E9D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W</m:t>
        </m:r>
        <m:r>
          <m:rPr>
            <m:sty m:val="p"/>
          </m:rPr>
          <m:t>=</m:t>
        </m:r>
        <m:r>
          <m:rPr/>
          <m:t>Q</m:t>
        </m:r>
        <m:r>
          <m:rPr>
            <m:sty m:val="p"/>
          </m:rPr>
          <m:t>⋅</m:t>
        </m:r>
        <m:r>
          <m:rPr/>
          <m:t>τ</m:t>
        </m:r>
        <m:r>
          <m:rPr>
            <m:sty m:val="p"/>
          </m:rPr>
          <m:t>=</m:t>
        </m:r>
        <m:r>
          <m:rPr/>
          <m:t>965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⋅</m:t>
        </m:r>
        <m:r>
          <m:rPr/>
          <m:t>0</m:t>
        </m:r>
        <m:r>
          <m:rPr>
            <m:sty m:val="p"/>
          </m:rPr>
          <m:t>,</m:t>
        </m:r>
        <m:r>
          <m:rPr/>
          <m:t>42</m:t>
        </m:r>
        <m:r>
          <m:rPr>
            <m:sty m:val="p"/>
          </m:rPr>
          <m:t>=</m:t>
        </m:r>
        <m:r>
          <m:rPr/>
          <m:t>407</m:t>
        </m:r>
        <m:r>
          <m:rPr>
            <m:sty m:val="p"/>
          </m:rPr>
          <m:t>,</m:t>
        </m:r>
        <m:r>
          <m:rPr/>
          <m:t>4 </m:t>
        </m:r>
        <m:r>
          <m:rPr>
            <m:nor/>
            <m:sty m:val="p"/>
          </m:rPr>
          <w:rPr>
            <w:b w:val="0"/>
            <w:i w:val="0"/>
          </w:rPr>
          <m:t>кВт·ч</m:t>
        </m:r>
        <m:r>
          <m:rPr>
            <m:sty m:val="p"/>
          </m:rPr>
          <m:t>≈</m:t>
        </m:r>
        <m:r>
          <m:rPr/>
          <m:t>407 </m:t>
        </m:r>
        <m:r>
          <m:rPr>
            <m:nor/>
            <m:sty m:val="p"/>
          </m:rPr>
          <w:rPr>
            <w:b w:val="0"/>
            <w:i w:val="0"/>
          </w:rPr>
          <m:t>кВт·ч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(3.21)</w:t>
      </w:r>
    </w:p>
    <w:p w14:paraId="6AA2E2B6">
      <w:pPr>
        <w:keepNext w:val="0"/>
        <w:keepLines w:val="0"/>
        <w:widowControl/>
        <w:spacing w:before="0" w:after="0" w:line="360" w:lineRule="auto"/>
        <w:ind w:firstLine="709"/>
        <w:jc w:val="both"/>
      </w:pPr>
    </w:p>
    <w:p w14:paraId="4D7C255A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V</m:t>
        </m:r>
        <m:r>
          <m:rPr>
            <m:sty m:val="p"/>
          </m:rPr>
          <m:t>=</m:t>
        </m:r>
        <m:r>
          <m:rPr/>
          <m:t>W</m:t>
        </m:r>
        <m:r>
          <m:rPr>
            <m:sty m:val="p"/>
          </m:rPr>
          <m:t>/(</m:t>
        </m:r>
        <m:r>
          <m:rPr/>
          <m:t>ρ</m:t>
        </m:r>
        <m:r>
          <m:rPr>
            <m:sty m:val="p"/>
          </m:rPr>
          <m:t>⋅</m:t>
        </m:r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⋅</m:t>
        </m:r>
        <m:r>
          <m:rPr/>
          <m:t>Δt</m:t>
        </m:r>
        <m:r>
          <m:rPr>
            <m:sty m:val="p"/>
          </m:rPr>
          <m:t>)=</m:t>
        </m:r>
        <m:r>
          <m:rPr/>
          <m:t>407</m:t>
        </m:r>
        <m:r>
          <m:rPr>
            <m:sty m:val="p"/>
          </m:rPr>
          <m:t>⋅</m:t>
        </m:r>
        <m:r>
          <m:rPr/>
          <m:t>3600</m:t>
        </m:r>
        <m:r>
          <m:rPr>
            <m:sty m:val="p"/>
          </m:rPr>
          <m:t>/(</m:t>
        </m:r>
        <m:r>
          <m:rPr/>
          <m:t>1000</m:t>
        </m:r>
        <m:r>
          <m:rPr>
            <m:sty m:val="p"/>
          </m:rPr>
          <m:t>⋅</m:t>
        </m:r>
        <m:r>
          <m:rPr/>
          <m:t>4187</m:t>
        </m:r>
        <m:r>
          <m:rPr>
            <m:sty m:val="p"/>
          </m:rPr>
          <m:t>⋅</m:t>
        </m:r>
        <m:r>
          <m:rPr/>
          <m:t>7</m:t>
        </m:r>
        <m:r>
          <m:rPr>
            <m:sty m:val="p"/>
          </m:rPr>
          <m:t>)≈</m:t>
        </m:r>
        <m:r>
          <m:rPr/>
          <m:t>50</m:t>
        </m:r>
        <m:r>
          <m:rPr>
            <m:sty m:val="p"/>
          </m:rPr>
          <m:t>,</m:t>
        </m:r>
        <m:r>
          <m:rPr/>
          <m:t>0 </m:t>
        </m:r>
        <m:sSup>
          <m:sSupPr/>
          <m:e>
            <m:r>
              <m:rPr>
                <m:nor/>
                <m:sty m:val="p"/>
              </m:rPr>
              <w:rPr>
                <w:b w:val="0"/>
                <w:i w:val="0"/>
              </w:rPr>
              <m:t>м</m:t>
            </m:r>
          </m:e>
          <m:sup>
            <m:r>
              <m:rPr/>
              <m:t>3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(3.22)</w:t>
      </w:r>
    </w:p>
    <w:p w14:paraId="79CB6B9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Если свести результат к практическому выводу, выбранный объём ТАХ укладывается в конструктивные ограничения объекта и даёт нужный резерв времени, но на годовой энергетический баланс системы влияет слабо.</w:t>
      </w:r>
    </w:p>
    <w:p w14:paraId="06CCF04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схемы 3 сохраняется та же конфигурация чиллеров, а насосная группа расширяется для обслуживания отдельного контура ТАХ.</w:t>
      </w:r>
    </w:p>
    <w:p w14:paraId="2141C1D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Дополнительные насосы необходимы для раздельной циркуляции в контуре чиллеров, фрикулинга и бака-аккумулятора холода.</w:t>
      </w:r>
    </w:p>
    <w:p w14:paraId="4CDE1CF0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65" w:name="_Toc2026307798"/>
      <w:bookmarkEnd w:id="65"/>
      <w:bookmarkStart w:id="66" w:name="_Toc1174437908"/>
      <w:bookmarkStart w:id="67" w:name="сводная-спецификация-оборудования"/>
      <w:r>
        <w:t>3.3.5 Сводная спецификация оборудования</w:t>
      </w:r>
      <w:bookmarkEnd w:id="66"/>
    </w:p>
    <w:p w14:paraId="30444E1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Спецификация основного оборудования для трёх схем приведена в таблице 3.4; расширенные характеристики моделей представлены в приложении А.</w:t>
      </w:r>
    </w:p>
    <w:p w14:paraId="68077827">
      <w:pPr>
        <w:keepNext/>
        <w:keepLines/>
        <w:spacing w:line="24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3.4 — Спецификация основного оборудования хладоцентра для трёх схем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691"/>
        <w:gridCol w:w="752"/>
        <w:gridCol w:w="752"/>
        <w:gridCol w:w="752"/>
        <w:gridCol w:w="1001"/>
        <w:gridCol w:w="992"/>
        <w:gridCol w:w="2037"/>
      </w:tblGrid>
      <w:tr w14:paraId="11D49788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9C51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Позиция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281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Наименование / Модель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2B2BD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9B2F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3F40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A1E7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Q_ном, кВт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53AA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N_ном, кВт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F24F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COP / Примечание</w:t>
            </w:r>
          </w:p>
        </w:tc>
      </w:tr>
      <w:tr w14:paraId="68C4520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C2F4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DF4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Dantex DN-1902BYSOM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7296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0F79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D87B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B9FB8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C68AB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0724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COP 2,83; R-134a; 3 раб.+1 рез.</w:t>
            </w:r>
          </w:p>
        </w:tc>
      </w:tr>
      <w:tr w14:paraId="1616E8FE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AEAC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(унификация)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B77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Dantex DN-1902BYSOM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31801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184B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F6583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CBA07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A825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CED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см. строку выше</w:t>
            </w:r>
          </w:p>
        </w:tc>
      </w:tr>
      <w:tr w14:paraId="6415085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BD2E5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(унификация)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291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Dantex DN-1902BYSOM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63FF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58AD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578D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6644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83C0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43F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см. строку выше</w:t>
            </w:r>
          </w:p>
        </w:tc>
      </w:tr>
      <w:tr w14:paraId="431DB284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FD52F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Насос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52EE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Ридан PE1 100-200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1283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DE42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66F1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C3A4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E8C1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11,0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72FD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ЧРП встроенный</w:t>
            </w:r>
          </w:p>
        </w:tc>
      </w:tr>
      <w:tr w14:paraId="1190881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C673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CRAH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6FB2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TICA TCRA100AU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1C79C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8F64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14F7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83BB5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106,8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F26E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218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раб. + 2 рез., EC-вент.</w:t>
            </w:r>
          </w:p>
        </w:tc>
      </w:tr>
      <w:tr w14:paraId="2EEEDF7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2E6F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Драйкулер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455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Alfa Laval Arctigo LSV 6/8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A07F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1DB9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C5E0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C303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CFE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D80E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Гликоль 30 %; 2 раб.+1 рез.</w:t>
            </w:r>
          </w:p>
        </w:tc>
      </w:tr>
      <w:tr w14:paraId="4A4451A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C9B5B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ПТО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3D0F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Ридан НН-42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318C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1AE3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7DF5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A8053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13405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DA96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Разборный</w:t>
            </w:r>
          </w:p>
        </w:tc>
      </w:tr>
      <w:tr w14:paraId="6368FD6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D5F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ТАХ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C92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БАГВ-50 (стратифицированный)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9578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B00BE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BBC1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 шт.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CBFB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407 кВт·ч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B08CD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E00F6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 = 50 м³; Δt = 7 K; ≈ 25 мин</w:t>
            </w:r>
          </w:p>
        </w:tc>
      </w:tr>
    </w:tbl>
    <w:p w14:paraId="00ED036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*Примечания: резервирование чиллеров и насосов по схеме N+1; CRAH — 10 рабочих, 2 резервных.</w:t>
      </w:r>
    </w:p>
    <w:bookmarkEnd w:id="67"/>
    <w:p w14:paraId="4E3BD62A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68" w:name="_Toc1359486860"/>
      <w:bookmarkEnd w:id="68"/>
      <w:bookmarkStart w:id="69" w:name="_Toc1255720179"/>
      <w:bookmarkStart w:id="70" w:name="Xa17d19b4822020182aabe9565fb168b281fb529"/>
      <w:r>
        <w:t>3.3.6 График зависимости часов фрикулинга от MCT</w:t>
      </w:r>
      <w:bookmarkEnd w:id="69"/>
    </w:p>
    <w:p w14:paraId="2B5B372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На рисунке 3.10 представлена зависимость годового количества часов фрикулинга от пороговой температуры переключения MCT для климатических условий Санкт-Петербурга. График построен на основе почасовых климатических данных по СП 131.13330.2020 [3] и TMYx Pulkovo 2011–2025.</w:t>
      </w:r>
    </w:p>
    <w:p w14:paraId="5EC89DE9">
      <w:pPr>
        <w:keepNext/>
        <w:jc w:val="center"/>
      </w:pPr>
      <w:r>
        <w:drawing>
          <wp:inline distT="0" distB="0" distL="114300" distR="114300">
            <wp:extent cx="5399405" cy="3100705"/>
            <wp:effectExtent l="0" t="0" r="10795" b="2349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2077">
      <w:pPr>
        <w:keepLines/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3.10 — Зависимость годового количества часов фрикулинга от пороговой температуры MCT (г. Санкт-Петербург). Вертикальные линии: красная — MCT = 10 °C (Схема 2, h_fc = 5 502 ч/год); зелёная — MCT = 12 °C (Схема 3, h_fc = 5 994 ч/год)</w:t>
      </w:r>
    </w:p>
    <w:p w14:paraId="2522714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Из графика следует, что зависимость h_fc(MCT) носит монотонно возрастающий характер. При низких значениях MCT (0–5 °C) число часов фрикулинга невелико (менее 2000 ч/год), так как температура воздуха опускается ниже нуля только в зимние месяцы. При MCT = 10 °C количество часов фрикулинга составляет около 5500 ч/год. Оптимальный диапазон MCT для практического применения фрикулинга в ЦОД Санкт-Петербурга составляет 8–14 °C, что соответствует распространённым температурным графикам систем охлаждения с водой 12/18 °C или 14/20 °C.</w:t>
      </w:r>
    </w:p>
    <w:p w14:paraId="58974FD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Повышение MCT с 10 °C (Схема 2) до 12 °C (Схема 3) за счёт применения ТАХ обеспечивает дополнительно 492 ч/год фрикулинга (+8,9 %). При суммарной тепловой нагрузке 965,2 кВт это соответствует дополнительной экономии электроэнергии компрессоров чиллеров порядка:</w:t>
      </w:r>
    </w:p>
    <w:p w14:paraId="7066A73E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ΔE</m:t>
        </m:r>
        <m:r>
          <m:rPr>
            <m:sty m:val="p"/>
          </m:rPr>
          <m:t>=</m:t>
        </m:r>
        <m:r>
          <m:rPr/>
          <m:t>492</m:t>
        </m:r>
        <m:r>
          <m:rPr>
            <m:sty m:val="p"/>
          </m:rPr>
          <m:t>⋅(</m:t>
        </m:r>
        <m:r>
          <m:rPr/>
          <m:t>965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,</m:t>
        </m:r>
        <m:r>
          <m:rPr/>
          <m:t>4</m:t>
        </m:r>
        <m:r>
          <m:rPr>
            <m:sty m:val="p"/>
          </m:rPr>
          <m:t>)≈</m:t>
        </m:r>
        <m:r>
          <m:rPr/>
          <m:t>140000 </m:t>
        </m:r>
        <m:r>
          <m:rPr>
            <m:nor/>
            <m:sty m:val="p"/>
          </m:rPr>
          <w:rPr>
            <w:b w:val="0"/>
            <w:i w:val="0"/>
          </w:rPr>
          <m:t>кВт·ч/год</m:t>
        </m:r>
        <m:r>
          <m:rPr>
            <m:sty m:val="p"/>
          </m:rPr>
          <m:t>≈</m:t>
        </m:r>
        <m:r>
          <m:rPr/>
          <m:t>140 </m:t>
        </m:r>
        <m:r>
          <m:rPr>
            <m:nor/>
            <m:sty m:val="p"/>
          </m:rPr>
          <w:rPr>
            <w:b w:val="0"/>
            <w:i w:val="0"/>
          </w:rPr>
          <m:t>МВт·ч/год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(3.23)</w:t>
      </w:r>
    </w:p>
    <w:p w14:paraId="7F12A3C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Повышение MCT с 10 до 12 °C увеличивает ресурс фрикулинга на 492 ч/год и снижает годовое потребление электроэнергии охлаждения на 142 007 кВт·ч/год по сравнению со Схемой 2. При тарифе 8,75 руб./кВт·ч это соответствует примерно 1,24 млн руб./год экономии электроэнергии; с учётом роста расходов на ТО и водоподготовку чистая дополнительная экономия OPEX Схемы 3 относительно Схемы 2 составляет 1,09 млн руб./год.</w:t>
      </w:r>
    </w:p>
    <w:bookmarkEnd w:id="70"/>
    <w:p w14:paraId="6F6BC1CB">
      <w:pPr>
        <w:pStyle w:val="3"/>
        <w:keepNext/>
        <w:keepLines w:val="0"/>
        <w:widowControl/>
        <w:spacing w:before="0" w:after="0" w:line="360" w:lineRule="auto"/>
        <w:ind w:firstLine="709"/>
        <w:jc w:val="both"/>
      </w:pPr>
      <w:bookmarkStart w:id="71" w:name="_TocE2CC76D0EE4F"/>
      <w:bookmarkEnd w:id="71"/>
      <w:bookmarkStart w:id="72" w:name="_Toc1567249384"/>
      <w:r>
        <w:t>3.4 Сравнительный анализ по энергоэффективности</w:t>
      </w:r>
      <w:bookmarkEnd w:id="72"/>
    </w:p>
    <w:p w14:paraId="48FFCAAB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73" w:name="_Toc1232866722"/>
      <w:bookmarkEnd w:id="73"/>
      <w:bookmarkStart w:id="74" w:name="_Toc1873466433"/>
      <w:bookmarkStart w:id="75" w:name="методика-сравнения"/>
      <w:r>
        <w:t>3.4.1 Методика сравнения</w:t>
      </w:r>
      <w:bookmarkEnd w:id="74"/>
    </w:p>
    <w:p w14:paraId="4D5DC6E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Энергетическая эффективность схем сравнивалась по годовому энергопотреблению системы охлаждения с использованием климатических данных Санкт-Петербурга и принятой сезонной модели работы фрикулинга.</w:t>
      </w:r>
    </w:p>
    <w:p w14:paraId="5E949EF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Подробные помесячные результаты расчёта по всем трём схемам представлены в приложении В.</w:t>
      </w:r>
    </w:p>
    <w:p w14:paraId="0575DE2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Суммарная тепловая нагрузка хладоцентра Q, рассчитанная в разделе 3.2, составляет 965,2 кВт. По месяцам она меняется незначительно: зимой теплопритоки через ограждающие конструкции несколько ниже, летом — выше. Для дальнейших расчётов принята помесячная нагрузка по таблице 3.3.</w:t>
      </w:r>
    </w:p>
    <w:p w14:paraId="5FD0B76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Доля фрикулинга в каждом месяце задаётся пороговой температурой MCT: ниже этого значения охлаждение в основном берёт на себя драйкулер, выше — система работает преимущественно в механическом режиме.</w:t>
      </w:r>
    </w:p>
    <w:p w14:paraId="408C23D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Потребляемая мощность по составляющим:</w:t>
      </w:r>
    </w:p>
    <w:p w14:paraId="52243F3F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Чиллеры (только при механическом охлаждении):</w:t>
      </w:r>
    </w:p>
    <w:p w14:paraId="5406572F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чилл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Q</m:t>
            </m:r>
          </m:num>
          <m:den>
            <m:r>
              <m:rPr/>
              <m:t>CO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акт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(3.24)</w:t>
      </w:r>
    </w:p>
    <w:p w14:paraId="7D12ED0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 </w:t>
      </w:r>
      <m:oMath>
        <m:r>
          <m:rPr/>
          <m:t>CO</m:t>
        </m:r>
        <m:sSub>
          <m:sSubPr/>
          <m:e>
            <m:r>
              <m:rPr/>
              <m:t>P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акт</m:t>
            </m:r>
          </m:sub>
        </m:sSub>
        <m:r>
          <m:rPr>
            <m:sty m:val="p"/>
          </m:rPr>
          <m:t>=</m:t>
        </m:r>
        <m:r>
          <m:rPr/>
          <m:t>CO</m:t>
        </m:r>
        <m:sSub>
          <m:sSubPr/>
          <m:e>
            <m:r>
              <m:rPr/>
              <m:t>P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ном</m:t>
            </m:r>
          </m:sub>
        </m:sSub>
        <m:r>
          <m:rPr>
            <m:sty m:val="p"/>
          </m:rPr>
          <m:t>⋅(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+</m:t>
        </m:r>
        <m:r>
          <m:rPr/>
          <m:t>0</m:t>
        </m:r>
        <m:r>
          <m:rPr>
            <m:sty m:val="p"/>
          </m:rPr>
          <m:t>,</m:t>
        </m:r>
        <m:r>
          <m:rPr/>
          <m:t>9</m:t>
        </m:r>
        <m:r>
          <m:rPr>
            <m:sty m:val="p"/>
          </m:rPr>
          <m:t>⋅</m:t>
        </m:r>
        <m:r>
          <m:rPr/>
          <m:t>PLR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— фактический COP с учётом частичной загрузки; </w:t>
      </w:r>
      <m:oMath>
        <m:r>
          <m:rPr/>
          <m:t>PLR</m:t>
        </m:r>
        <m:r>
          <m:rPr>
            <m:sty m:val="p"/>
          </m:rPr>
          <m:t>=</m:t>
        </m:r>
        <m:r>
          <m:rPr/>
          <m:t>Q</m:t>
        </m:r>
        <m:r>
          <m:rPr>
            <m:sty m:val="p"/>
          </m:rPr>
          <m:t>/(</m:t>
        </m:r>
        <m:sSub>
          <m:sSubPr/>
          <m:e>
            <m:r>
              <m:rPr/>
              <m:t>Q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ном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раб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</w:p>
    <w:p w14:paraId="5465DEA1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Насосы (работают непрерывно):</w:t>
      </w:r>
    </w:p>
    <w:p w14:paraId="0596123B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нас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нас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мех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нас</m:t>
            </m:r>
          </m:sub>
        </m:sSub>
        <m:r>
          <m:rPr>
            <m:sty m:val="p"/>
          </m:rPr>
          <m:t>⋅</m:t>
        </m:r>
        <m:sSup>
          <m:sSupPr/>
          <m:e>
            <m:r>
              <m:rPr/>
              <m:t>φ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⋅</m:t>
        </m:r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фрик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(3.25)</w:t>
      </w:r>
    </w:p>
    <w:p w14:paraId="625E497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где φ = 0,8 — относительный расход при фрикулинге (закон подобия для насосов).</w:t>
      </w:r>
    </w:p>
    <w:p w14:paraId="6D6D6BA8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Вентиляторы CRAH (работают непрерывно, 10 рабочих блоков):</w:t>
      </w:r>
    </w:p>
    <w:p w14:paraId="29873EE1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CRAH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вент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раб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итого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(3.26)</w:t>
      </w:r>
    </w:p>
    <w:p w14:paraId="3A1B3424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Вентиляторы драйкулера (только при фрикулинге, схемы 2 и 3):</w:t>
      </w:r>
    </w:p>
    <w:p w14:paraId="4344D13B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дрк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дрк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дрк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фрик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(3.27)</w:t>
      </w:r>
    </w:p>
    <w:p w14:paraId="423DAD8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Суммарное годовое потребление системы охлаждения (формула 3.8):</w:t>
      </w:r>
    </w:p>
    <w:p w14:paraId="4723D4B1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охл,год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12</m:t>
            </m:r>
          </m:sup>
          <m:e>
            <m:d>
              <m:dPr/>
              <m:e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чилл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нас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CRAH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дрк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i</m:t>
                    </m:r>
                  </m:sub>
                </m:sSub>
              </m:e>
            </m:d>
          </m:e>
        </m:nary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(3.28)</w:t>
      </w:r>
    </w:p>
    <w:p w14:paraId="6D721C6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PUE рассчитывают по формуле (3.29) на основе годового потребления системы охлаждения и годового потребления ИТ-оборудования.</w:t>
      </w:r>
    </w:p>
    <w:p w14:paraId="27D9089A">
      <w:pPr>
        <w:tabs>
          <w:tab w:val="center" w:pos="4819"/>
          <w:tab w:val="right" w:pos="9638"/>
        </w:tabs>
        <w:spacing w:before="120" w:after="120" w:line="240" w:lineRule="auto"/>
        <w:ind w:firstLine="709"/>
        <w:jc w:val="left"/>
      </w:pPr>
      <m:oMath>
        <m:r>
          <m:rPr/>
          <m:t>PUE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ИТ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охл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прочее</m:t>
                </m:r>
              </m:sub>
            </m:sSub>
          </m:num>
          <m:den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ИТ</m:t>
                </m:r>
              </m:sub>
            </m:sSub>
          </m:den>
        </m:f>
      </m:oMath>
      <w:r>
        <w:t>,</w:t>
      </w:r>
      <w:r>
        <w:tab/>
      </w:r>
      <w:r>
        <w:t>(3.29)</w:t>
      </w:r>
    </w:p>
    <w:p w14:paraId="706BCE0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W</w:t>
      </w:r>
      <w:r>
        <w:rPr>
          <w:rFonts w:ascii="Times New Roman" w:hAnsi="Times New Roman"/>
          <w:i/>
          <w:sz w:val="28"/>
          <w:vertAlign w:val="subscript"/>
        </w:rPr>
        <w:t>ИТ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годовое электропотребление ИТ-оборудования, кВт·ч; </w:t>
      </w:r>
      <w:r>
        <w:rPr>
          <w:rFonts w:ascii="Times New Roman" w:hAnsi="Times New Roman"/>
          <w:i/>
          <w:sz w:val="28"/>
        </w:rPr>
        <w:t>W</w:t>
      </w:r>
      <w:r>
        <w:rPr>
          <w:rFonts w:ascii="Times New Roman" w:hAnsi="Times New Roman"/>
          <w:i/>
          <w:sz w:val="28"/>
          <w:vertAlign w:val="subscript"/>
        </w:rPr>
        <w:t>охл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годовое электропотребление системы охлаждения, кВт·ч; </w:t>
      </w:r>
      <w:r>
        <w:rPr>
          <w:rFonts w:ascii="Times New Roman" w:hAnsi="Times New Roman"/>
          <w:i/>
          <w:sz w:val="28"/>
        </w:rPr>
        <w:t>W</w:t>
      </w:r>
      <w:r>
        <w:rPr>
          <w:rFonts w:ascii="Times New Roman" w:hAnsi="Times New Roman"/>
          <w:i/>
          <w:sz w:val="28"/>
          <w:vertAlign w:val="subscript"/>
        </w:rPr>
        <w:t>прочее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годовое электропотребление вспомогательных систем (ИБП, освещение, СКС), кВт·ч.</w:t>
      </w:r>
    </w:p>
    <w:p w14:paraId="69C35B5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Годовое потребление ИТ-оборудования: E_ИТ = P_ИТ · k_з · 8760 = 1200 · 0,75 · 8760 = 7 884 000 кВт·ч.</w:t>
      </w:r>
    </w:p>
    <w:p w14:paraId="2636DDB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Итоговые значения годового энергопотребления по основным потребителям и интегральные показатели эффективности для всех трёх схем приведены в таблицах 3.5 и 3.6.</w:t>
      </w:r>
    </w:p>
    <w:bookmarkEnd w:id="75"/>
    <w:p w14:paraId="391D9A5A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76" w:name="_Toc1868770398"/>
      <w:bookmarkEnd w:id="76"/>
      <w:bookmarkStart w:id="77" w:name="_Toc945107117"/>
      <w:bookmarkStart w:id="78" w:name="годовое-энергопотребление"/>
      <w:r>
        <w:t>3.4.2 Годовое энергопотребление</w:t>
      </w:r>
      <w:bookmarkEnd w:id="77"/>
    </w:p>
    <w:p w14:paraId="49CC104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3.4.2.1 Схема 1: Чиллер с воздушным конденсатором (базовый вариант)</w:t>
      </w:r>
    </w:p>
    <w:p w14:paraId="6D77DE9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Схема 1 не использует фрикулинг, поэтому чиллеры работают круглый год, и суммарное энергопотребление у неё самое высокое среди рассматриваемых вариантов.</w:t>
      </w:r>
    </w:p>
    <w:p w14:paraId="6B8A342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3.4.2.2 Схема 2: Чиллер + драйкулер с фрикулингом (MCT = 10 °C)</w:t>
      </w:r>
    </w:p>
    <w:p w14:paraId="198B30E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Для схемы 2 получено 5502 ч/год работы в режиме фрикулинга, что заметно снижает энергопотребление в холодный период по сравнению с базовым вариантом.</w:t>
      </w:r>
    </w:p>
    <w:p w14:paraId="2F5A8AD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3.4.2.3 Схема 3: Чиллер + фрикулинг + бак-аккумулятор холода (MCT = 12 °C)</w:t>
      </w:r>
    </w:p>
    <w:p w14:paraId="491DBA6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3 увеличивает продолжительность фрикулинга до 5994 ч/год, однако прирост по годовому энергосбережению по сравнению со схемой 2 остается умеренным.</w:t>
      </w:r>
    </w:p>
    <w:p w14:paraId="170E12BD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Помесячное энергопотребление трёх схем приведено в таблице 3.5.</w:t>
      </w:r>
    </w:p>
    <w:p w14:paraId="0E2364E5">
      <w:pPr>
        <w:keepNext/>
        <w:keepLines/>
        <w:spacing w:line="24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3.5 — Помесячное энергопотребление системы охлаждения, МВт·ч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224"/>
        <w:gridCol w:w="1224"/>
        <w:gridCol w:w="1224"/>
        <w:gridCol w:w="1597"/>
        <w:gridCol w:w="1597"/>
      </w:tblGrid>
      <w:tr w14:paraId="77780EAB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12E2FE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Месяц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D1145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Схема 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45CED7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Схема 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93AB23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Схема 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B831D2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h_фрик С2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623A33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h_фрик С3</w:t>
            </w:r>
          </w:p>
        </w:tc>
      </w:tr>
      <w:tr w14:paraId="3EC79D2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A29802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Январь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709E36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257,7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F3EDD5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82,0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FE4C32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79,0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CDF765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717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CD6EF0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729</w:t>
            </w:r>
          </w:p>
        </w:tc>
      </w:tr>
      <w:tr w14:paraId="6D7F2C3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777557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Февраль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E55FAB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233,2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714894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74,2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33E203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71,3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17066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647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23BAC2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659</w:t>
            </w:r>
          </w:p>
        </w:tc>
      </w:tr>
      <w:tr w14:paraId="615FD17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DFE27D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Март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1F647B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267,1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CE0F7E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82,3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0DE6F9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79,0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17C7F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717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4D7A0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730</w:t>
            </w:r>
          </w:p>
        </w:tc>
      </w:tr>
      <w:tr w14:paraId="1E307D3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1AF7C0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Апрель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6D3F85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270,3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86C428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80,1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7164DB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76,8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C5D513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694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02C15A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706</w:t>
            </w:r>
          </w:p>
        </w:tc>
      </w:tr>
      <w:tr w14:paraId="2B6A7D0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36523C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Май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803C00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294,1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0A6661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207,7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A298D1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163,3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1C233E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294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B97ED2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445</w:t>
            </w:r>
          </w:p>
        </w:tc>
      </w:tr>
      <w:tr w14:paraId="5CE600C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A9D8E6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Июнь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D36907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296,7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11AAF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286,1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150D00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268,1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08738C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D45C1A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92</w:t>
            </w:r>
          </w:p>
        </w:tc>
      </w:tr>
      <w:tr w14:paraId="4C73018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20B7AC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Июль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38B79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314,0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908CA0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302,4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39593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302,4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BEB667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A17A2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36</w:t>
            </w:r>
          </w:p>
        </w:tc>
      </w:tr>
      <w:tr w14:paraId="11B1F51E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E7F589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Август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14CB5A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309,3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30E501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298,0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C558CC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298,0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98F8D8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31C7DA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36</w:t>
            </w:r>
          </w:p>
        </w:tc>
      </w:tr>
      <w:tr w14:paraId="533B9E1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E1250E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Сентябрь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A435EF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285,8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E1CCD6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211,9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229918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169,0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9260EB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9529C1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395</w:t>
            </w:r>
          </w:p>
        </w:tc>
      </w:tr>
      <w:tr w14:paraId="6A92040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2B676C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Октябрь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8BF348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282,0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18E15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97,0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36682B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79,3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FB9BE5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666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1E6D6A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730</w:t>
            </w:r>
          </w:p>
        </w:tc>
      </w:tr>
      <w:tr w14:paraId="65AB3E9E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876176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Ноябрь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3D4CBE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261,7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9BDDF9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79,7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C9430B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76,6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53DEE3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694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55818A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706</w:t>
            </w:r>
          </w:p>
        </w:tc>
      </w:tr>
      <w:tr w14:paraId="0B320E0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FDD181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Декабрь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CF221D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262,5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68FED6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82,2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3D70F7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78,9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0B2ACC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717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50126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730</w:t>
            </w:r>
          </w:p>
        </w:tc>
      </w:tr>
      <w:tr w14:paraId="6D09F6DE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E30DDE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Итого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520BE4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3 334,3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D27211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1 883,6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EB955E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1 741,6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0105F1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5 502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F88A3E">
            <w:pPr>
              <w:spacing w:before="0" w:after="0" w:line="240" w:lineRule="auto"/>
              <w:ind w:firstLine="0"/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5 994</w:t>
            </w:r>
          </w:p>
        </w:tc>
      </w:tr>
    </w:tbl>
    <w:p w14:paraId="5B20AEB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*Примечание: h_фрик — количество часов фрикулинга в месяце, ч.</w:t>
      </w:r>
    </w:p>
    <w:p w14:paraId="0B345F6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Из таблицы 3.5 видно, что наибольшая экономия достигается зимой и в межсезонье, когда вклад free cooling максимален.</w:t>
      </w:r>
    </w:p>
    <w:p w14:paraId="1B9B00B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Сезонное распределение энергопотребления для трёх схем представлено на рисунке 3.11.</w:t>
      </w:r>
    </w:p>
    <w:p w14:paraId="5227ACA7">
      <w:pPr>
        <w:keepNext w:val="0"/>
        <w:keepLines w:val="0"/>
        <w:widowControl/>
        <w:spacing w:before="0" w:after="0" w:line="360" w:lineRule="auto"/>
        <w:ind w:firstLine="709"/>
        <w:jc w:val="center"/>
      </w:pPr>
      <w:r>
        <w:drawing>
          <wp:inline distT="0" distB="0" distL="114300" distR="114300">
            <wp:extent cx="5902960" cy="2951480"/>
            <wp:effectExtent l="0" t="0" r="15240" b="20320"/>
            <wp:docPr id="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2951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01CF55">
      <w:pPr>
        <w:keepLines/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3.11 — Помесячное энергопотребление системы охлаждения для трёх схем</w:t>
      </w:r>
    </w:p>
    <w:bookmarkEnd w:id="78"/>
    <w:p w14:paraId="5FBF3690">
      <w:pPr>
        <w:pStyle w:val="4"/>
        <w:keepNext/>
        <w:keepLines w:val="0"/>
        <w:widowControl/>
        <w:spacing w:before="0" w:after="0" w:line="360" w:lineRule="auto"/>
        <w:ind w:firstLine="709"/>
        <w:jc w:val="both"/>
      </w:pPr>
      <w:bookmarkStart w:id="79" w:name="_Toc1475741811"/>
      <w:bookmarkEnd w:id="79"/>
      <w:bookmarkStart w:id="80" w:name="_Toc1626262207"/>
      <w:bookmarkStart w:id="81" w:name="анализ-pue"/>
      <w:r>
        <w:t>3.4.3 Анализ PUE</w:t>
      </w:r>
      <w:bookmarkEnd w:id="80"/>
    </w:p>
    <w:p w14:paraId="7AB1C7E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PUE является общепринятым отраслевым критерием энергоэффективности, характеризующим долю инфраструктурных затрат относительно ИТ-потребления.</w:t>
      </w:r>
    </w:p>
    <w:p w14:paraId="2B543C17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PUE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total</m:t>
                </m:r>
              </m:sub>
            </m:sSub>
          </m:num>
          <m:den>
            <m:sSub>
              <m:sSubPr/>
              <m:e>
                <m:r>
                  <m:rPr/>
                  <m:t>W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ИТ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(3.30)</w:t>
      </w:r>
    </w:p>
    <w:p w14:paraId="30CC932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современных ЦОД значения PUE ниже 1,5 считаются хорошими, а диапазон порядка 1,3 соответствует высокому уровню энергетической эффективности.</w:t>
      </w:r>
    </w:p>
    <w:p w14:paraId="72657AA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Результаты расчёта PUE приведены в таблице 3.6 и на рисунке 3.12.</w:t>
      </w:r>
    </w:p>
    <w:p w14:paraId="5F4F947C">
      <w:pPr>
        <w:keepNext/>
        <w:keepLines/>
        <w:spacing w:line="24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3.6 — Сводное сравнение энергетических показателей трёх схем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1"/>
        <w:gridCol w:w="2344"/>
        <w:gridCol w:w="1883"/>
        <w:gridCol w:w="1592"/>
      </w:tblGrid>
      <w:tr w14:paraId="62437C97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6D5D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2EB0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ECB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1C8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3</w:t>
            </w:r>
          </w:p>
        </w:tc>
      </w:tr>
      <w:tr w14:paraId="24986A6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CA24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Наименование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246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с воздушным конденсатором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7DD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+ драйкулер + фрикулинг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132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+ фрикулинг + ТАХ</w:t>
            </w:r>
          </w:p>
        </w:tc>
      </w:tr>
      <w:tr w14:paraId="4907BFC4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6AC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Суммарная холодопроизводительность, кВт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C18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 × 410 = 1 640 (при отказе 3 × 410 = 1 230)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E457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 × 410 = 1 640 (при отказе 3 × 410 = 1 230)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91D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 × 410 = 1 640 (при отказе 3 × 410 = 1 230)</w:t>
            </w:r>
          </w:p>
        </w:tc>
      </w:tr>
      <w:tr w14:paraId="690E921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AC2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Холодильный агент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439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R-134a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E79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R-134a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D259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R-134a</w:t>
            </w:r>
          </w:p>
        </w:tc>
      </w:tr>
      <w:tr w14:paraId="306F562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A86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MCT фрикулинга, °C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87A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84B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338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</w:t>
            </w:r>
          </w:p>
        </w:tc>
      </w:tr>
      <w:tr w14:paraId="4662079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B141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Часы фрикулинга, ч/год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2FC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CA9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5 502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4DE3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5 994</w:t>
            </w:r>
          </w:p>
        </w:tc>
      </w:tr>
      <w:tr w14:paraId="1A71968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8856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Доля фрикулинга от годового времени,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85B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C509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62,8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82A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68,4</w:t>
            </w:r>
          </w:p>
        </w:tc>
      </w:tr>
      <w:tr w14:paraId="36756D37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C397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W_охл, МВт·ч/год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5B1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3 334,3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748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1 883,6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8BE6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1 741,6</w:t>
            </w:r>
          </w:p>
        </w:tc>
      </w:tr>
      <w:tr w14:paraId="6789D86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847E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W_ИТ, МВт·ч/год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484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7 884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61F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7 884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0FFE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7 884</w:t>
            </w:r>
          </w:p>
        </w:tc>
      </w:tr>
      <w:tr w14:paraId="30363BD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B3B7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W_итого (ИТ + охл + прочее), МВт·ч/год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47B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11 782,2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0E6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10 331,5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56E6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10 189,5</w:t>
            </w:r>
          </w:p>
        </w:tc>
      </w:tr>
      <w:tr w14:paraId="29AF667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A66B8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PUE годовой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A48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1,494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35C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1,310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D4B2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1,292</w:t>
            </w:r>
          </w:p>
        </w:tc>
      </w:tr>
      <w:tr w14:paraId="5973C95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E16D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Экономия энергии охлаждения к Схеме 1,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461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907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43,5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455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47,8</w:t>
            </w:r>
          </w:p>
        </w:tc>
      </w:tr>
      <w:tr w14:paraId="25D932E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140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COP чиллеров (номинальный)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B6A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C3C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2,83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37E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2,83</w:t>
            </w:r>
          </w:p>
        </w:tc>
      </w:tr>
    </w:tbl>
    <w:p w14:paraId="649738A7">
      <w:pPr>
        <w:keepNext/>
        <w:jc w:val="center"/>
      </w:pPr>
    </w:p>
    <w:p w14:paraId="193F2A93">
      <w:pPr>
        <w:keepNext/>
        <w:jc w:val="center"/>
        <w:rPr>
          <w:rFonts w:ascii="Times New Roman" w:hAnsi="Times New Roman" w:eastAsia="Times New Roman" w:cs="Times New Roman"/>
          <w:color w:val="000000"/>
          <w:sz w:val="28"/>
        </w:rPr>
      </w:pPr>
      <w:r>
        <w:drawing>
          <wp:inline distT="0" distB="0" distL="114300" distR="114300">
            <wp:extent cx="5039995" cy="3359785"/>
            <wp:effectExtent l="0" t="0" r="14605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2CCC">
      <w:pPr>
        <w:keepLines/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3.12 — Сравнение годового PUE для трёх схем хладоцентра</w:t>
      </w:r>
    </w:p>
    <w:p w14:paraId="35D9B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6"/>
        <w:jc w:val="both"/>
        <w:textAlignment w:val="auto"/>
      </w:pPr>
      <w:r>
        <w:rPr>
          <w:rFonts w:ascii="Times New Roman" w:hAnsi="Times New Roman" w:eastAsia="Times New Roman" w:cs="Times New Roman"/>
          <w:color w:val="000000"/>
          <w:sz w:val="28"/>
        </w:rPr>
        <w:t>Расчеты показывают, что схема 1 имеет наихудший PUE, схема 2 обеспечивает существенное улучшение за счет фрикулинга, а схема 3 дает лишь незначительный дополнительный выигрыш.</w:t>
      </w:r>
    </w:p>
    <w:p w14:paraId="64389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6"/>
        <w:jc w:val="both"/>
        <w:textAlignment w:val="auto"/>
      </w:pPr>
      <w:r>
        <w:t>Усложнение схемы за счёт ТАХ почти не меняет итоговый показатель PUE, поэтому оценивать такой вариант нужно прежде всего через экономику проекта.</w:t>
      </w:r>
    </w:p>
    <w:p w14:paraId="2FBCF8D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6"/>
        <w:jc w:val="both"/>
        <w:textAlignment w:val="auto"/>
      </w:pPr>
      <w:bookmarkStart w:id="82" w:name="_Toc1564537680"/>
      <w:r>
        <w:t>3.5 Расчёт аварийного режима N+1</w:t>
      </w:r>
      <w:bookmarkEnd w:id="82"/>
    </w:p>
    <w:p w14:paraId="3BF2A3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В соответствии с требованиями Tier III [1] резервирование основного оборудования хладоцентра принято по схеме N+1: 3 рабочих + 1 резервный чиллер; 2 + 1 драйкулер; 3 + 1 насос. При плановом или аварийном отказе одного чиллера в июле (месяц с максимальной температурой T_нар = 26,1 °C, Q = 965,2 кВт) оставшиеся три чиллера обеспечивают 3 × 410 = 1 230 кВт холодопроизводительности, что покрывает расчётную нагрузку с запасом K_зап = 1,27. Температура подачи хладоносителя в этом режиме повышается на 1,2 К (с 10,0 до 11,2 °C), что остаётся в пределах зоны Recommended ASHRAE A1 [4] (18–27 °C на входе стоек).</w:t>
      </w:r>
    </w:p>
    <w:p w14:paraId="13966253">
      <w:r>
        <w:t>При одновременном отказе чиллера и переходе на аварийный источник энергии (ДГУ с задержкой запуска 20–40 с) буферный бак ТАХ (ёмкостью 50 м³, запас 407 кВт·ч при ΔT = 7 К) обеспечивает автономность системы охлаждения ≈ 25 мин при полной нагрузке, что превышает типовое время запуска и стабилизации ДГУ. Тем самым PUE при аварии временно возрастает с 1,310 до 1,41 (рост на 7,6 %) без превышения допустимой температуры в машинном зале.</w:t>
      </w:r>
    </w:p>
    <w:bookmarkEnd w:id="81"/>
    <w:p w14:paraId="1497F19A">
      <w:pPr>
        <w:ind w:firstLine="709"/>
        <w:jc w:val="both"/>
      </w:pPr>
      <w:r>
        <w:rPr>
          <w:rFonts w:ascii="Times New Roman" w:hAnsi="Times New Roman"/>
          <w:sz w:val="28"/>
        </w:rPr>
        <w:t>Полная спецификация оборудования по Схеме 1 (базовой) приведена в Приложении А (Таблица А.1).</w:t>
      </w:r>
    </w:p>
    <w:p w14:paraId="15838388">
      <w:pPr>
        <w:pStyle w:val="2"/>
        <w:keepNext/>
        <w:keepLines w:val="0"/>
        <w:pageBreakBefore/>
        <w:widowControl/>
        <w:spacing w:before="0" w:after="0" w:line="360" w:lineRule="auto"/>
        <w:ind w:firstLine="709"/>
        <w:jc w:val="both"/>
      </w:pPr>
      <w:bookmarkStart w:id="83" w:name="_Toc1395013892"/>
      <w:r>
        <w:rPr>
          <w:rFonts w:ascii="Times New Roman" w:hAnsi="Times New Roman" w:eastAsia="Times New Roman" w:cs="Times New Roman"/>
          <w:b/>
          <w:color w:val="000000"/>
          <w:sz w:val="28"/>
        </w:rPr>
        <w:t>ГЛАВА 4 ТЕХНИКО-ЭКОНОМИЧЕСКОЕ ОБОСНОВАНИЕ ПРОЕКТНЫХ РЕШЕНИЙ</w:t>
      </w:r>
      <w:bookmarkEnd w:id="83"/>
    </w:p>
    <w:p w14:paraId="6AF2FF5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Технико-экономическое обоснование построено на сравнении приведённых затрат, NPV и сроков окупаемости дополнительных инвестиций.</w:t>
      </w:r>
    </w:p>
    <w:p w14:paraId="4DEB5C2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Метод приведённых затрат удобен тем, что позволяет сопоставлять альтернативы с разной структурой CAPEX и OPEX на всём горизонте анализа; расчётное выражение дано в формуле (4.1). В качестве методической базы использованы МДС 81-35.2004 [33] и СП 541.1325800.2024 [34].</w:t>
      </w:r>
    </w:p>
    <w:p w14:paraId="4F2012BD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NP</m:t>
        </m:r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CAPE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</m:naryPr>
          <m:sub>
            <m:r>
              <m:rPr/>
              <m:t>t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T</m:t>
            </m:r>
          </m:sup>
          <m:e>
            <m:f>
              <m:fPr/>
              <m:num>
                <m:r>
                  <m:rPr/>
                  <m:t>OPE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r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t</m:t>
                    </m:r>
                  </m:sup>
                </m:sSup>
              </m:den>
            </m:f>
          </m:e>
        </m:nary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(4.1)</w:t>
      </w:r>
    </w:p>
    <w:p w14:paraId="2FAB28F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NPC</w:t>
      </w:r>
      <w:r>
        <w:rPr>
          <w:rFonts w:ascii="Times New Roman" w:hAnsi="Times New Roman"/>
          <w:i/>
          <w:sz w:val="28"/>
          <w:vertAlign w:val="subscript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приведённые затраты по варианту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руб.; </w:t>
      </w:r>
      <w:r>
        <w:rPr>
          <w:rFonts w:ascii="Times New Roman" w:hAnsi="Times New Roman"/>
          <w:i/>
          <w:sz w:val="28"/>
        </w:rPr>
        <w:t>CAPEX</w:t>
      </w:r>
      <w:r>
        <w:rPr>
          <w:rFonts w:ascii="Times New Roman" w:hAnsi="Times New Roman"/>
          <w:i/>
          <w:sz w:val="28"/>
          <w:vertAlign w:val="subscript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капитальные вложения по варианту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руб.; </w:t>
      </w:r>
      <w:r>
        <w:rPr>
          <w:rFonts w:ascii="Times New Roman" w:hAnsi="Times New Roman"/>
          <w:i/>
          <w:sz w:val="28"/>
        </w:rPr>
        <w:t>OPEX</w:t>
      </w:r>
      <w:r>
        <w:rPr>
          <w:rFonts w:ascii="Times New Roman" w:hAnsi="Times New Roman"/>
          <w:i/>
          <w:sz w:val="28"/>
          <w:vertAlign w:val="subscript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годовые операционные расходы по варианту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руб./год; </w:t>
      </w:r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= 15 лет — горизонт анализа; </w:t>
      </w:r>
      <w:r>
        <w:rPr>
          <w:rFonts w:ascii="Times New Roman" w:hAnsi="Times New Roman"/>
          <w:i/>
          <w:sz w:val="28"/>
        </w:rPr>
        <w:t>t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индекс шага дисконтирования, лет;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индекс варианта (схемы); </w:t>
      </w:r>
      <w:r>
        <w:rPr>
          <w:rFonts w:ascii="Times New Roman" w:hAnsi="Times New Roman"/>
          <w:i/>
          <w:sz w:val="28"/>
        </w:rPr>
        <w:t>r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= 17 % — ставка дисконтирования (ключевая ставка Банка России 15,00 % по состоянию на 17.04.2026 + 2 п.п. отраслевой премии).</w:t>
      </w:r>
    </w:p>
    <w:p w14:paraId="2415A90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NPV используется для оценки того, окупаются ли дополнительные вложения в схемы с фрикулингом за счет снижения эксплуатационных расходов; соответствующее выражение дано в формуле (4.2).</w:t>
      </w:r>
    </w:p>
    <w:p w14:paraId="0CF6D27F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NP</m:t>
        </m:r>
        <m:sSub>
          <m:sSubPr/>
          <m:e>
            <m:r>
              <m:rPr/>
              <m:t>V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=−</m:t>
        </m:r>
        <m:r>
          <m:rPr/>
          <m:t>ΔCAPE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</m:naryPr>
          <m:sub>
            <m:r>
              <m:rPr/>
              <m:t>t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T</m:t>
            </m:r>
          </m:sup>
          <m:e>
            <m:f>
              <m:fPr/>
              <m:num>
                <m:r>
                  <m:rPr/>
                  <m:t>ΔOPE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r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t</m:t>
                    </m:r>
                  </m:sup>
                </m:sSup>
              </m:den>
            </m:f>
          </m:e>
        </m:nary>
      </m:oMath>
      <w:r>
        <w:rPr>
          <w:rFonts w:ascii="Times New Roman" w:hAnsi="Times New Roman" w:eastAsia="Times New Roman" w:cs="Times New Roman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(4.2)</w:t>
      </w:r>
    </w:p>
    <w:p w14:paraId="2241750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где </w:t>
      </w:r>
      <m:oMath>
        <m:r>
          <m:rPr/>
          <m:t>ΔCAPE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CAPE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CAPE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— дополнительные капитальные вложения относительно базовой схемы, руб.; </w:t>
      </w:r>
      <m:oMath>
        <m:r>
          <m:rPr/>
          <m:t>ΔOPE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OPE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r>
          <m:rPr/>
          <m:t>OPE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— годовая экономия операционных расходов относительно базовой схемы, руб./год.</w:t>
      </w:r>
    </w:p>
    <w:p w14:paraId="7EA3D200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PP</m:t>
        </m:r>
        <m:r>
          <m:rPr>
            <m:sty m:val="p"/>
          </m:rPr>
          <m:t>=</m:t>
        </m:r>
        <m:f>
          <m:fPr/>
          <m:num>
            <m:r>
              <m:rPr/>
              <m:t>ΔCAPEX</m:t>
            </m:r>
          </m:num>
          <m:den>
            <m:r>
              <m:rPr/>
              <m:t>ΔOPEX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(4.3)</w:t>
      </w:r>
    </w:p>
    <w:p w14:paraId="1B224F6B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nary>
          <m:naryPr>
            <m:chr m:val="∑"/>
            <m:limLoc m:val="undOvr"/>
          </m:naryPr>
          <m:sub>
            <m:r>
              <m:rPr/>
              <m:t>t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f>
              <m:fPr/>
              <m:num>
                <m:r>
                  <m:rPr/>
                  <m:t>ΔOPEX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r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t</m:t>
                    </m:r>
                  </m:sup>
                </m:sSup>
              </m:den>
            </m:f>
          </m:e>
        </m:nary>
        <m:r>
          <m:rPr>
            <m:sty m:val="p"/>
          </m:rPr>
          <m:t>≥</m:t>
        </m:r>
        <m:r>
          <m:rPr/>
          <m:t>ΔCAPEX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(4.4)</w:t>
      </w:r>
    </w:p>
    <w:p w14:paraId="1A35E6F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Стоимостная оценка CAPEX выполнена как укрупнённая предпроектная оценка в уровне цен апреля 2026 г. Ориентировочные цены основного оборудования приняты по открытым коммерческим предложениям и прайс-листам российских поставщиков инженерного оборудования (Dantex, Ридан, TICA, Alfa Laval); стоимость СМР, проектирования и ПНР учтена коэффициентно: СМР, включая монтаж, — 25 % от стоимости оборудования, проектирование и ПНР — 8 %. Коэффициентный подход соответствует предпроектной стадии оценки по МДС 81-35.2004 [33]; на стадии рабочей документации значения подлежат уточнению по актуальным коммерческим предложениям.</w:t>
      </w:r>
    </w:p>
    <w:p w14:paraId="0915933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Капитальные затраты по трём схемам составляют:</w:t>
      </w:r>
    </w:p>
    <w:p w14:paraId="5B964BAB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1 (базовая, без фрикулинга): 77 539 тыс. руб.</w:t>
      </w:r>
    </w:p>
    <w:p w14:paraId="77D2CFA1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2 (чиллер + фрикулинг): 91 238 тыс. руб. — на 13 699 тыс. руб. дороже Схемы 1 (+17,7 %)</w:t>
      </w:r>
    </w:p>
    <w:p w14:paraId="7A3DFA2F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3 (чиллер + фрикулинг + аккумулятор): 97 223 тыс. руб. — на 19 684 тыс. руб. дороже Схемы 1 (+25,4 %)</w:t>
      </w:r>
    </w:p>
    <w:p w14:paraId="1CA96F5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Рост CAPEX у схем 2 и 3 связан главным образом с установкой драйкулеров, пластинчатых теплообменников, дополнительной насосной группы и, для схемы 3, бака-аккумулятора холода.</w:t>
      </w:r>
    </w:p>
    <w:p w14:paraId="3992CD8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4.1 представлена структура капитальных затрат (CAPEX) по схемам хладоцентра.</w:t>
      </w:r>
    </w:p>
    <w:p w14:paraId="75968C23">
      <w:pPr>
        <w:keepNext/>
        <w:jc w:val="center"/>
      </w:pPr>
      <w:r>
        <w:drawing>
          <wp:inline distT="0" distB="0" distL="114300" distR="114300">
            <wp:extent cx="5039995" cy="3359785"/>
            <wp:effectExtent l="0" t="0" r="1460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9229">
      <w:pPr>
        <w:keepLines/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4.1 — Структура капитальных затрат (CAPEX) по схемам хладоцентра</w:t>
      </w:r>
    </w:p>
    <w:p w14:paraId="6B4C89E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Экономическое преимущество схем 2 и 3 в первую очередь связано с тем, что компрессоры работают меньше, поскольку часть холода берётся от наружного воздуха.</w:t>
      </w:r>
    </w:p>
    <w:p w14:paraId="70077F7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 результатам почасового моделирования (раздел 3.4), при MCT = 10 °C (Схема 2) фрикулинг задействован в течение 5 502 ч/год из 8 760 ч (62,8 % времени). Потребление электроэнергии охлаждения снижается с 3 334 315 кВт·ч/год (Схема 1) до 1 883 593 кВт·ч/год (Схема 2), то есть на 1 450 722 кВт·ч/год (–43,5 %).</w:t>
      </w:r>
    </w:p>
    <w:p w14:paraId="70BD982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При тарифе 8,75 руб./кВт·ч годовая экономия электроэнергии составляет 12,69 млн руб. После учёта дополнительных расходов на ТО (+310 тыс. руб./год) и водоподготовку (+80 тыс. руб./год) чистая экономия OPEX остаётся на уровне 12,31 млн руб./год.</w:t>
      </w:r>
    </w:p>
    <w:p w14:paraId="36D2D4C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У схемы 3 дополнительный эффект по сравнению со схемой 2 есть, но он невелик. Прирост капитальных затрат остаётся заметным.</w:t>
      </w:r>
    </w:p>
    <w:p w14:paraId="55D5201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2 относительно Схемы 1</w:t>
      </w:r>
    </w:p>
    <w:p w14:paraId="0E9EA5B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Дополнительные капитальные вложения: 13 699 тыс. руб. (13,70 млн руб.) Годовая экономия OPEX: 12 310 тыс. руб./год (12,31 млн руб./год)</w:t>
      </w:r>
    </w:p>
    <w:p w14:paraId="78B65AD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Простой срок окупаемости:</w:t>
      </w:r>
    </w:p>
    <w:p w14:paraId="059A9E38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P</m:t>
        </m:r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13 699 000</m:t>
            </m:r>
          </m:num>
          <m:den>
            <m:r>
              <m:rPr/>
              <m:t>12 310 000</m:t>
            </m:r>
          </m:den>
        </m:f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11</m:t>
        </m:r>
        <m:r>
          <m:rPr>
            <m:nor/>
            <m:sty m:val="p"/>
          </m:rPr>
          <w:rPr>
            <w:b w:val="0"/>
            <w:i w:val="0"/>
          </w:rPr>
          <m:t>года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(4.5)</w:t>
      </w:r>
    </w:p>
    <w:p w14:paraId="1C3DF19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схемы 2 дисконтированный срок окупаемости составляет 1,35 года, то есть дополнительные вложения возвращаются уже в начале эксплуатационного цикла.</w:t>
      </w:r>
    </w:p>
    <w:p w14:paraId="34EE22B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NPV за 15-летний горизонт расчёта:</w:t>
      </w:r>
    </w:p>
    <w:p w14:paraId="344704E3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NP</m:t>
        </m:r>
        <m:sSub>
          <m:sSubPr/>
          <m:e>
            <m:r>
              <m:rPr/>
              <m:t>V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=−</m:t>
        </m:r>
        <m:r>
          <m:rPr/>
          <m:t>13 699 000</m:t>
        </m:r>
        <m:r>
          <m:rPr>
            <m:sty m:val="p"/>
          </m:rPr>
          <m:t>+</m:t>
        </m:r>
        <m:nary>
          <m:naryPr>
            <m:chr m:val="∑"/>
            <m:limLoc m:val="undOvr"/>
          </m:naryPr>
          <m:sub>
            <m:r>
              <m:rPr/>
              <m:t>t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15</m:t>
            </m:r>
          </m:sup>
          <m:e>
            <m:f>
              <m:fPr/>
              <m:num>
                <m:r>
                  <m:rPr/>
                  <m:t>12 310 000</m:t>
                </m:r>
              </m:num>
              <m:den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/>
                      <m:t>17</m:t>
                    </m:r>
                  </m:e>
                  <m:sup>
                    <m:r>
                      <m:rPr/>
                      <m:t>t</m:t>
                    </m:r>
                  </m:sup>
                </m:sSup>
              </m:den>
            </m:f>
          </m:e>
        </m:nary>
        <m:r>
          <m:rPr>
            <m:sty m:val="p"/>
          </m:rPr>
          <m:t>=+</m:t>
        </m:r>
        <m:r>
          <m:rPr/>
          <m:t>51</m:t>
        </m:r>
        <m:r>
          <m:rPr>
            <m:sty m:val="p"/>
          </m:rPr>
          <m:t>,</m:t>
        </m:r>
        <m:r>
          <m:rPr/>
          <m:t>84</m:t>
        </m:r>
        <m:r>
          <m:rPr>
            <m:nor/>
            <m:sty m:val="p"/>
          </m:rPr>
          <w:rPr>
            <w:b w:val="0"/>
            <w:i w:val="0"/>
          </w:rPr>
          <m:t>млн руб.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(4.6)</w:t>
      </w:r>
    </w:p>
    <w:p w14:paraId="3C60C83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3 относительно Схемы 1</w:t>
      </w:r>
    </w:p>
    <w:p w14:paraId="231387B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Простой срок окупаемости:</w:t>
      </w:r>
    </w:p>
    <w:p w14:paraId="08174EB4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P</m:t>
        </m:r>
        <m:sSub>
          <m:sSubPr/>
          <m:e>
            <m:r>
              <m:rPr/>
              <m:t>P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19 684 000</m:t>
            </m:r>
          </m:num>
          <m:den>
            <m:r>
              <m:rPr/>
              <m:t>13 400 000</m:t>
            </m:r>
          </m:den>
        </m:f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47</m:t>
        </m:r>
        <m:r>
          <m:rPr>
            <m:nor/>
            <m:sty m:val="p"/>
          </m:rPr>
          <w:rPr>
            <w:b w:val="0"/>
            <w:i w:val="0"/>
          </w:rPr>
          <m:t>года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(4.7)</w:t>
      </w:r>
    </w:p>
    <w:p w14:paraId="3FA94F96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Дисконтированный срок окупаемости при r = 17 %: 1,84 года.</w:t>
      </w:r>
    </w:p>
    <w:p w14:paraId="2DADCAC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NPV за 15-летний горизонт:</w:t>
      </w:r>
    </w:p>
    <w:p w14:paraId="5526CD0F">
      <w:pPr>
        <w:tabs>
          <w:tab w:val="center" w:pos="4819"/>
          <w:tab w:val="right" w:pos="9638"/>
        </w:tabs>
        <w:spacing w:before="120" w:after="120" w:line="240" w:lineRule="auto"/>
        <w:ind w:firstLine="0"/>
        <w:jc w:val="left"/>
      </w:pPr>
      <w:r>
        <w:tab/>
      </w:r>
      <m:oMath>
        <m:r>
          <m:rPr/>
          <m:t>NP</m:t>
        </m:r>
        <m:sSub>
          <m:sSubPr/>
          <m:e>
            <m:r>
              <m:rPr/>
              <m:t>V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=−</m:t>
        </m:r>
        <m:r>
          <m:rPr/>
          <m:t>19 684 000</m:t>
        </m:r>
        <m:r>
          <m:rPr>
            <m:sty m:val="p"/>
          </m:rPr>
          <m:t>+</m:t>
        </m:r>
        <m:nary>
          <m:naryPr>
            <m:chr m:val="∑"/>
            <m:limLoc m:val="undOvr"/>
          </m:naryPr>
          <m:sub>
            <m:r>
              <m:rPr/>
              <m:t>t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15</m:t>
            </m:r>
          </m:sup>
          <m:e>
            <m:f>
              <m:fPr/>
              <m:num>
                <m:r>
                  <m:rPr/>
                  <m:t>13 400 000</m:t>
                </m:r>
              </m:num>
              <m:den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/>
                      <m:t>17</m:t>
                    </m:r>
                  </m:e>
                  <m:sup>
                    <m:r>
                      <m:rPr/>
                      <m:t>t</m:t>
                    </m:r>
                  </m:sup>
                </m:sSup>
              </m:den>
            </m:f>
          </m:e>
        </m:nary>
        <m:r>
          <m:rPr>
            <m:sty m:val="p"/>
          </m:rPr>
          <m:t>=+</m:t>
        </m:r>
        <m:r>
          <m:rPr/>
          <m:t>51</m:t>
        </m:r>
        <m:r>
          <m:rPr>
            <m:sty m:val="p"/>
          </m:rPr>
          <m:t>,</m:t>
        </m:r>
        <m:r>
          <m:rPr/>
          <m:t>66</m:t>
        </m:r>
        <m:r>
          <m:rPr>
            <m:nor/>
            <m:sty m:val="p"/>
          </m:rPr>
          <w:rPr>
            <w:b w:val="0"/>
            <w:i w:val="0"/>
          </w:rPr>
          <m:t>млн руб.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>(4.8)</w:t>
      </w:r>
    </w:p>
    <w:p w14:paraId="7E80D84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Хотя схема 3 также имеет положительный NPV, по сравнению со схемой 2 она уступает по соотношению эффекта и объема дополнительных инвестиций, поэтому экономически менее предпочтительна.</w:t>
      </w:r>
    </w:p>
    <w:p w14:paraId="0EA47F5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Итоговые показатели технико-экономического анализа приведены в таблице 4.1.</w:t>
      </w:r>
    </w:p>
    <w:p w14:paraId="464ADF67">
      <w:pPr>
        <w:keepNext/>
        <w:keepLines/>
        <w:spacing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4.1 — Итоговые показатели технико-экономического анализа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6"/>
        <w:gridCol w:w="1224"/>
        <w:gridCol w:w="1224"/>
        <w:gridCol w:w="1224"/>
      </w:tblGrid>
      <w:tr w14:paraId="6562A798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A94B63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Показатель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E0BA6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Схема 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EA1CB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Схема 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46FF47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Схема 3</w:t>
            </w:r>
          </w:p>
        </w:tc>
      </w:tr>
      <w:tr w14:paraId="0FA4AA6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D0BBF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CAPEX, тыс.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0205E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77 539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39CD5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91 238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F28C2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97 223</w:t>
            </w:r>
          </w:p>
        </w:tc>
      </w:tr>
      <w:tr w14:paraId="32733B41">
        <w:trPr>
          <w:cantSplit/>
          <w:trHeight w:val="248" w:hRule="atLeas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36482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OPEX (годовые), млн руб./год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A230B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31,13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D59AF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18,82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3168A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17,73</w:t>
            </w:r>
          </w:p>
        </w:tc>
      </w:tr>
      <w:tr w14:paraId="7FBF5754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430DE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Потребление электроэнергии, тыс. кВт·ч/год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95A4B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3 334,3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04A9D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1 883,6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E9980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1 741,6</w:t>
            </w:r>
          </w:p>
        </w:tc>
      </w:tr>
      <w:tr w14:paraId="65B7FFA1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75E43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Затраты на электроэнергию, млн руб./год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21BFA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29,180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B24B3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16,480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2FC819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15,240</w:t>
            </w:r>
          </w:p>
        </w:tc>
      </w:tr>
      <w:tr w14:paraId="7E2B5E9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67C3C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Затраты на ТО, тыс. руб./год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79A9D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1 750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CEDEA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2 060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8CA6C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2 190</w:t>
            </w:r>
          </w:p>
        </w:tc>
      </w:tr>
      <w:tr w14:paraId="086B7997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29B07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Водоподготовка и хладагент, тыс. руб./год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5D8EC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5429F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280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4030A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300</w:t>
            </w:r>
          </w:p>
        </w:tc>
      </w:tr>
      <w:tr w14:paraId="16B1F48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B9627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Доп. CAPEX vs. Схема 1, тыс.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1CCF3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CA5247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13 699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DA45E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19 684</w:t>
            </w:r>
          </w:p>
        </w:tc>
      </w:tr>
      <w:tr w14:paraId="0A3CBC4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FA0DA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Годовая экономия vs. Схема 1, млн руб./год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D6F5D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EAF32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12,31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64644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13,40</w:t>
            </w:r>
          </w:p>
        </w:tc>
      </w:tr>
      <w:tr w14:paraId="1B3AFBEC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5B2B3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Простой срок окупаемости, лет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4AF06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3BF0A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1,11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34554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1,47</w:t>
            </w:r>
          </w:p>
        </w:tc>
      </w:tr>
      <w:tr w14:paraId="04F6AB2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641BF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Дисконтированный срок окупаемости, лет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61864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BCF64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1,35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3FE55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1,84</w:t>
            </w:r>
          </w:p>
        </w:tc>
      </w:tr>
      <w:tr w14:paraId="29CBA9F7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9C8C23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NPV (15 лет, r = 17 %), млн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A2311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4776D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+51,84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044B0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+51,66</w:t>
            </w:r>
          </w:p>
        </w:tc>
      </w:tr>
      <w:tr w14:paraId="259926C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1B29D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Снижение OPEX vs. Схема 1,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81C92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29A93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−39,5 %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4F020">
            <w:pPr>
              <w:spacing w:before="0" w:after="0"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</w:rPr>
              <w:t>−43,0 %</w:t>
            </w:r>
          </w:p>
        </w:tc>
      </w:tr>
    </w:tbl>
    <w:p w14:paraId="080B5C1E"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Структура годовых эксплуатационных расходов по схемам приведена в таблице 4.2.</w:t>
      </w:r>
    </w:p>
    <w:p w14:paraId="7DB9272B">
      <w:pPr>
        <w:keepNext/>
        <w:keepLines/>
        <w:spacing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4.2 — Структура годовых эксплуатационных расходов по схемам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2"/>
        <w:gridCol w:w="1766"/>
        <w:gridCol w:w="1766"/>
        <w:gridCol w:w="1766"/>
      </w:tblGrid>
      <w:tr w14:paraId="22A15CD6">
        <w:trPr>
          <w:cantSplit/>
          <w:tblHeader/>
        </w:trPr>
        <w:tc>
          <w:tcPr>
            <w:tcW w:w="4300" w:type="dxa"/>
            <w:vAlign w:val="center"/>
          </w:tcPr>
          <w:p w14:paraId="05D99743">
            <w:pPr>
              <w:tabs>
                <w:tab w:val="right" w:pos="3375"/>
              </w:tabs>
              <w:jc w:val="left"/>
              <w:rPr>
                <w:rFonts w:hint="default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Статья расходов</w:t>
            </w:r>
          </w:p>
        </w:tc>
        <w:tc>
          <w:tcPr>
            <w:tcW w:w="1850" w:type="dxa"/>
            <w:vAlign w:val="center"/>
          </w:tcPr>
          <w:p w14:paraId="236135EF">
            <w:pPr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Схема 1</w:t>
            </w:r>
          </w:p>
        </w:tc>
        <w:tc>
          <w:tcPr>
            <w:tcW w:w="1850" w:type="dxa"/>
            <w:vAlign w:val="center"/>
          </w:tcPr>
          <w:p w14:paraId="45F4EB93">
            <w:pPr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Схема 2</w:t>
            </w:r>
          </w:p>
        </w:tc>
        <w:tc>
          <w:tcPr>
            <w:tcW w:w="1850" w:type="dxa"/>
            <w:vAlign w:val="center"/>
          </w:tcPr>
          <w:p w14:paraId="706D9CEE">
            <w:pPr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Схема 3</w:t>
            </w:r>
          </w:p>
        </w:tc>
      </w:tr>
      <w:tr w14:paraId="3A184F65">
        <w:trPr>
          <w:cantSplit/>
        </w:trPr>
        <w:tc>
          <w:tcPr>
            <w:tcW w:w="4300" w:type="dxa"/>
            <w:vAlign w:val="center"/>
          </w:tcPr>
          <w:p w14:paraId="4B8FEFDD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Электроэнергия, млн руб./год</w:t>
            </w:r>
          </w:p>
        </w:tc>
        <w:tc>
          <w:tcPr>
            <w:tcW w:w="1850" w:type="dxa"/>
            <w:vAlign w:val="center"/>
          </w:tcPr>
          <w:p w14:paraId="32772989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29,18</w:t>
            </w:r>
          </w:p>
        </w:tc>
        <w:tc>
          <w:tcPr>
            <w:tcW w:w="1850" w:type="dxa"/>
            <w:vAlign w:val="center"/>
          </w:tcPr>
          <w:p w14:paraId="36F6185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16,48</w:t>
            </w:r>
          </w:p>
        </w:tc>
        <w:tc>
          <w:tcPr>
            <w:tcW w:w="1850" w:type="dxa"/>
            <w:vAlign w:val="center"/>
          </w:tcPr>
          <w:p w14:paraId="31365F83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15,24</w:t>
            </w:r>
          </w:p>
        </w:tc>
      </w:tr>
      <w:tr w14:paraId="412D4639">
        <w:trPr>
          <w:cantSplit/>
        </w:trPr>
        <w:tc>
          <w:tcPr>
            <w:tcW w:w="4300" w:type="dxa"/>
            <w:vAlign w:val="center"/>
          </w:tcPr>
          <w:p w14:paraId="365382CC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ТО, млн руб./год</w:t>
            </w:r>
          </w:p>
        </w:tc>
        <w:tc>
          <w:tcPr>
            <w:tcW w:w="1850" w:type="dxa"/>
            <w:vAlign w:val="center"/>
          </w:tcPr>
          <w:p w14:paraId="1F1F06EA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1,75</w:t>
            </w:r>
          </w:p>
        </w:tc>
        <w:tc>
          <w:tcPr>
            <w:tcW w:w="1850" w:type="dxa"/>
            <w:vAlign w:val="center"/>
          </w:tcPr>
          <w:p w14:paraId="0A24EA87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2,06</w:t>
            </w:r>
          </w:p>
        </w:tc>
        <w:tc>
          <w:tcPr>
            <w:tcW w:w="1850" w:type="dxa"/>
            <w:vAlign w:val="center"/>
          </w:tcPr>
          <w:p w14:paraId="17E209B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2,19</w:t>
            </w:r>
          </w:p>
        </w:tc>
      </w:tr>
      <w:tr w14:paraId="0E5DF686">
        <w:trPr>
          <w:cantSplit/>
        </w:trPr>
        <w:tc>
          <w:tcPr>
            <w:tcW w:w="4300" w:type="dxa"/>
            <w:vAlign w:val="center"/>
          </w:tcPr>
          <w:p w14:paraId="12927B7F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Водоподготовка/хладагент, млн руб./год</w:t>
            </w:r>
          </w:p>
        </w:tc>
        <w:tc>
          <w:tcPr>
            <w:tcW w:w="1850" w:type="dxa"/>
            <w:vAlign w:val="center"/>
          </w:tcPr>
          <w:p w14:paraId="555AA6B4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0,20</w:t>
            </w:r>
          </w:p>
        </w:tc>
        <w:tc>
          <w:tcPr>
            <w:tcW w:w="1850" w:type="dxa"/>
            <w:vAlign w:val="center"/>
          </w:tcPr>
          <w:p w14:paraId="44A9B74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0,28</w:t>
            </w:r>
          </w:p>
        </w:tc>
        <w:tc>
          <w:tcPr>
            <w:tcW w:w="1850" w:type="dxa"/>
            <w:vAlign w:val="center"/>
          </w:tcPr>
          <w:p w14:paraId="2829BAB1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0,30</w:t>
            </w:r>
          </w:p>
        </w:tc>
      </w:tr>
      <w:tr w14:paraId="692B3DED">
        <w:trPr>
          <w:cantSplit/>
        </w:trPr>
        <w:tc>
          <w:tcPr>
            <w:tcW w:w="4300" w:type="dxa"/>
            <w:vAlign w:val="center"/>
          </w:tcPr>
          <w:p w14:paraId="04C864B7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Итого OPEX, млн руб./год</w:t>
            </w:r>
          </w:p>
        </w:tc>
        <w:tc>
          <w:tcPr>
            <w:tcW w:w="1850" w:type="dxa"/>
            <w:vAlign w:val="center"/>
          </w:tcPr>
          <w:p w14:paraId="3DA411BE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31,13</w:t>
            </w:r>
          </w:p>
        </w:tc>
        <w:tc>
          <w:tcPr>
            <w:tcW w:w="1850" w:type="dxa"/>
            <w:vAlign w:val="center"/>
          </w:tcPr>
          <w:p w14:paraId="1045CDF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18,82</w:t>
            </w:r>
          </w:p>
        </w:tc>
        <w:tc>
          <w:tcPr>
            <w:tcW w:w="1850" w:type="dxa"/>
            <w:vAlign w:val="center"/>
          </w:tcPr>
          <w:p w14:paraId="1345FEAB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17,73</w:t>
            </w:r>
          </w:p>
        </w:tc>
      </w:tr>
      <w:tr w14:paraId="6ABD3F20">
        <w:trPr>
          <w:cantSplit/>
        </w:trPr>
        <w:tc>
          <w:tcPr>
            <w:tcW w:w="4300" w:type="dxa"/>
            <w:vAlign w:val="center"/>
          </w:tcPr>
          <w:p w14:paraId="2DC8F285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Доля электроэнергии в OPEX, %</w:t>
            </w:r>
          </w:p>
        </w:tc>
        <w:tc>
          <w:tcPr>
            <w:tcW w:w="1850" w:type="dxa"/>
            <w:vAlign w:val="center"/>
          </w:tcPr>
          <w:p w14:paraId="09668A6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93,7</w:t>
            </w:r>
          </w:p>
        </w:tc>
        <w:tc>
          <w:tcPr>
            <w:tcW w:w="1850" w:type="dxa"/>
            <w:vAlign w:val="center"/>
          </w:tcPr>
          <w:p w14:paraId="5A6AC4C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87,6</w:t>
            </w:r>
          </w:p>
        </w:tc>
        <w:tc>
          <w:tcPr>
            <w:tcW w:w="1850" w:type="dxa"/>
            <w:vAlign w:val="center"/>
          </w:tcPr>
          <w:p w14:paraId="568D551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86,0</w:t>
            </w:r>
          </w:p>
        </w:tc>
      </w:tr>
      <w:tr w14:paraId="06EA9DE7">
        <w:trPr>
          <w:cantSplit/>
        </w:trPr>
        <w:tc>
          <w:tcPr>
            <w:tcW w:w="4300" w:type="dxa"/>
            <w:vAlign w:val="center"/>
          </w:tcPr>
          <w:p w14:paraId="0B1220A4">
            <w:pPr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Экономия к Схеме 1, млн руб./год</w:t>
            </w:r>
          </w:p>
        </w:tc>
        <w:tc>
          <w:tcPr>
            <w:tcW w:w="1850" w:type="dxa"/>
            <w:vAlign w:val="center"/>
          </w:tcPr>
          <w:p w14:paraId="710EA187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50" w:type="dxa"/>
            <w:vAlign w:val="center"/>
          </w:tcPr>
          <w:p w14:paraId="682F7592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12,31</w:t>
            </w:r>
          </w:p>
        </w:tc>
        <w:tc>
          <w:tcPr>
            <w:tcW w:w="1850" w:type="dxa"/>
            <w:vAlign w:val="center"/>
          </w:tcPr>
          <w:p w14:paraId="73B7D16E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13,40</w:t>
            </w:r>
          </w:p>
        </w:tc>
      </w:tr>
    </w:tbl>
    <w:p w14:paraId="407DA13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4.2 показывает, что в структуре OPEX преобладают затраты на электроэнергию, поэтому повышение энергоэффективности определяет итоговую экономику проекта.</w:t>
      </w:r>
    </w:p>
    <w:p w14:paraId="37A91B4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Схема 2 обеспечивает снижение годовых OPEX на 12,31 млн руб. по сравнению со Схемой 1 (–39,5 %). Схема 3 даёт дополнительную экономию 1,09 млн руб./год по отношению к Схеме 2, однако требует дополнительных капитальных вложений 5,98 млн руб., что при r = 17 % даёт маргинальный NPV −0,18 млн руб. и ухудшает показатели возврата инвестиций.</w:t>
      </w:r>
    </w:p>
    <w:p w14:paraId="1C39720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На рисунке 4.2 представлена структура годовых OPEX рекомендуемой схемы 2, в которой доминирует электроэнергетическая составляющая.</w:t>
      </w:r>
    </w:p>
    <w:p w14:paraId="1A3E7FB1">
      <w:pPr>
        <w:keepNext/>
        <w:jc w:val="center"/>
      </w:pPr>
      <w:r>
        <w:drawing>
          <wp:inline distT="0" distB="0" distL="114300" distR="114300">
            <wp:extent cx="5039995" cy="3359785"/>
            <wp:effectExtent l="0" t="0" r="1460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6AF9">
      <w:pPr>
        <w:keepLines/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4.2 — Структура годовых эксплуатационных расходов для Схемы 2: чиллер с фрикулингом</w:t>
      </w:r>
    </w:p>
    <w:p w14:paraId="3DBB55E7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Распределение типично для ЦОД промышленного класса и свидетельствует о том, что любые технические меры по снижению удельного потребления электроэнергии (повышение COP чиллеров, увеличение времени работы фрикулинга, оптимизация гидравлических контуров) обеспечивают наибольший экономический эффект в структуре OPEX.</w:t>
      </w:r>
    </w:p>
    <w:p w14:paraId="3BC99E9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 рисунке 4.3 показана динамика суммарных затрат (CAPEX + накопленный OPEX) для трёх схем на протяжении 15-летнего горизонта эксплуатации.</w:t>
      </w:r>
    </w:p>
    <w:p w14:paraId="508A5EB5">
      <w:pPr>
        <w:keepNext/>
        <w:jc w:val="center"/>
      </w:pPr>
      <w:r>
        <w:drawing>
          <wp:inline distT="0" distB="0" distL="114300" distR="114300">
            <wp:extent cx="5039995" cy="3359785"/>
            <wp:effectExtent l="0" t="0" r="14605" b="184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A5AF">
      <w:pPr>
        <w:keepLines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4.3 — Кумулятивные затраты (CAPEX + OPEX×t) за 15 лет для трёх схем</w:t>
      </w:r>
    </w:p>
    <w:p w14:paraId="13737CC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График кумулятивных затрат показывает, что схема 2 выходит на наименьшие суммарные издержки уже в первые годы эксплуатации и сохраняет это преимущество на всем расчетном горизонте.</w:t>
      </w:r>
    </w:p>
    <w:p w14:paraId="3BF5903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Дисконтированная стоимость жизненного цикла (NPC, r = 17 %, T = 15 лет, a = 5,324): - Схема 1: 77,54 + 31,13 × 5,324 = 243,28 млн руб. - Схема 2: 91,24 + 18,82 × 5,324 = 191,44 млн руб. - Схема 3: 97,22 + 17,73 × 5,324 = 191,62 млн руб.</w:t>
      </w:r>
    </w:p>
    <w:p w14:paraId="6BCAF2D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По сравнению со Схемой 1 Схема 2 снижает NPC на 51,84 млн руб., а Схема 3 — на 51,66 млн руб. Разница между Схемой 2 и Схемой 3 составляет всего 0,18 млн руб. в пользу Схемы 2, что согласуется с маргинальным NPV_S3vsS2 = −0,18 млн руб. Если оценивать именно дисконтированные суммарные затраты, предпочтительной остаётся Схема 2.</w:t>
      </w:r>
    </w:p>
    <w:p w14:paraId="29B4BC1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Если учитывать совокупность технико-экономических показателей, для рассматриваемого ЦОД наиболее оправданной выглядит Схема 2 — чиллер с системой фрикулинга на базе драйкулера и пластинчатого теплообменника.</w:t>
      </w:r>
    </w:p>
    <w:p w14:paraId="47E35AA0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Именно у Схемы 2 получен наибольший NPV при меньшем объёме дополнительных инвестиций по сравнению со Схемой 3.</w:t>
      </w:r>
    </w:p>
    <w:p w14:paraId="57EFD1A9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Дополнительные вложения в Схему 2 возвращаются быстро за счёт большого числа часов фрикулинга в климате Санкт-Петербурга.</w:t>
      </w:r>
    </w:p>
    <w:p w14:paraId="1EDD7488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По отношению к базовому варианту Схема 2 заметно снижает годовые эксплуатационные расходы и даёт максимальный экономический эффект на горизонте 15 лет.</w:t>
      </w:r>
    </w:p>
    <w:p w14:paraId="0BB759A9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Для проекта такой мощности прирост CAPEX по Схеме 2 выглядит приемлемым и подтверждается ожидаемой экономией OPEX.</w:t>
      </w:r>
    </w:p>
    <w:p w14:paraId="4CAF0B3A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С точки зрения надёжности Схема 2 тоже выглядит предпочтительнее, поскольку обходится без дополнительного насосного контура и элементов ТАХ, которые усложняют эксплуатацию.</w:t>
      </w:r>
    </w:p>
    <w:p w14:paraId="3636EC8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результате Схема 2 сочетает требуемый для Tier III уровень надёжности, выраженный энергетический эффект и лучшую экономику.</w:t>
      </w:r>
    </w:p>
    <w:p w14:paraId="5A13C07A">
      <w:r>
        <w:t>Полные сведения по спецификации оборудования приведены в приложении А, климатические данные Санкт-Петербурга — в приложении Б, помесячные расчёты энергопотребления — в приложении В.</w:t>
      </w:r>
    </w:p>
    <w:p w14:paraId="50C616CD">
      <w:pPr>
        <w:pStyle w:val="2"/>
        <w:keepNext/>
        <w:keepLines w:val="0"/>
        <w:pageBreakBefore/>
        <w:widowControl/>
        <w:spacing w:before="0" w:after="0" w:line="360" w:lineRule="auto"/>
        <w:ind w:firstLine="0"/>
        <w:jc w:val="center"/>
      </w:pPr>
      <w:bookmarkStart w:id="84" w:name="_Toc1523026405"/>
      <w:bookmarkStart w:id="85" w:name="_Toc1610888388"/>
      <w:bookmarkStart w:id="86" w:name="заключение"/>
      <w:r>
        <w:rPr>
          <w:rFonts w:ascii="Times New Roman" w:hAnsi="Times New Roman" w:eastAsia="Times New Roman" w:cs="Times New Roman"/>
          <w:b/>
          <w:color w:val="000000"/>
          <w:sz w:val="28"/>
        </w:rPr>
        <w:t>ЗАКЛЮЧЕНИЕ</w:t>
      </w:r>
      <w:bookmarkEnd w:id="84"/>
      <w:bookmarkEnd w:id="85"/>
    </w:p>
    <w:p w14:paraId="343559E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работе обоснован выбор рациональной схемы холодоснабжения ЦОД для климатических условий Санкт-Петербурга с учётом энергетических и технико-экономических критериев.</w:t>
      </w:r>
    </w:p>
    <w:p w14:paraId="0591EDCB">
      <w:pPr>
        <w:keepNext w:val="0"/>
        <w:keepLines w:val="0"/>
        <w:widowControl/>
        <w:spacing w:before="0" w:after="0" w:line="360" w:lineRule="auto"/>
        <w:ind w:firstLine="709"/>
        <w:jc w:val="both"/>
      </w:pPr>
      <w:bookmarkStart w:id="87" w:name="_Toc874799387"/>
      <w:bookmarkStart w:id="88" w:name="результаты-по-главе-1"/>
      <w:r>
        <w:rPr>
          <w:rFonts w:ascii="Times New Roman" w:hAnsi="Times New Roman" w:eastAsia="Times New Roman" w:cs="Times New Roman"/>
          <w:color w:val="000000"/>
          <w:sz w:val="28"/>
        </w:rPr>
        <w:t>Результаты по главе 1</w:t>
      </w:r>
      <w:bookmarkEnd w:id="87"/>
    </w:p>
    <w:p w14:paraId="7CC923E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Первая глава была посвящена обзору современных подходов к охлаждению ЦОД. Проведённый анализ показывает, что основной резерв повышения энергоэффективности связан с фрикулингом и гибридными решениями [35].</w:t>
      </w:r>
    </w:p>
    <w:p w14:paraId="2F1A4C9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Обзор литературы и отраслевой практики также показал, что для северных регионов особенно перспективны схемы, в которых умеренный CAPEX сочетается с высокой долей естественного охлаждения.</w:t>
      </w:r>
    </w:p>
    <w:bookmarkEnd w:id="88"/>
    <w:p w14:paraId="79EE2F1B">
      <w:pPr>
        <w:keepNext w:val="0"/>
        <w:keepLines w:val="0"/>
        <w:widowControl/>
        <w:spacing w:before="0" w:after="0" w:line="360" w:lineRule="auto"/>
        <w:ind w:firstLine="709"/>
        <w:jc w:val="both"/>
      </w:pPr>
      <w:bookmarkStart w:id="89" w:name="_Toc1080249947"/>
      <w:bookmarkStart w:id="90" w:name="результаты-по-главе-2"/>
      <w:r>
        <w:rPr>
          <w:rFonts w:ascii="Times New Roman" w:hAnsi="Times New Roman" w:eastAsia="Times New Roman" w:cs="Times New Roman"/>
          <w:color w:val="000000"/>
          <w:sz w:val="28"/>
        </w:rPr>
        <w:t>Результаты по главе 2</w:t>
      </w:r>
      <w:bookmarkEnd w:id="89"/>
    </w:p>
    <w:p w14:paraId="0C19780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Во второй главе была собрана расчётная база: рассмотрены климатические данные Санкт-Петербурга, параметры влажного воздуха, режимы частичной нагрузки и показатели сезонной эффективности оборудования.</w:t>
      </w:r>
    </w:p>
    <w:p w14:paraId="16DD38F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Расчёты показали, что климат региона хорошо подходит для длительной работы в режиме free cooling. Поэтому фрикулинг в этом случае можно рассматривать не как вспомогательную опцию, а как основу для снижения энергопотребления хладоцентра.</w:t>
      </w:r>
    </w:p>
    <w:bookmarkEnd w:id="90"/>
    <w:p w14:paraId="1540220C">
      <w:pPr>
        <w:keepNext w:val="0"/>
        <w:keepLines w:val="0"/>
        <w:widowControl/>
        <w:spacing w:before="0" w:after="0" w:line="360" w:lineRule="auto"/>
        <w:ind w:firstLine="709"/>
        <w:jc w:val="both"/>
      </w:pPr>
      <w:bookmarkStart w:id="91" w:name="_Toc934107491"/>
      <w:bookmarkStart w:id="92" w:name="результаты-по-главе-3"/>
      <w:r>
        <w:rPr>
          <w:rFonts w:ascii="Times New Roman" w:hAnsi="Times New Roman" w:eastAsia="Times New Roman" w:cs="Times New Roman"/>
          <w:color w:val="000000"/>
          <w:sz w:val="28"/>
        </w:rPr>
        <w:t>Результаты по главе 3</w:t>
      </w:r>
      <w:bookmarkEnd w:id="91"/>
    </w:p>
    <w:p w14:paraId="18AABD8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В третьей главе разработана методика проектного расчёта и выполнен подбор оборудования для трёх альтернативных схем холодоснабжения.</w:t>
      </w:r>
    </w:p>
    <w:p w14:paraId="39DA10C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Сопоставление схем показало, что базовый вариант без фрикулинга обеспечивает требуемое охлаждение, но даёт наибольшее годовое энергопотребление. Схема с драйкулером и пластинчатым теплообменником обеспечивает 5502 ч/год фрикулинга при PUE = 1,310. Вариант с ТАХ улучшает показатели лишь ограниченно, хотя делает систему сложнее и дороже по CAPEX.</w:t>
      </w:r>
    </w:p>
    <w:p w14:paraId="567CE60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Схема 3 представляет собой гибридную систему с тепловым аккумулятором холода (ТАХ). При повышении пороговой температуры до MCT = 12 °C зона фрикулинга расширяется до 5 994 ч/год, а PUE снижается до 1,292. Бак-аккумулятор создаёт резерв автономности около 25 минут при полной нагрузке (407 кВт·ч, Δt = 7 K) и даёт возможность смещать пики потребления на ночные часы.</w:t>
      </w:r>
    </w:p>
    <w:bookmarkEnd w:id="92"/>
    <w:p w14:paraId="340D9503">
      <w:pPr>
        <w:keepNext w:val="0"/>
        <w:keepLines w:val="0"/>
        <w:widowControl/>
        <w:spacing w:before="0" w:after="0" w:line="360" w:lineRule="auto"/>
        <w:ind w:firstLine="709"/>
        <w:jc w:val="both"/>
      </w:pPr>
      <w:bookmarkStart w:id="93" w:name="_Toc1439141667"/>
      <w:bookmarkStart w:id="94" w:name="результаты-по-главе-4"/>
      <w:r>
        <w:rPr>
          <w:rFonts w:ascii="Times New Roman" w:hAnsi="Times New Roman" w:eastAsia="Times New Roman" w:cs="Times New Roman"/>
          <w:color w:val="000000"/>
          <w:sz w:val="28"/>
        </w:rPr>
        <w:t>Результаты по главе 4</w:t>
      </w:r>
      <w:bookmarkEnd w:id="93"/>
    </w:p>
    <w:p w14:paraId="40B64691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Четвёртая глава подтвердила экономическую целесообразность Схемы 2: при дополнительном CAPEX 13,70 млн руб. она сокращает годовые OPEX на 12,31 млн руб., даёт дисконтированный срок окупаемости 1,35 года и NPV +51,84 млн руб. На этом фоне дополнительные вложения в ТАХ не получают убедительного экономического оправдания.</w:t>
      </w:r>
    </w:p>
    <w:bookmarkEnd w:id="94"/>
    <w:p w14:paraId="4807ED26">
      <w:pPr>
        <w:keepNext w:val="0"/>
        <w:keepLines w:val="0"/>
        <w:widowControl/>
        <w:spacing w:before="0" w:after="0" w:line="360" w:lineRule="auto"/>
        <w:ind w:firstLine="709"/>
        <w:jc w:val="both"/>
      </w:pPr>
      <w:bookmarkStart w:id="95" w:name="_Toc545681108"/>
      <w:bookmarkStart w:id="96" w:name="степень-достижения-цели"/>
      <w:r>
        <w:rPr>
          <w:rFonts w:ascii="Times New Roman" w:hAnsi="Times New Roman" w:eastAsia="Times New Roman" w:cs="Times New Roman"/>
          <w:color w:val="000000"/>
          <w:sz w:val="28"/>
        </w:rPr>
        <w:t>Степень достижения цели</w:t>
      </w:r>
      <w:bookmarkEnd w:id="95"/>
    </w:p>
    <w:p w14:paraId="4A1E8E5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Цель выпускной квалификационной работы достигнута, а задачи, сформулированные во введении, последовательно решены.</w:t>
      </w:r>
    </w:p>
    <w:p w14:paraId="6E41C475">
      <w:pPr>
        <w:keepNext w:val="0"/>
        <w:keepLines w:val="0"/>
        <w:widowControl/>
        <w:numPr>
          <w:ilvl w:val="0"/>
          <w:numId w:val="0"/>
        </w:numPr>
        <w:spacing w:before="0" w:after="0" w:line="360" w:lineRule="auto"/>
        <w:ind w:firstLine="709"/>
        <w:jc w:val="both"/>
      </w:pPr>
      <w:r>
        <w:t>Рассмотрены современные схемы холодоснабжения ЦОД, проанализировано влияние климатических условий Санкт-Петербурга на эффективность охлаждения, разработана методика подбора оборудования и проведено технико-экономическое сравнение альтернативных решений.</w:t>
      </w:r>
    </w:p>
    <w:bookmarkEnd w:id="96"/>
    <w:p w14:paraId="381F8CDA">
      <w:pPr>
        <w:keepNext w:val="0"/>
        <w:keepLines w:val="0"/>
        <w:widowControl/>
        <w:spacing w:before="0" w:after="0" w:line="360" w:lineRule="auto"/>
        <w:ind w:firstLine="709"/>
        <w:jc w:val="both"/>
      </w:pPr>
      <w:bookmarkStart w:id="97" w:name="_Toc1507209466"/>
      <w:bookmarkStart w:id="98" w:name="практическая-значимость"/>
      <w:r>
        <w:rPr>
          <w:rFonts w:ascii="Times New Roman" w:hAnsi="Times New Roman" w:eastAsia="Times New Roman" w:cs="Times New Roman"/>
          <w:color w:val="000000"/>
          <w:sz w:val="28"/>
        </w:rPr>
        <w:t>Практическая значимость</w:t>
      </w:r>
      <w:bookmarkEnd w:id="97"/>
    </w:p>
    <w:p w14:paraId="02C35FF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Полученные результаты можно использовать на этапе предпроектной проработки и при выборе схем холодоснабжения ЦОД в Санкт-Петербурге и в регионах со сходным климатом.</w:t>
      </w:r>
    </w:p>
    <w:p w14:paraId="5AB6FAC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Практическая ценность работы заключается в воспроизводимой расчётной методике и в конкретных ориентирах по CAPEX, OPEX, PUE и NPV для объектов средней мощности.</w:t>
      </w:r>
    </w:p>
    <w:bookmarkEnd w:id="98"/>
    <w:p w14:paraId="2427B523">
      <w:pPr>
        <w:keepNext w:val="0"/>
        <w:keepLines w:val="0"/>
        <w:widowControl/>
        <w:spacing w:before="0" w:after="0" w:line="360" w:lineRule="auto"/>
        <w:ind w:firstLine="709"/>
        <w:jc w:val="both"/>
      </w:pPr>
      <w:bookmarkStart w:id="99" w:name="_Toc2099878697"/>
      <w:bookmarkStart w:id="100" w:name="направления-дальнейших-исследований"/>
      <w:r>
        <w:rPr>
          <w:rFonts w:ascii="Times New Roman" w:hAnsi="Times New Roman" w:eastAsia="Times New Roman" w:cs="Times New Roman"/>
          <w:color w:val="000000"/>
          <w:sz w:val="28"/>
        </w:rPr>
        <w:t>Направления дальнейших исследований</w:t>
      </w:r>
      <w:bookmarkEnd w:id="99"/>
    </w:p>
    <w:p w14:paraId="7B81132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t>Дальнейшее развитие темы связано с алгоритмами предиктивного управления, интеграцией жидкостного охлаждения для высокоплотных стоек и более детальным мониторингом динамического PUE в реальном времени.</w:t>
      </w:r>
    </w:p>
    <w:bookmarkEnd w:id="86"/>
    <w:bookmarkEnd w:id="100"/>
    <w:p w14:paraId="027E3AB2">
      <w:pPr>
        <w:pStyle w:val="2"/>
        <w:keepNext/>
        <w:keepLines w:val="0"/>
        <w:pageBreakBefore/>
        <w:widowControl/>
        <w:spacing w:before="0" w:after="0" w:line="360" w:lineRule="auto"/>
        <w:ind w:firstLine="0"/>
        <w:jc w:val="center"/>
      </w:pPr>
      <w:bookmarkStart w:id="101" w:name="_Toc1647200242"/>
      <w:bookmarkStart w:id="102" w:name="_Toc915005681"/>
      <w:r>
        <w:rPr>
          <w:rFonts w:ascii="Times New Roman" w:hAnsi="Times New Roman" w:eastAsia="Times New Roman" w:cs="Times New Roman"/>
          <w:b/>
          <w:color w:val="000000"/>
          <w:sz w:val="28"/>
        </w:rPr>
        <w:t>СПИСОК ИСПОЛЬЗОВАННЫХ ИСТОЧНИКОВ</w:t>
      </w:r>
      <w:bookmarkEnd w:id="101"/>
      <w:bookmarkEnd w:id="102"/>
    </w:p>
    <w:p w14:paraId="71124FF2">
      <w:pPr>
        <w:ind w:left="0" w:firstLine="0"/>
        <w:jc w:val="both"/>
      </w:pPr>
      <w:r>
        <w:rPr>
          <w:rFonts w:ascii="Times New Roman" w:hAnsi="Times New Roman"/>
          <w:sz w:val="28"/>
        </w:rPr>
        <w:t>1. Uptime Institute. Tier Standard: Topology. — New York: Uptime Institute, LLC, 2022. — 70 p.</w:t>
      </w:r>
    </w:p>
    <w:p w14:paraId="47378F24">
      <w:pPr>
        <w:ind w:left="0" w:firstLine="0"/>
        <w:jc w:val="both"/>
      </w:pPr>
      <w:r>
        <w:rPr>
          <w:rFonts w:ascii="Times New Roman" w:hAnsi="Times New Roman"/>
          <w:sz w:val="28"/>
        </w:rPr>
        <w:t>2. Zhang H., Shao S., Xu H., Zou H., Tian C. Free cooling of data centers: a review // Renewable and Sustainable Energy Reviews. — 2014. — Vol. 35. — P. 171–182.</w:t>
      </w:r>
    </w:p>
    <w:p w14:paraId="4B336065">
      <w:pPr>
        <w:ind w:left="0" w:firstLine="0"/>
        <w:jc w:val="both"/>
      </w:pPr>
      <w:r>
        <w:rPr>
          <w:rFonts w:ascii="Times New Roman" w:hAnsi="Times New Roman"/>
          <w:sz w:val="28"/>
        </w:rPr>
        <w:t>3. СП 131.13330.2020. Строительная климатология. Актуализированная редакция СНиП 23-01-99*. — М.: Минстрой России, 2021. — 148 с.</w:t>
      </w:r>
    </w:p>
    <w:p w14:paraId="6B698FD7">
      <w:pPr>
        <w:ind w:left="0" w:firstLine="0"/>
        <w:jc w:val="both"/>
      </w:pPr>
      <w:r>
        <w:rPr>
          <w:rFonts w:ascii="Times New Roman" w:hAnsi="Times New Roman"/>
          <w:sz w:val="28"/>
        </w:rPr>
        <w:t>4. ASHRAE TC 9.9. Thermal Guidelines for Data Processing Environments. 5th Edition. — Atlanta: ASHRAE, 2021. — 128 p.</w:t>
      </w:r>
    </w:p>
    <w:p w14:paraId="18C936B8">
      <w:pPr>
        <w:ind w:left="0" w:firstLine="0"/>
        <w:jc w:val="both"/>
      </w:pPr>
      <w:r>
        <w:rPr>
          <w:rFonts w:ascii="Times New Roman" w:hAnsi="Times New Roman"/>
          <w:sz w:val="28"/>
        </w:rPr>
        <w:t>5. International Energy Agency (IEA). World Energy Outlook 2024. — Paris: IEA, 2024. — 358 p. — URL: https://www.iea.org/reports/world-energy-outlook-2024.</w:t>
      </w:r>
    </w:p>
    <w:p w14:paraId="11A2A5F8">
      <w:pPr>
        <w:ind w:left="0" w:firstLine="0"/>
        <w:jc w:val="both"/>
      </w:pPr>
      <w:r>
        <w:rPr>
          <w:rFonts w:ascii="Times New Roman" w:hAnsi="Times New Roman"/>
          <w:sz w:val="28"/>
        </w:rPr>
        <w:t>6. AHRI Standard 550/590-2023. Performance Rating of Water-Chilling and Heat Pump Water-Heating Packages Using the Vapor Compression Cycle. — Arlington: AHRI, 2023. — 42 p.</w:t>
      </w:r>
    </w:p>
    <w:p w14:paraId="3B17973C">
      <w:pPr>
        <w:ind w:left="0" w:firstLine="0"/>
        <w:jc w:val="both"/>
      </w:pPr>
      <w:r>
        <w:rPr>
          <w:rFonts w:ascii="Times New Roman" w:hAnsi="Times New Roman"/>
          <w:sz w:val="28"/>
        </w:rPr>
        <w:t>7. Росгидромет. Климатические нормы 1991–2020 гг. для метеостанции Санкт-Петербург (WMO 26063) [Электронный ресурс]. — URL: http://www.meteo.ru (дата обращения: 15.04.2026).</w:t>
      </w:r>
    </w:p>
    <w:p w14:paraId="1784867A">
      <w:pPr>
        <w:ind w:left="0" w:firstLine="0"/>
        <w:jc w:val="both"/>
      </w:pPr>
      <w:r>
        <w:rPr>
          <w:rFonts w:ascii="Times New Roman" w:hAnsi="Times New Roman"/>
          <w:sz w:val="28"/>
        </w:rPr>
        <w:t>8. Oró E., Depoorter V., Garcia A., Salom J. Energy efficiency and renewable energy integration in data centres. Strategies and modelling review // Renewable and Sustainable Energy Reviews. — 2015. — Vol. 42. — P. 429–445.</w:t>
      </w:r>
    </w:p>
    <w:p w14:paraId="3393F9D6">
      <w:pPr>
        <w:ind w:left="0" w:firstLine="0"/>
        <w:jc w:val="both"/>
      </w:pPr>
      <w:r>
        <w:rPr>
          <w:rFonts w:ascii="Times New Roman" w:hAnsi="Times New Roman"/>
          <w:sz w:val="28"/>
        </w:rPr>
        <w:t>9. ISO/IEC 22237-1:2021. Information Technology — Data Centre Facilities and Infrastructures — Part 1: General Concepts. — Geneva: ISO/IEC, 2021. — 46 p.</w:t>
      </w:r>
    </w:p>
    <w:p w14:paraId="198CD356">
      <w:pPr>
        <w:ind w:left="0" w:firstLine="0"/>
        <w:jc w:val="both"/>
      </w:pPr>
      <w:r>
        <w:rPr>
          <w:rFonts w:ascii="Times New Roman" w:hAnsi="Times New Roman"/>
          <w:sz w:val="28"/>
        </w:rPr>
        <w:t>10. iKS-Consulting. Рынок коммерческих ЦОД России 2023: итоги и прогноз. — М.: iKS-Consulting, 2023. — 35 с.</w:t>
      </w:r>
    </w:p>
    <w:p w14:paraId="7ACEF6C1">
      <w:pPr>
        <w:ind w:left="0" w:firstLine="0"/>
        <w:jc w:val="both"/>
      </w:pPr>
      <w:r>
        <w:rPr>
          <w:rFonts w:ascii="Times New Roman" w:hAnsi="Times New Roman"/>
          <w:sz w:val="28"/>
        </w:rPr>
        <w:t>11. Uptime Institute. Annual Global Data Center Survey Results 2024. — New York: Uptime Institute, LLC, 2024. — 48 p.</w:t>
      </w:r>
    </w:p>
    <w:p w14:paraId="2A154E68">
      <w:pPr>
        <w:ind w:left="0" w:firstLine="0"/>
        <w:jc w:val="both"/>
      </w:pPr>
      <w:r>
        <w:rPr>
          <w:rFonts w:ascii="Times New Roman" w:hAnsi="Times New Roman"/>
          <w:sz w:val="28"/>
        </w:rPr>
        <w:t>12. Jiao J., Li Y., Gong L., Duan F. Enhanced thermal performance of a hybrid air and liquid cooling system for high power data center servers // Applied Thermal Engineering. — 2023. — Vol. 219. — P. 119616.</w:t>
      </w:r>
    </w:p>
    <w:p w14:paraId="4D7127FA">
      <w:pPr>
        <w:ind w:left="0" w:firstLine="0"/>
        <w:jc w:val="both"/>
      </w:pPr>
      <w:r>
        <w:rPr>
          <w:rFonts w:ascii="Times New Roman" w:hAnsi="Times New Roman"/>
          <w:sz w:val="28"/>
        </w:rPr>
        <w:t>13. Luo Q., Wang C., Wen H., Liu L. Research and optimization of thermophysical properties of SiC oil-based nanofluids for data center immersion cooling // International Communications in Heat and Mass Transfer. — 2022. — Vol. 131. — P. 105863.</w:t>
      </w:r>
    </w:p>
    <w:p w14:paraId="6B496296">
      <w:pPr>
        <w:ind w:left="0" w:firstLine="0"/>
        <w:jc w:val="both"/>
      </w:pPr>
      <w:r>
        <w:rPr>
          <w:rFonts w:ascii="Times New Roman" w:hAnsi="Times New Roman"/>
          <w:sz w:val="28"/>
        </w:rPr>
        <w:t>14. Green Revolution Cooling (GRC). ICEraQ Technical Overview: Single-Phase Immersion Cooling for High-Density Computing. — Austin: GRC, 2023. — 18 p.</w:t>
      </w:r>
    </w:p>
    <w:p w14:paraId="1B79FBD7">
      <w:pPr>
        <w:ind w:left="0" w:firstLine="0"/>
        <w:jc w:val="both"/>
      </w:pPr>
      <w:r>
        <w:rPr>
          <w:rFonts w:ascii="Times New Roman" w:hAnsi="Times New Roman"/>
          <w:sz w:val="28"/>
        </w:rPr>
        <w:t>15. Huang P., Copertaro B., Zhang X., Shen J., Löfgren I., Rönnelid M., Fahlen J., Andersson D., Svanfeldt M. A review of data centers as prosumers in district energy systems // Applied Energy. — 2020. — Vol. 258. — P. 114109.</w:t>
      </w:r>
    </w:p>
    <w:p w14:paraId="3A2F9EA4">
      <w:pPr>
        <w:ind w:left="0" w:firstLine="0"/>
        <w:jc w:val="both"/>
      </w:pPr>
      <w:r>
        <w:rPr>
          <w:rFonts w:ascii="Times New Roman" w:hAnsi="Times New Roman"/>
          <w:sz w:val="28"/>
        </w:rPr>
        <w:t>16. Boafo N. L., Boahen S., Choi J. M. Performance optimization and energy analysis of a proposed data center dual-mode air source cooling system on the building envelope // Energy and Buildings. — 2024. — Vol. 320. — P. 114632.</w:t>
      </w:r>
    </w:p>
    <w:p w14:paraId="0AB1FB1D">
      <w:pPr>
        <w:ind w:left="0" w:firstLine="0"/>
        <w:jc w:val="both"/>
      </w:pPr>
      <w:r>
        <w:rPr>
          <w:rFonts w:ascii="Times New Roman" w:hAnsi="Times New Roman"/>
          <w:sz w:val="28"/>
        </w:rPr>
        <w:t>17. CoolIT Systems. Rear-Door Heat Exchanger Product Documentation. — Calgary: CoolIT Systems, 2023. — 24 p. — URL: https://www.coolitsystems.com (дата обращения: 10.04.2026).</w:t>
      </w:r>
    </w:p>
    <w:p w14:paraId="783DFFF1">
      <w:pPr>
        <w:ind w:left="0" w:firstLine="0"/>
        <w:jc w:val="both"/>
      </w:pPr>
      <w:r>
        <w:rPr>
          <w:rFonts w:ascii="Times New Roman" w:hAnsi="Times New Roman"/>
          <w:sz w:val="28"/>
        </w:rPr>
        <w:t>18. Qu S., Wang C., Liu Y., Feng Y., Han Y., Xing Z. System design, control strategy development and performance comparison analysis for a novel air-liquid cooling system of data centers // Energy. — 2024. — Vol. 295. — P. 131099.</w:t>
      </w:r>
    </w:p>
    <w:p w14:paraId="0BA432E1">
      <w:pPr>
        <w:ind w:left="0" w:firstLine="0"/>
        <w:jc w:val="both"/>
      </w:pPr>
      <w:r>
        <w:rPr>
          <w:rFonts w:ascii="Times New Roman" w:hAnsi="Times New Roman"/>
          <w:sz w:val="28"/>
        </w:rPr>
        <w:t>19. Xiang K., Tian Z., Ma L., Chen X., Luo Y., Gao Y., Fan J., Wang Q. Optimization of a free cooling system integrated with cold thermal energy storage for data centers // Applied Thermal Engineering. — 2024. — Vol. 240. — P. 122265.</w:t>
      </w:r>
    </w:p>
    <w:p w14:paraId="5B890BC9">
      <w:pPr>
        <w:ind w:left="0" w:firstLine="0"/>
        <w:jc w:val="both"/>
      </w:pPr>
      <w:r>
        <w:rPr>
          <w:rFonts w:ascii="Times New Roman" w:hAnsi="Times New Roman"/>
          <w:sz w:val="28"/>
        </w:rPr>
        <w:t>20. Sun H., Ding G., Chen H., Meng Z. Thermo-economic optimization of data center chiller plants using a genetic algorithm // Applied Thermal Engineering. — 2022. — Vol. 209. — P. 118256.</w:t>
      </w:r>
    </w:p>
    <w:p w14:paraId="298A3826">
      <w:pPr>
        <w:ind w:left="0" w:firstLine="0"/>
        <w:jc w:val="both"/>
      </w:pPr>
      <w:r>
        <w:rPr>
          <w:rFonts w:ascii="Times New Roman" w:hAnsi="Times New Roman"/>
          <w:sz w:val="28"/>
        </w:rPr>
        <w:t>21. Zhou F., Dede E. M., Joshi Y. Thermal management of high heat flux electronics using manifold microchannel heat sinks: a review // International Journal of Heat and Mass Transfer. — 2017. — Vol. 110. — P. 1083–1097.</w:t>
      </w:r>
    </w:p>
    <w:p w14:paraId="46F7D8F1">
      <w:pPr>
        <w:ind w:left="0" w:firstLine="0"/>
        <w:jc w:val="both"/>
      </w:pPr>
      <w:r>
        <w:rPr>
          <w:rFonts w:ascii="Times New Roman" w:hAnsi="Times New Roman"/>
          <w:sz w:val="28"/>
        </w:rPr>
        <w:t>22. Gao J., Jamidar R. Machine Learning Applications for Data Center Optimization // Google White Paper. — Mountain View: Google, 2014. — 13 p.</w:t>
      </w:r>
    </w:p>
    <w:p w14:paraId="69F0AAEA">
      <w:pPr>
        <w:ind w:left="0" w:firstLine="0"/>
        <w:jc w:val="both"/>
      </w:pPr>
      <w:r>
        <w:rPr>
          <w:rFonts w:ascii="Times New Roman" w:hAnsi="Times New Roman"/>
          <w:sz w:val="28"/>
        </w:rPr>
        <w:t>23. Goldsworthy M. J., White S. Optimisation of heat pump assisted solar thermal systems subject to feed-in tariffs // Solar Energy. — 2011. — Vol. 85, № 5. — P. 853–863.</w:t>
      </w:r>
    </w:p>
    <w:p w14:paraId="04D068C6">
      <w:pPr>
        <w:ind w:left="0" w:firstLine="0"/>
        <w:jc w:val="both"/>
      </w:pPr>
      <w:r>
        <w:rPr>
          <w:rFonts w:ascii="Times New Roman" w:hAnsi="Times New Roman"/>
          <w:sz w:val="28"/>
        </w:rPr>
        <w:t>24. Lee Y. C., Eastman C. M., Bahnfleth W. P. Analysis of energy saving potential of air-side free cooling for data centers in worldwide climate zones // Energy and Buildings. — 2015. — Vol. 99. — P. 213–225.</w:t>
      </w:r>
    </w:p>
    <w:p w14:paraId="4948BC2B">
      <w:pPr>
        <w:ind w:left="0" w:firstLine="0"/>
        <w:jc w:val="both"/>
      </w:pPr>
      <w:r>
        <w:rPr>
          <w:rFonts w:ascii="Times New Roman" w:hAnsi="Times New Roman"/>
          <w:sz w:val="28"/>
        </w:rPr>
        <w:t>25. Shehabi A., Smith S. J., Masanet E., Koomey J. Data Center Growth in the United States: Decoupling the Demand for Services from Electricity Use // Environmental Research Letters. — 2018. — Vol. 13. — P. 124030.</w:t>
      </w:r>
    </w:p>
    <w:p w14:paraId="2497B791">
      <w:pPr>
        <w:ind w:left="0" w:firstLine="0"/>
        <w:jc w:val="both"/>
      </w:pPr>
      <w:r>
        <w:rPr>
          <w:rFonts w:ascii="Times New Roman" w:hAnsi="Times New Roman"/>
          <w:sz w:val="28"/>
        </w:rPr>
        <w:t>26. Carrier. Product Data: 30XA Air-Cooled Screw Chiller 250–710 kW. — Hartford: Carrier Corp., 2022. — 68 p.</w:t>
      </w:r>
    </w:p>
    <w:p w14:paraId="612C8C5F">
      <w:pPr>
        <w:ind w:left="0" w:firstLine="0"/>
        <w:jc w:val="both"/>
      </w:pPr>
      <w:r>
        <w:rPr>
          <w:rFonts w:ascii="Times New Roman" w:hAnsi="Times New Roman"/>
          <w:sz w:val="28"/>
        </w:rPr>
        <w:t>27. ISO/IEC 30134-2:2026. Information Technology — Data Centres — Key Performance Indicators — Part 2: Power Usage Effectiveness (PUE). — Geneva: ISO/IEC, 2026.</w:t>
      </w:r>
    </w:p>
    <w:p w14:paraId="4C5C7F2E">
      <w:pPr>
        <w:ind w:left="0" w:firstLine="0"/>
        <w:jc w:val="both"/>
      </w:pPr>
      <w:r>
        <w:rPr>
          <w:rFonts w:ascii="Times New Roman" w:hAnsi="Times New Roman"/>
          <w:sz w:val="28"/>
        </w:rPr>
        <w:t>28. ASHRAE Standard 90.4-2022. Energy Standard for Data Centers. — Atlanta: ASHRAE, 2022. — 58 p.</w:t>
      </w:r>
    </w:p>
    <w:p w14:paraId="7538BCA6">
      <w:pPr>
        <w:ind w:left="0" w:firstLine="0"/>
        <w:jc w:val="both"/>
      </w:pPr>
      <w:r>
        <w:rPr>
          <w:rFonts w:ascii="Times New Roman" w:hAnsi="Times New Roman"/>
          <w:sz w:val="28"/>
        </w:rPr>
        <w:t>29. Li Y., Tian W., Chen Q., Deng Y., Zhang G. Thermodynamic analysis of a hybrid cooling system combining free cooling and mechanical refrigeration for data centers // Applied Thermal Engineering. — 2019. — Vol. 156. — P. 685–695.</w:t>
      </w:r>
    </w:p>
    <w:p w14:paraId="115816A1">
      <w:pPr>
        <w:ind w:left="0" w:firstLine="0"/>
        <w:jc w:val="both"/>
      </w:pPr>
      <w:r>
        <w:rPr>
          <w:rFonts w:ascii="Times New Roman" w:hAnsi="Times New Roman"/>
          <w:sz w:val="28"/>
        </w:rPr>
        <w:t>30. СП 60.13330.2020. Отопление, вентиляция и кондиционирование воздуха. Актуализированная редакция СНиП 41-01-2003. — М.: Минстрой России, 2021. — 96 с.</w:t>
      </w:r>
    </w:p>
    <w:p w14:paraId="6FF46738">
      <w:pPr>
        <w:ind w:left="0" w:firstLine="0"/>
        <w:jc w:val="both"/>
      </w:pPr>
      <w:r>
        <w:rPr>
          <w:rFonts w:ascii="Times New Roman" w:hAnsi="Times New Roman"/>
          <w:sz w:val="28"/>
        </w:rPr>
        <w:t>31. Daikin. Engineering Data: EWAD-AJYNN Air-Cooled Inverter Screw Chiller. — Ostend: Daikin Applied Europe, 2023. — 52 p.</w:t>
      </w:r>
    </w:p>
    <w:p w14:paraId="4390E01B">
      <w:pPr>
        <w:ind w:left="0" w:firstLine="0"/>
        <w:jc w:val="both"/>
      </w:pPr>
      <w:r>
        <w:rPr>
          <w:rFonts w:ascii="Times New Roman" w:hAnsi="Times New Roman"/>
          <w:sz w:val="28"/>
        </w:rPr>
        <w:t>32. Eurovent Certification. Certified Performance Programme for Liquid Chilling Packages (LCP/LCP-HP), Edition 2024. — Brussels: Eurovent Certification, 2024.</w:t>
      </w:r>
    </w:p>
    <w:p w14:paraId="3F944F14">
      <w:pPr>
        <w:ind w:left="0" w:firstLine="0"/>
        <w:jc w:val="both"/>
      </w:pPr>
      <w:r>
        <w:rPr>
          <w:rFonts w:ascii="Times New Roman" w:hAnsi="Times New Roman"/>
          <w:sz w:val="28"/>
        </w:rPr>
        <w:t>33. МДС 81–35.2004. Методика определения стоимости строительной продукции на территории Российской Федерации. — М.: Госстрой, 2004. — 72 с.</w:t>
      </w:r>
    </w:p>
    <w:p w14:paraId="572E4127">
      <w:pPr>
        <w:ind w:left="0" w:firstLine="0"/>
        <w:jc w:val="both"/>
      </w:pPr>
      <w:r>
        <w:rPr>
          <w:rFonts w:ascii="Times New Roman" w:hAnsi="Times New Roman"/>
          <w:sz w:val="28"/>
        </w:rPr>
        <w:t>34. СП 541.1325800.2024. Здания и сооружения центров обработки данных. Правила проектирования: утв. приказом Минстроя России от 23.12.2024 № 898/пр. — М.: Минстрой России, 2024. — 84 с.</w:t>
      </w:r>
    </w:p>
    <w:p w14:paraId="436602AF">
      <w:pPr>
        <w:ind w:left="0" w:firstLine="0"/>
        <w:jc w:val="both"/>
      </w:pPr>
      <w:r>
        <w:rPr>
          <w:rFonts w:ascii="Times New Roman" w:hAnsi="Times New Roman"/>
          <w:sz w:val="28"/>
        </w:rPr>
        <w:t>35. Nadjahi C., Louahlia H., Lemasson S. A review of thermal management and innovative cooling strategies for data center // Sustainable Computing: Informatics and Systems. — 2018. — Vol. 19. — P. 14–28.</w:t>
      </w:r>
    </w:p>
    <w:p w14:paraId="43296837">
      <w:pPr>
        <w:pStyle w:val="2"/>
        <w:keepNext/>
        <w:pageBreakBefore/>
        <w:spacing w:before="0" w:after="0" w:line="360" w:lineRule="auto"/>
        <w:ind w:firstLine="0"/>
        <w:jc w:val="center"/>
      </w:pPr>
      <w:bookmarkStart w:id="103" w:name="_Toc1282773817"/>
      <w:r>
        <w:rPr>
          <w:rFonts w:ascii="Times New Roman" w:hAnsi="Times New Roman" w:eastAsia="Times New Roman" w:cs="Times New Roman"/>
          <w:b/>
          <w:color w:val="000000"/>
          <w:sz w:val="28"/>
        </w:rPr>
        <w:t>ПРИЛОЖЕНИЕ А Спецификации оборудования хладоцентра</w:t>
      </w:r>
      <w:bookmarkEnd w:id="103"/>
    </w:p>
    <w:p w14:paraId="2A204717">
      <w:pPr>
        <w:keepNext/>
        <w:keepLines/>
        <w:spacing w:before="120" w:after="60"/>
        <w:ind w:left="0" w:firstLine="0"/>
        <w:jc w:val="left"/>
      </w:pPr>
      <w:r>
        <w:rPr>
          <w:rFonts w:ascii="Times New Roman" w:hAnsi="Times New Roman"/>
          <w:sz w:val="28"/>
        </w:rPr>
        <w:t>Таблица А.1 — Спецификация оборудования по Схеме 1 (базовая)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9"/>
        <w:gridCol w:w="952"/>
        <w:gridCol w:w="1668"/>
        <w:gridCol w:w="2251"/>
      </w:tblGrid>
      <w:tr w14:paraId="3A10739D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DFD1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Позиция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EEA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Кол-во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5291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Цена ед., тыс.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1EF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Стоимость, тыс. руб.</w:t>
            </w:r>
          </w:p>
        </w:tc>
      </w:tr>
      <w:tr w14:paraId="77F74EF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558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Dantex DN-1902BYSOM (410 кВт)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4BD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C0F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7 000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170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28 000</w:t>
            </w:r>
          </w:p>
        </w:tc>
      </w:tr>
      <w:tr w14:paraId="6AE88C3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5FE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Насос циркуляционный Ридан PE1 100-200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91F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8677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70D0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1 600</w:t>
            </w:r>
          </w:p>
        </w:tc>
      </w:tr>
      <w:tr w14:paraId="5E54527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0E5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Блок охлаждения CRAH TICA TCRA100AU (106,8 кВт)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23A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99B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2 100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178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25 200</w:t>
            </w:r>
          </w:p>
        </w:tc>
      </w:tr>
      <w:tr w14:paraId="674D7A3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589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Драйкулер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F53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28D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BB57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5943470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063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Пластинчатый теплообменник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817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08D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FC0D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2A56518C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B7D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Аккумулятор холода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CBD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3AB0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14B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17FA9F90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335C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Трубопроводы и арматура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AA23C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1FA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EC8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7DA2DDC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CD59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Бак-буфер 5 м³ + автоматика/SCADA (базовая)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CB40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87BC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DDA5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3 500</w:t>
            </w:r>
          </w:p>
        </w:tc>
      </w:tr>
      <w:tr w14:paraId="38435DDE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597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 оборудование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3734A">
            <w:pPr>
              <w:spacing w:before="0" w:after="0" w:line="240" w:lineRule="auto"/>
              <w:ind w:firstLine="0"/>
              <w:jc w:val="left"/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A2EF1">
            <w:pPr>
              <w:spacing w:before="0" w:after="0" w:line="240" w:lineRule="auto"/>
              <w:ind w:firstLine="0"/>
              <w:jc w:val="left"/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49D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58 300</w:t>
            </w:r>
          </w:p>
        </w:tc>
      </w:tr>
    </w:tbl>
    <w:p w14:paraId="3E52262A">
      <w:pPr>
        <w:keepNext/>
        <w:keepLines/>
        <w:spacing w:before="120" w:after="60"/>
        <w:ind w:left="0" w:firstLine="0"/>
        <w:jc w:val="left"/>
      </w:pPr>
      <w:r>
        <w:rPr>
          <w:rFonts w:ascii="Times New Roman" w:hAnsi="Times New Roman"/>
          <w:sz w:val="28"/>
        </w:rPr>
        <w:t>Таблица А.2 — Спецификация оборудования по Схеме 2 (чиллер + драйкулер с фрикулингом, рекомендуемая)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1"/>
        <w:gridCol w:w="960"/>
        <w:gridCol w:w="1715"/>
        <w:gridCol w:w="2284"/>
      </w:tblGrid>
      <w:tr w14:paraId="52352780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33B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Позиция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31C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Кол-во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6BF2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Цена ед., тыс.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1F0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Стоимость, тыс. руб.</w:t>
            </w:r>
          </w:p>
        </w:tc>
      </w:tr>
      <w:tr w14:paraId="792A5E8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68E1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Dantex DN-1902BYSOM (410 кВт)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217C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082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7 000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3E4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28 000</w:t>
            </w:r>
          </w:p>
        </w:tc>
      </w:tr>
      <w:tr w14:paraId="6885764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81B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Насос циркуляционный Ридан PE1 100-200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74A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C05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CAE3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2 400</w:t>
            </w:r>
          </w:p>
        </w:tc>
      </w:tr>
      <w:tr w14:paraId="3486281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5F1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Блок охлаждения CRAH TICA TCRA100AU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4A9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DD7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2 100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902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25 200</w:t>
            </w:r>
          </w:p>
        </w:tc>
      </w:tr>
      <w:tr w14:paraId="122C4C4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2BF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Драйкулер Alfa Laval Arctigo LSV 6/8 (550 кВт)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C7C5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C005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2 600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D806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7 800</w:t>
            </w:r>
          </w:p>
        </w:tc>
      </w:tr>
      <w:tr w14:paraId="6B33C65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DE5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ПТО Ридан НН-42 (550 кВт)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7861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384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9C7D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1 400</w:t>
            </w:r>
          </w:p>
        </w:tc>
      </w:tr>
      <w:tr w14:paraId="41C5F95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2C11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Аккумулятор холода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FBE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41BC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181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2292E50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67EF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Трубопроводы и арматура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45C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F64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09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48240EA3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6EF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Бак-буфер 5 м³ + автоматика/SCADA (расширенная)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906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B4F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AD77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3 800</w:t>
            </w:r>
          </w:p>
        </w:tc>
      </w:tr>
      <w:tr w14:paraId="65EFE508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3E5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 оборудование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86B6F">
            <w:pPr>
              <w:spacing w:before="0" w:after="0" w:line="240" w:lineRule="auto"/>
              <w:ind w:firstLine="0"/>
              <w:jc w:val="left"/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7ECB6">
            <w:pPr>
              <w:spacing w:before="0" w:after="0" w:line="240" w:lineRule="auto"/>
              <w:ind w:firstLine="0"/>
              <w:jc w:val="left"/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F945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68 600</w:t>
            </w:r>
          </w:p>
        </w:tc>
      </w:tr>
    </w:tbl>
    <w:p w14:paraId="2626F2CF">
      <w:pPr>
        <w:keepNext/>
        <w:keepLines/>
        <w:spacing w:before="120" w:after="60"/>
        <w:ind w:left="0" w:firstLine="0"/>
        <w:jc w:val="left"/>
      </w:pPr>
      <w:r>
        <w:rPr>
          <w:rFonts w:ascii="Times New Roman" w:hAnsi="Times New Roman"/>
          <w:sz w:val="28"/>
        </w:rPr>
        <w:t>Таблица А.3 — Спецификация оборудования по Схеме 3 (с тепловым аккумулятором)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944"/>
        <w:gridCol w:w="1625"/>
        <w:gridCol w:w="2221"/>
      </w:tblGrid>
      <w:tr w14:paraId="775EB3BB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AC6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Позиция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FA80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Кол-во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0F27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Цена ед., тыс.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9C59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Стоимость, тыс. руб.</w:t>
            </w:r>
          </w:p>
        </w:tc>
      </w:tr>
      <w:tr w14:paraId="2EC6FE1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133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Dantex DN-1902BYSOM (410 кВт)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12A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B54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7 000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601D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28 000</w:t>
            </w:r>
          </w:p>
        </w:tc>
      </w:tr>
      <w:tr w14:paraId="771D17A7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FFE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Насос циркуляционный Ридан PE1 100-200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D9D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A761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591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3 200</w:t>
            </w:r>
          </w:p>
        </w:tc>
      </w:tr>
      <w:tr w14:paraId="6B5F902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70B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Блок охлаждения CRAH TICA TCRA100AU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858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2287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2 100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32C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25 200</w:t>
            </w:r>
          </w:p>
        </w:tc>
      </w:tr>
      <w:tr w14:paraId="69B3432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994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Драйкулер Alfa Laval Arctigo LSV 6/8 (550 кВт)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9B1D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2AB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2 600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1AD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7 800</w:t>
            </w:r>
          </w:p>
        </w:tc>
      </w:tr>
      <w:tr w14:paraId="6E627CB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CE3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ПТО Ридан НН-42 (550 кВт)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F931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F22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81B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1 400</w:t>
            </w:r>
          </w:p>
        </w:tc>
      </w:tr>
      <w:tr w14:paraId="236CB50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691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ТАХ БАГВ-50 (50 м³, 407 кВт·ч)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44F9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079F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1FF9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3 200</w:t>
            </w:r>
          </w:p>
        </w:tc>
      </w:tr>
      <w:tr w14:paraId="56FAF9B0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B4E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Трубопроводы и арматура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ACC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C74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C00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0A9C706B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E5C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Бак-буфер 5 м³ + автоматика/SCADA (с управлением ТАХ)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1BF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EE78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376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4 300</w:t>
            </w:r>
          </w:p>
        </w:tc>
      </w:tr>
      <w:tr w14:paraId="09726AD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69B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 оборудование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81141">
            <w:pPr>
              <w:spacing w:before="0" w:after="0" w:line="240" w:lineRule="auto"/>
              <w:ind w:firstLine="0"/>
              <w:jc w:val="left"/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6F1AE">
            <w:pPr>
              <w:spacing w:before="0" w:after="0" w:line="240" w:lineRule="auto"/>
              <w:ind w:firstLine="0"/>
              <w:jc w:val="left"/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310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73 100</w:t>
            </w:r>
          </w:p>
        </w:tc>
      </w:tr>
    </w:tbl>
    <w:p w14:paraId="4F8A9284">
      <w:pPr>
        <w:keepNext/>
        <w:keepLines/>
        <w:spacing w:before="120" w:after="60"/>
        <w:ind w:left="0" w:firstLine="0"/>
        <w:jc w:val="left"/>
      </w:pPr>
      <w:r>
        <w:rPr>
          <w:rFonts w:ascii="Times New Roman" w:hAnsi="Times New Roman"/>
          <w:sz w:val="28"/>
        </w:rPr>
        <w:t>Таблица А.4 — Структура CAPEX по схемам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3"/>
        <w:gridCol w:w="1713"/>
        <w:gridCol w:w="1807"/>
        <w:gridCol w:w="1807"/>
      </w:tblGrid>
      <w:tr w14:paraId="64313592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BBE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Статья затрат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81C0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1, тыс.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99FD6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2, тыс.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2C5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3, тыс. руб.</w:t>
            </w:r>
          </w:p>
        </w:tc>
      </w:tr>
      <w:tr w14:paraId="605785C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0F1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Чиллеры Dantex DN-1902BYSOM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A780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8DB8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249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28 000</w:t>
            </w:r>
          </w:p>
        </w:tc>
      </w:tr>
      <w:tr w14:paraId="22DB1C1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A9F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Насосы Ридан PE1 100-200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F78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1 600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BC6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2 400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9B67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3 200</w:t>
            </w:r>
          </w:p>
        </w:tc>
      </w:tr>
      <w:tr w14:paraId="0A4B452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03C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CRAH TICA TCRA100AU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4C9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25 200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AEB7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25 200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09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25 200</w:t>
            </w:r>
          </w:p>
        </w:tc>
      </w:tr>
      <w:tr w14:paraId="2916A22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11A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Драйкулеры Alfa Laval Arctigo LSV 6/8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C82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9140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7 800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6B5F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7 800</w:t>
            </w:r>
          </w:p>
        </w:tc>
      </w:tr>
      <w:tr w14:paraId="6561EC0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960F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ПТО Ридан НН-42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B32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BFF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1 400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E47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1 400</w:t>
            </w:r>
          </w:p>
        </w:tc>
      </w:tr>
      <w:tr w14:paraId="326019D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15E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Аккумулятор холода БАГВ-50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903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DBF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4A90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3 200</w:t>
            </w:r>
          </w:p>
        </w:tc>
      </w:tr>
      <w:tr w14:paraId="4C5920A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463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Трубопроводы и арматура (учтены в СМР 25 %)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9128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FBE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2F8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 w14:paraId="439105D6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975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Бак-буфер 5 м³ + автоматика/SCADA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9F8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3 500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623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3 800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EB11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4 300</w:t>
            </w:r>
          </w:p>
        </w:tc>
      </w:tr>
      <w:tr w14:paraId="0E1CF919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46A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 оборудование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F956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58 300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E04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68 600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7008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73 100</w:t>
            </w:r>
          </w:p>
        </w:tc>
      </w:tr>
      <w:tr w14:paraId="7BABBB7F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C54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СМР, включая монтаж (25 % от оборудования)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CAA0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14 575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F0D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17 150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8258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18 275</w:t>
            </w:r>
          </w:p>
        </w:tc>
      </w:tr>
      <w:tr w14:paraId="6D65C3E2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846D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Проектирование и ПНР (8 %)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F87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4 664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AD0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5 488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83C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5 848</w:t>
            </w:r>
          </w:p>
        </w:tc>
      </w:tr>
      <w:tr w14:paraId="350E739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558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CAPEX итого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715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77 539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3C6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91 238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DD6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97 223</w:t>
            </w:r>
          </w:p>
        </w:tc>
      </w:tr>
      <w:tr w14:paraId="05F9281A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324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Превышение над Схемой 1, тыс. руб.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2AD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E3B7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+13 699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D597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+19 684</w:t>
            </w:r>
          </w:p>
        </w:tc>
      </w:tr>
      <w:tr w14:paraId="481AD1ED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B18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Превышение над Схемой 1,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7B1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BE53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+17,7 %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AD6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+25,4 %</w:t>
            </w:r>
          </w:p>
        </w:tc>
      </w:tr>
    </w:tbl>
    <w:p w14:paraId="5ADCAD60">
      <w:pPr>
        <w:keepNext/>
        <w:keepLines/>
        <w:spacing w:before="120" w:after="60"/>
        <w:ind w:left="0" w:firstLine="0"/>
        <w:jc w:val="left"/>
      </w:pPr>
      <w:r>
        <w:rPr>
          <w:rFonts w:ascii="Times New Roman" w:hAnsi="Times New Roman"/>
          <w:sz w:val="28"/>
        </w:rPr>
        <w:t>Таблица А.5 — Структура OPEX по схемам</w:t>
      </w:r>
    </w:p>
    <w:tbl>
      <w:tblPr>
        <w:tblStyle w:val="6"/>
        <w:tblW w:w="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8"/>
        <w:gridCol w:w="1224"/>
        <w:gridCol w:w="1224"/>
        <w:gridCol w:w="1224"/>
      </w:tblGrid>
      <w:tr w14:paraId="6F76B732">
        <w:trPr>
          <w:cantSplit/>
          <w:tblHeader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5C4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Статья затрат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475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A706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742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3</w:t>
            </w:r>
          </w:p>
        </w:tc>
      </w:tr>
      <w:tr w14:paraId="5B8DF893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948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Электроэнергия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FD6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29,18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AC4B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16,48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D20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15,24</w:t>
            </w:r>
          </w:p>
        </w:tc>
      </w:tr>
      <w:tr w14:paraId="206E8F97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2DC4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Техническое обслуживание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FE10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1,75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0B8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2,06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1D0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2,19</w:t>
            </w:r>
          </w:p>
        </w:tc>
      </w:tr>
      <w:tr w14:paraId="5F6884C4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9EB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Водоподготовка и хладагент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8BF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F030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0,28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DB2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0,30</w:t>
            </w:r>
          </w:p>
        </w:tc>
      </w:tr>
      <w:tr w14:paraId="7B5DE243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AC9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 OPEX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AF8E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31,13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AF2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18,82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5198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17,73</w:t>
            </w:r>
          </w:p>
        </w:tc>
      </w:tr>
      <w:tr w14:paraId="467072A5">
        <w:trPr>
          <w:cantSplit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EC68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 т.ч. доля электроэнергии,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54C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93,7 %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CAF8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87,6 %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38E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86,0 %</w:t>
            </w:r>
          </w:p>
        </w:tc>
      </w:tr>
    </w:tbl>
    <w:p w14:paraId="1BBBC0B7">
      <w:pPr>
        <w:keepNext/>
        <w:keepLines/>
        <w:spacing w:before="120" w:after="60"/>
        <w:ind w:left="0" w:firstLine="0"/>
        <w:jc w:val="left"/>
      </w:pPr>
      <w:r>
        <w:rPr>
          <w:rFonts w:ascii="Times New Roman" w:hAnsi="Times New Roman"/>
          <w:sz w:val="28"/>
        </w:rPr>
        <w:t>Таблица А.6 — Развёрнутая спецификация оборудования Схемы 2 (детализация)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663"/>
        <w:gridCol w:w="1430"/>
        <w:gridCol w:w="1081"/>
        <w:gridCol w:w="1970"/>
        <w:gridCol w:w="1094"/>
        <w:gridCol w:w="1252"/>
      </w:tblGrid>
      <w:tr w14:paraId="2CE476E0">
        <w:trPr>
          <w:cantSplit/>
          <w:tblHeader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4282F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№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D97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Наименование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5A944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Модель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AF758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Кол-во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5AAF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Характеристики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E40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Масса, кг (ориент.)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11F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Габариты, мм (ориент.)</w:t>
            </w:r>
          </w:p>
        </w:tc>
      </w:tr>
      <w:tr w14:paraId="1F77987B">
        <w:trPr>
          <w:cantSplit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5738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6CA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Чиллер с воздушным конденсатором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477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Dantex DN-1902BYSOM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085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 (3 раб. + 1 рез.)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8A31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Q=410 кВт; N=145 кВт; COP=2,83; хладагент R-134a; вода 7/12 °C; воздух +35 °C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9764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2 800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F3CF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3 450 × 2 250 × 2 100</w:t>
            </w:r>
          </w:p>
        </w:tc>
      </w:tr>
      <w:tr w14:paraId="4AA61A8B">
        <w:trPr>
          <w:cantSplit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2F9C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8AC9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Драйкулер (сухой охладитель)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948C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Alfa Laval Arctigo LSV 6/8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4F4B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 (2 раб. + 1 рез.)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ADE1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Q=550 кВт; N_вент=19,2 кВт; t_вх/вых=35/30 °C; расход гликоль 30 %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D3B4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1 950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AAB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5 540 × 2 200 × 1 950</w:t>
            </w:r>
          </w:p>
        </w:tc>
      </w:tr>
      <w:tr w14:paraId="41F9FDA5">
        <w:trPr>
          <w:cantSplit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4BCA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1C36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Пластинчатый теплообменник (ПТО)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D6D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Ридан НН-42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1C45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 (2 раб.)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79F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Q=550 кВт; ΔT=5 °C; LMTD≈3 °C; разборный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DB3A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420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B85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1 100 × 520 × 380</w:t>
            </w:r>
          </w:p>
        </w:tc>
      </w:tr>
      <w:tr w14:paraId="0FC5C070">
        <w:trPr>
          <w:cantSplit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B6848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D625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Насос циркуляционный (контур ЦОД)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BFA8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Ридан PE1 100-200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DA66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 8 (зависит от схемы)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5ABE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N=11 кВт; Q=170 м³/ч; H=20 м; η=72 %; IP55; ЧРП встроенный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34A2A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195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810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940 × 450 × 680</w:t>
            </w:r>
          </w:p>
        </w:tc>
      </w:tr>
      <w:tr w14:paraId="4203379F">
        <w:trPr>
          <w:cantSplit/>
          <w:jc w:val="center"/>
        </w:trPr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E0B5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0609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Блок CRAH (прецизионный кондиционер)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3EFE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TICA TCRA100AU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9AB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 (10 раб. + 2 рез.)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154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Q=106,8 кВт; N_вент=4,6 кВт; расход воздуха=29 000 м³/ч; EC-вентиляторы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F86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480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C028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1 800 × 900 × 1 950</w:t>
            </w:r>
          </w:p>
        </w:tc>
      </w:tr>
    </w:tbl>
    <w:p w14:paraId="4F3E8840"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Примечания</w:t>
      </w:r>
    </w:p>
    <w:p w14:paraId="51F09CFB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1. Чиллер Dantex DN-1902BYSOM — исполнение SS (Silent/Summer) с пониженным уровнем шума для установки на кровле. Комплектуется встроенным инвертором компрессора, электронным расширительным вентилем и системой управления Daikin iCM.</w:t>
      </w:r>
    </w:p>
    <w:p w14:paraId="37572AD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2. Драйкулер Alfa Laval Arctigo LSV 6/8 оснащён EC-вентиляторами с регулируемой частотой вращения. Корпус из нержавеющей стали, антикоррозионное покрытие катушки ElectroFin — пригодно для эксплуатации в условиях Санкт-Петербурга (высокая влажность, солевая атмосфера вблизи Финского залива).</w:t>
      </w:r>
    </w:p>
    <w:p w14:paraId="08516FB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ПТО Ридан НН-42 — паяный теплообменник из нержавеющей стали. Применяется для гидравлической развязки контура чиллера и контура ЦОД.</w:t>
      </w:r>
    </w:p>
    <w:p w14:paraId="6845B0B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4. Насос Ридан PE1 100-200 — вертикальный центробежный с встроенным преобразователем частоты (серия E-pump). Обеспечивает регулирование производительности по давлению или расходу.</w:t>
      </w:r>
    </w:p>
    <w:p w14:paraId="6010B23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5. CRAH TICA TCRA100AU — прецизионный кондиционер с охлаждением хладоносителем (вода/гликоль). Рециркуляция воздуха в межрядном исполнении. Встроенный микропроцессорный контроллер с протоколами BACnet/Modbus.</w:t>
      </w:r>
    </w:p>
    <w:p w14:paraId="33D456E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6. Схема резервирования: чиллеры и насосы по схеме N+1; CRAH — N+2 (10 рабочих + 2 резервных) с учётом обслуживания без останова ЦОД.</w:t>
      </w:r>
    </w:p>
    <w:p w14:paraId="79FB1F8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7. Масса и габариты приведены ориентировочно по данным открытых каталогов производителей; точные значения уточняются на стадии рабочего проектирования.</w:t>
      </w:r>
    </w:p>
    <w:p w14:paraId="5484273C">
      <w:pPr>
        <w:pStyle w:val="2"/>
        <w:keepNext/>
        <w:pageBreakBefore/>
        <w:spacing w:before="0" w:after="0" w:line="360" w:lineRule="auto"/>
        <w:ind w:firstLine="0"/>
        <w:jc w:val="center"/>
      </w:pPr>
      <w:bookmarkStart w:id="104" w:name="_Toc991210086"/>
      <w:r>
        <w:rPr>
          <w:rFonts w:ascii="Times New Roman" w:hAnsi="Times New Roman" w:eastAsia="Times New Roman" w:cs="Times New Roman"/>
          <w:b/>
          <w:color w:val="000000"/>
          <w:sz w:val="28"/>
        </w:rPr>
        <w:t>ПРИЛОЖЕНИЕ Б Климатические данные Санкт-Петербурга</w:t>
      </w:r>
      <w:bookmarkEnd w:id="104"/>
    </w:p>
    <w:p w14:paraId="0A57CEC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sz w:val="28"/>
        </w:rPr>
        <w:t>Климатические данные приняты по СП 131.13330.2020 [3] «Строительная климатология» для Санкт-Петербурга (55-я климатическая зона), а также по многолетним наблюдениям Росгидромета (ст. Санкт-Петербург, период 1991–2020).</w:t>
      </w:r>
    </w:p>
    <w:p w14:paraId="3DBAE07E">
      <w:pPr>
        <w:keepNext/>
        <w:keepLines/>
        <w:spacing w:before="0" w:after="0"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Таблица Б.1 — Среднемесячные климатические параметры и часы фрикулинга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550"/>
        <w:gridCol w:w="1551"/>
        <w:gridCol w:w="1551"/>
        <w:gridCol w:w="1684"/>
        <w:gridCol w:w="1684"/>
      </w:tblGrid>
      <w:tr w14:paraId="6F0493B4">
        <w:trPr>
          <w:cantSplit/>
          <w:tblHeader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26D7B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CB78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T_ср, °C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BE2E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RH_ср, %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9859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Часов в месяце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2A3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Ч. фрикулинга при MCT=10 °C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F6F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Ч. фрикулинга при MCT=12 °C</w:t>
            </w:r>
          </w:p>
        </w:tc>
      </w:tr>
      <w:tr w14:paraId="1EA32246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3A68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Январь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9A6B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−6,6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885F8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D1E9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89AB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EE5F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729</w:t>
            </w:r>
          </w:p>
        </w:tc>
      </w:tr>
      <w:tr w14:paraId="12F1D445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64F8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Февраль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2A2D4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−6,3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C470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9C41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672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CAFE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8E7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659</w:t>
            </w:r>
          </w:p>
        </w:tc>
      </w:tr>
      <w:tr w14:paraId="3C1267BD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3DD9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Март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464B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−1,5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C5CB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79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1280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34D6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C4C80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730</w:t>
            </w:r>
          </w:p>
        </w:tc>
      </w:tr>
      <w:tr w14:paraId="4851C53A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EA0E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Апрель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04B8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4,5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1313E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9418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1729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CD37C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706</w:t>
            </w:r>
          </w:p>
        </w:tc>
      </w:tr>
      <w:tr w14:paraId="5371F973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4E421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Май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B0A5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10,9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5153E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18DA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5875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D2AFC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445</w:t>
            </w:r>
          </w:p>
        </w:tc>
      </w:tr>
      <w:tr w14:paraId="5145927A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C5C0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Июнь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5203E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15,7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87E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9AA3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F968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6702F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92</w:t>
            </w:r>
          </w:p>
        </w:tc>
      </w:tr>
      <w:tr w14:paraId="0C4AAB84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D0DD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Июль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BE9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18,3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39513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0D21A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98F7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BE160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36</w:t>
            </w:r>
          </w:p>
        </w:tc>
      </w:tr>
      <w:tr w14:paraId="1E28212A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4D97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Август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62C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16,7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544E0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FDE5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8E49A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5711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36</w:t>
            </w:r>
          </w:p>
        </w:tc>
      </w:tr>
      <w:tr w14:paraId="06EF92AE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09BDB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Сентябрь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446F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11,4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9F39B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B41A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0077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5FE1D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395</w:t>
            </w:r>
          </w:p>
        </w:tc>
      </w:tr>
      <w:tr w14:paraId="7AA6C1F3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A8C4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Октябрь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0A9E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5,7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2215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83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C12E3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4A0A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666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FC230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730</w:t>
            </w:r>
          </w:p>
        </w:tc>
      </w:tr>
      <w:tr w14:paraId="09E47761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CB3BC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Ноябрь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DE926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0,2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39F7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DD78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C95E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42C2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706</w:t>
            </w:r>
          </w:p>
        </w:tc>
      </w:tr>
      <w:tr w14:paraId="2EC46D5F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99F2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Декабрь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9381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−3,9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0FB5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E50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F493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AEED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730</w:t>
            </w:r>
          </w:p>
        </w:tc>
      </w:tr>
      <w:tr w14:paraId="44D8F7DC">
        <w:trPr>
          <w:cantSplit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9CA7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450A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2E3D1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2276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8 760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09FED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5 502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657D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5 994</w:t>
            </w:r>
          </w:p>
        </w:tc>
      </w:tr>
    </w:tbl>
    <w:p w14:paraId="223B4E4B">
      <w:pPr>
        <w:keepNext/>
        <w:keepLines/>
        <w:spacing w:before="0" w:after="0"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Таблица Б.2 — Сводные показатели по сезонам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686"/>
        <w:gridCol w:w="1691"/>
        <w:gridCol w:w="2300"/>
        <w:gridCol w:w="2300"/>
      </w:tblGrid>
      <w:tr w14:paraId="3EC94DEE">
        <w:trPr>
          <w:cantSplit/>
          <w:tblHeader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F4C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Сезон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F39B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Месяцы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39E4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T_ср, °C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F1F6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Доля часов фрикулинга (MCT=10 °C), %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40B5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Доля часов фрикулинга (MCT=12 °C), %</w:t>
            </w:r>
          </w:p>
        </w:tc>
      </w:tr>
      <w:tr w14:paraId="1293719A">
        <w:trPr>
          <w:cantSplit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037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Зима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FD4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Дек, Янв, Фев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0DE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−5,6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CBC5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96,3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F432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98,1</w:t>
            </w:r>
          </w:p>
        </w:tc>
      </w:tr>
      <w:tr w14:paraId="57E4CA09">
        <w:trPr>
          <w:cantSplit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7260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Весна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0F3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Мар, Апр, Май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61C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4,6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3B7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77,2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329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85,2</w:t>
            </w:r>
          </w:p>
        </w:tc>
      </w:tr>
      <w:tr w14:paraId="7804420B">
        <w:trPr>
          <w:cantSplit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5A3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Лето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F61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Июн, Июл, Авг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9215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16,9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4FE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4,8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33A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7,4</w:t>
            </w:r>
          </w:p>
        </w:tc>
      </w:tr>
      <w:tr w14:paraId="509CBF3B">
        <w:trPr>
          <w:cantSplit/>
          <w:jc w:val="center"/>
        </w:trPr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1D8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Осень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D245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Сен, Окт, Ноя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551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5,8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4FD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73,7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0D6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83,8</w:t>
            </w:r>
          </w:p>
        </w:tc>
      </w:tr>
    </w:tbl>
    <w:p w14:paraId="5BC17A02"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Примечания</w:t>
      </w:r>
    </w:p>
    <w:p w14:paraId="6BD8B23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1. MCT (Maximum Coolant Temperature) — максимальная допустимая температура хладоносителя на входе в теплообменник при работе в режиме фрикулинга. При MCT=10 °C фрикулинг активируется при T_наружн ≤ 10 °C; при MCT=12 °C — при T_наружн ≤ 12 °C.</w:t>
      </w:r>
    </w:p>
    <w:p w14:paraId="71EEA82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2. Часы фрикулинга рассчитаны по средним суточным температурам на основе модели нормального распределения температур внутри каждого месяца, реализованной в модуле `scripts/climate_spb.py`.</w:t>
      </w:r>
    </w:p>
    <w:p w14:paraId="16707A3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За год при MCT=10 °C доля часов фрикулинга составляет 62,8 % (5 502 ч); при MCT=12 °C — 68,4 % (5 994 ч).</w:t>
      </w:r>
    </w:p>
    <w:p w14:paraId="2CE6C13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4. Схема 2 (чиллер + драйкулер) использует MCT=10 °C, Схема 3 (чиллер + фрикулинг + ТАХ) — MCT=12 °C.</w:t>
      </w:r>
    </w:p>
    <w:p w14:paraId="0E50B7C3">
      <w:pPr>
        <w:pStyle w:val="2"/>
        <w:keepNext/>
        <w:pageBreakBefore/>
        <w:spacing w:before="0" w:after="0" w:line="360" w:lineRule="auto"/>
        <w:ind w:firstLine="0"/>
        <w:jc w:val="center"/>
      </w:pPr>
      <w:bookmarkStart w:id="105" w:name="_Toc1237265623"/>
      <w:r>
        <w:rPr>
          <w:rFonts w:ascii="Times New Roman" w:hAnsi="Times New Roman" w:eastAsia="Times New Roman" w:cs="Times New Roman"/>
          <w:b/>
          <w:color w:val="000000"/>
          <w:sz w:val="28"/>
        </w:rPr>
        <w:t>ПРИЛОЖЕНИЕ В Помесячный энергобаланс системы охлаждения</w:t>
      </w:r>
      <w:bookmarkEnd w:id="105"/>
    </w:p>
    <w:p w14:paraId="4CE8369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Расчёт выполнен с помощью модуля `scripts/energy_calc.py`. Тепловыделение ЦОД принято постоянным: Q_Σ = 965,2 кВт (раздел 3.2), округлено в приложении В до 965 кВт. Для каждой схемы фиксируется свой порог фрикулинга (MCT).</w:t>
      </w:r>
    </w:p>
    <w:p w14:paraId="6407C372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Схема 1 — компрессионный чиллер без фрикулинга (MCT = 0 °C, фрикулинг фактически не используется)</w:t>
      </w:r>
    </w:p>
    <w:p w14:paraId="2FA0BB3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Схема 2 — чиллер + драйкулер с фрикулингом (MCT = 10 °C) — рекомендуемая</w:t>
      </w:r>
    </w:p>
    <w:p w14:paraId="33CB788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Схема 3 — чиллер + фрикулинг + бак-аккумулятор холода (ТАХ), MCT = 12 °C</w:t>
      </w:r>
    </w:p>
    <w:p w14:paraId="283F0ED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Обозначения столбцов:</w:t>
      </w:r>
    </w:p>
    <w:p w14:paraId="4D74E538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h_total — итого часов в месяце</w:t>
      </w:r>
    </w:p>
    <w:p w14:paraId="581A5EEE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h_fc — часов в режиме фрикулинга</w:t>
      </w:r>
    </w:p>
    <w:p w14:paraId="09B883D4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h_mech — часов в режиме компрессионного охлаждения</w:t>
      </w:r>
    </w:p>
    <w:p w14:paraId="75C979F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W_chiller — расход электроэнергии чиллером, кВт·ч</w:t>
      </w:r>
    </w:p>
    <w:p w14:paraId="6F23389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W_pumps — расход электроэнергии насосами, кВт·ч</w:t>
      </w:r>
    </w:p>
    <w:p w14:paraId="6347664D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W_crah — расход электроэнергии блоками CRAH, кВт·ч</w:t>
      </w:r>
    </w:p>
    <w:p w14:paraId="5A7FAC29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W_drycooler — расход электроэнергии драйкулером, кВт·ч</w:t>
      </w:r>
    </w:p>
    <w:p w14:paraId="74E2FF7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 W_total — суммарный расход, кВт·ч</w:t>
      </w:r>
    </w:p>
    <w:p w14:paraId="309A823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---</w:t>
      </w:r>
    </w:p>
    <w:p w14:paraId="4A6F7088">
      <w:r>
        <w:t>Численные значения помесячного энергопотребления по Схеме 1 приведены в таблице 3.5 основного текста (столбец «Схема 1, МВт·ч»).</w:t>
      </w:r>
    </w:p>
    <w:p w14:paraId="4A24AF6B"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Таблица В.1 — Схема 1: компрессионный чиллер без фрикулинга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852"/>
        <w:gridCol w:w="839"/>
        <w:gridCol w:w="923"/>
        <w:gridCol w:w="1164"/>
        <w:gridCol w:w="1201"/>
        <w:gridCol w:w="1000"/>
        <w:gridCol w:w="1459"/>
        <w:gridCol w:w="1065"/>
      </w:tblGrid>
      <w:tr w14:paraId="6C2184D5">
        <w:trPr>
          <w:cantSplit/>
          <w:tblHeader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8F4AD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468F6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h_total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4845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h_fc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C142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h_mech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853C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W_chiller,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A824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W_pumps,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2C1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W_crah,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B68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W_drycooler,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D030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W_total, кВт·ч</w:t>
            </w:r>
          </w:p>
        </w:tc>
      </w:tr>
      <w:tr w14:paraId="0984B69B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8EA4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Январь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F49D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AA8B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81AA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97E98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198 894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F1DC8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24 552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4E1E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71EF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F462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257 670</w:t>
            </w:r>
          </w:p>
        </w:tc>
      </w:tr>
      <w:tr w14:paraId="0F7FE47D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83E3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Февраль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546C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672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1801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555E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672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56995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180 124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2FC94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22 176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3D6CB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30 912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DEDAD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CEB5A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233 212</w:t>
            </w:r>
          </w:p>
        </w:tc>
      </w:tr>
      <w:tr w14:paraId="189A2D45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F0C77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Март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D555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D30A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183A0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3801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208 292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F1EE1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24 552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E1D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9307D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5FB04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267 068</w:t>
            </w:r>
          </w:p>
        </w:tc>
      </w:tr>
      <w:tr w14:paraId="215C1139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F8FF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Апрель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EAE1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EA7D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C140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74AB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213 439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262C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23 760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BF7BF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4D928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7AA61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270 319</w:t>
            </w:r>
          </w:p>
        </w:tc>
      </w:tr>
      <w:tr w14:paraId="778192F9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F7C5C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Май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5399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B69F1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5D26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96B55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235 329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0DB91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24 552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F220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5CA2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5C28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294 105</w:t>
            </w:r>
          </w:p>
        </w:tc>
      </w:tr>
      <w:tr w14:paraId="369210C8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A44F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Июнь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F75F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71F6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09FF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30DE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239 787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DB40E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23 760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40FD8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103BE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C23F3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296 667</w:t>
            </w:r>
          </w:p>
        </w:tc>
      </w:tr>
      <w:tr w14:paraId="45313BF5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1E47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A072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FF836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59AA2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1C85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255 192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37D9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24 552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BD2A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ED2D7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7AEF3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313 968</w:t>
            </w:r>
          </w:p>
        </w:tc>
      </w:tr>
      <w:tr w14:paraId="55EB6F29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EFCB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Август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FCDD0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A87E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D7DF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4B13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250 541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5F08F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24 552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03012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1989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B879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309 317</w:t>
            </w:r>
          </w:p>
        </w:tc>
      </w:tr>
      <w:tr w14:paraId="14E68492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100C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Сентябрь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78227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C176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06FC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68BB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228 936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9F70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23 760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BE7D5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E9D8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2B12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285 816</w:t>
            </w:r>
          </w:p>
        </w:tc>
      </w:tr>
      <w:tr w14:paraId="23E6186D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B28C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Октябрь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C8DF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08F57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3013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A75B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223 181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D680E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24 552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0FC3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8386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EFB44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281 957</w:t>
            </w:r>
          </w:p>
        </w:tc>
      </w:tr>
      <w:tr w14:paraId="149A8B98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8D84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E0E16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57C22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D838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6D85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204 799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8927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23 760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4F1F9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B3C3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669C5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261 679</w:t>
            </w:r>
          </w:p>
        </w:tc>
      </w:tr>
      <w:tr w14:paraId="442CBAED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3668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Декабрь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03570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1664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BD5A7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59A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203 761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E80F7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24 552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1222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BF060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022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262 537</w:t>
            </w:r>
          </w:p>
        </w:tc>
      </w:tr>
      <w:tr w14:paraId="110EBCF2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B89D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DA36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8 760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E7DD7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0253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8 760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931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2 642 275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02EB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289 080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456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402 960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706D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AB92D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3 334 315</w:t>
            </w:r>
          </w:p>
        </w:tc>
      </w:tr>
    </w:tbl>
    <w:p w14:paraId="7973A00F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---</w:t>
      </w:r>
    </w:p>
    <w:p w14:paraId="68B584F0">
      <w:r>
        <w:t>Численные значения по Схеме 2 приведены в таблице 3.5 основного текста (столбец «Схема 2») и соответствуют рекомендуемой схеме с MCT = 10 °C.</w:t>
      </w:r>
    </w:p>
    <w:p w14:paraId="76BA4761"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Таблица В.2 — Схема 2: чиллер + драйкулер с фрикулингом (MCT = 10 °C) — рекомендуемая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852"/>
        <w:gridCol w:w="839"/>
        <w:gridCol w:w="923"/>
        <w:gridCol w:w="1164"/>
        <w:gridCol w:w="1201"/>
        <w:gridCol w:w="1000"/>
        <w:gridCol w:w="1459"/>
        <w:gridCol w:w="1065"/>
      </w:tblGrid>
      <w:tr w14:paraId="430063BB">
        <w:trPr>
          <w:cantSplit/>
          <w:tblHeader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642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3C33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h_total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621B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h_fc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934B3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h_mech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19F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W_chiller,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4033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W_pumps,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75A9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W_crah,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5FBE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W_drycooler,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FD6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W_total, кВт·ч</w:t>
            </w:r>
          </w:p>
        </w:tc>
      </w:tr>
      <w:tr w14:paraId="7B45F861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0F8E0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Январь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E572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5113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772C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517F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7 218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6E6B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13 005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A449D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AB4FE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27 533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FB260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81 980</w:t>
            </w:r>
          </w:p>
        </w:tc>
      </w:tr>
      <w:tr w14:paraId="0747AD17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CE38F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Февраль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7055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672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2D638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FC2E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1221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6 701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0417B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11 757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4B95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30 912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C702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24 845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53B95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74 215</w:t>
            </w:r>
          </w:p>
        </w:tc>
      </w:tr>
      <w:tr w14:paraId="013FD0DF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176AF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Март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586D5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0318F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C439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37A64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7 559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B82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13 005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995E6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BCC8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27 533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F712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82 321</w:t>
            </w:r>
          </w:p>
        </w:tc>
      </w:tr>
      <w:tr w14:paraId="706D232C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216DF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Апрель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AA446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CCF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14E20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6F20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7 708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55B09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12 584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61CDB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97078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26 650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5FED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80 061</w:t>
            </w:r>
          </w:p>
        </w:tc>
      </w:tr>
      <w:tr w14:paraId="7A5DF3EC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4263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Май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EE1AF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19C3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8865F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450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3FC3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142 336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48BF0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19 817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E0963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2D64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11 290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1C5F9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207 667</w:t>
            </w:r>
          </w:p>
        </w:tc>
      </w:tr>
      <w:tr w14:paraId="67B51CD3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57F68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Июнь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6729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05F5C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9F3A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686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2FC2A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228 463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80F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23 212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A2D34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DAC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1 306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7FA62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286 101</w:t>
            </w:r>
          </w:p>
        </w:tc>
      </w:tr>
      <w:tr w14:paraId="5E41D1E4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9E090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F3FBC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C449D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0002D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5195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242 844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0EDB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23 972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29A4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3C0B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1 382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A086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302 423</w:t>
            </w:r>
          </w:p>
        </w:tc>
      </w:tr>
      <w:tr w14:paraId="5BE60F35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6219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Август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D4FB2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F2EC7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A5F4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7A994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238 418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7B46C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23 972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D02B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A718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1 382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6E6C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297 997</w:t>
            </w:r>
          </w:p>
        </w:tc>
      </w:tr>
      <w:tr w14:paraId="3BC69D9C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A1C15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Сентябрь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BCAC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571EB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E4B16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470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5DD2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149 445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62AA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19 734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965DF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9DDF2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9 600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9C67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211 899</w:t>
            </w:r>
          </w:p>
        </w:tc>
      </w:tr>
      <w:tr w14:paraId="4350C6E3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ED0B2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Октябрь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EF819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8971A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666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360C9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851E5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23 398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E72A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13 827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4FC39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A5E76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25 574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E960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97 023</w:t>
            </w:r>
          </w:p>
        </w:tc>
      </w:tr>
      <w:tr w14:paraId="1489BAF5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286E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CD2E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FC52C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694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B0B4E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3A408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7 396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92911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12 584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9D37E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36AB0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26 650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A677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79 749</w:t>
            </w:r>
          </w:p>
        </w:tc>
      </w:tr>
      <w:tr w14:paraId="331715B4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1288A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Декабрь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064E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DE6B5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6FFFC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6B01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7 395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C1852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13 005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3E404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642E0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27 533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E5E5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82 157</w:t>
            </w:r>
          </w:p>
        </w:tc>
      </w:tr>
      <w:tr w14:paraId="05A2F87D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44077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4F805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8 760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994A8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5 502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57F3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3 258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F2BA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1 068 880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C67E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200 476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4074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402 960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C52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211 277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0DAC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1 883 593</w:t>
            </w:r>
          </w:p>
        </w:tc>
      </w:tr>
    </w:tbl>
    <w:p w14:paraId="7844B83C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---</w:t>
      </w:r>
    </w:p>
    <w:p w14:paraId="361EB316">
      <w:r>
        <w:t>Численные значения по Схеме 3 приведены в таблице 3.5 основного текста (столбец «Схема 3»). Отличие от Схемы 2 — повышенное MCT = 12 °C и учёт зарядки ТАХ в дневные часы.</w:t>
      </w:r>
    </w:p>
    <w:p w14:paraId="3EC9CAB0"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Таблица В.3 — Схема 3: чиллер + фрикулинг + бак-аккумулятор холода (ТАХ), MCT = 12 °C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852"/>
        <w:gridCol w:w="839"/>
        <w:gridCol w:w="923"/>
        <w:gridCol w:w="1164"/>
        <w:gridCol w:w="1201"/>
        <w:gridCol w:w="1000"/>
        <w:gridCol w:w="1459"/>
        <w:gridCol w:w="1065"/>
      </w:tblGrid>
      <w:tr w14:paraId="3AD64615">
        <w:trPr>
          <w:cantSplit/>
          <w:tblHeader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4945E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Месяц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652EB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h_total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0448B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h_fc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1140A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h_mech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7C7E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W_chiller,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7EDD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W_pumps,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5A44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W_crah,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8A26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W_drycooler, кВт·ч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EC7A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W_total, кВт·ч</w:t>
            </w:r>
          </w:p>
        </w:tc>
      </w:tr>
      <w:tr w14:paraId="4D6E8045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49B48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Январь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16493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1EA18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0617A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94F5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4 010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19296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12 812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E5C9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A1FB8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27 994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081D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79 040</w:t>
            </w:r>
          </w:p>
        </w:tc>
      </w:tr>
      <w:tr w14:paraId="016C6A46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B9AE2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Февраль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FAF5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672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F392F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659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14E4B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13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B67D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3 485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BD8C3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11 563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EC9D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30 912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C6CB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25 306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2261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71 266</w:t>
            </w:r>
          </w:p>
        </w:tc>
      </w:tr>
      <w:tr w14:paraId="6771BD69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4F8B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Март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6C7C4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EA78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6EC6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0337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3 919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45E85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12 796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6F84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0563D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28 032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52C2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78 972</w:t>
            </w:r>
          </w:p>
        </w:tc>
      </w:tr>
      <w:tr w14:paraId="63EB9A07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A3046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Апрель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6AED3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5A2F8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855E7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F2A27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4 150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EBCB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12 391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3160A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F819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27 110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3D99D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76 771</w:t>
            </w:r>
          </w:p>
        </w:tc>
      </w:tr>
      <w:tr w14:paraId="2946F442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3327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Май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186B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15E4C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445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7A3A2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27C58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94 575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FF391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17 386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9314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5B2DE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17 088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38D2B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163 272</w:t>
            </w:r>
          </w:p>
        </w:tc>
      </w:tr>
      <w:tr w14:paraId="3F10FBAB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B181D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Июнь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D753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6CB1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5DB6B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628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2E3EE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209 147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FA12C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22 278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02094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92D95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3 533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4F5E9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268 078</w:t>
            </w:r>
          </w:p>
        </w:tc>
      </w:tr>
      <w:tr w14:paraId="4609BEC0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ACDFB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Июль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78E7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39C0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657F2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50476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242 844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902D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23 972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74C8A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7FDA1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1 382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0BAB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302 423</w:t>
            </w:r>
          </w:p>
        </w:tc>
      </w:tr>
      <w:tr w14:paraId="1EA6999C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D5987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Август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CDD85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3260B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552DD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F52D6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238 418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C1DCA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23 972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5A379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2640D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1 382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A0BF0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297 997</w:t>
            </w:r>
          </w:p>
        </w:tc>
      </w:tr>
      <w:tr w14:paraId="50B5B887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8D0A7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Сентябрь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4C35E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19DCF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395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65C6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325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79AED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103 339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A00F2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17 399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D17A0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6836D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15 168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56D65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169 026</w:t>
            </w:r>
          </w:p>
        </w:tc>
      </w:tr>
      <w:tr w14:paraId="4D9D3F08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CC67D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Октябрь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DF70B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8512C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0E42C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6B9A9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4 200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43E45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12 796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C8119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D0E6A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28 032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34944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79 252</w:t>
            </w:r>
          </w:p>
        </w:tc>
      </w:tr>
      <w:tr w14:paraId="79553975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225DE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Ноябрь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D5D94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F7367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C35D4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1EE9E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3 982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06A9C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12 391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9E119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33 120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8B3EA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27 110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EA3F7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76 603</w:t>
            </w:r>
          </w:p>
        </w:tc>
      </w:tr>
      <w:tr w14:paraId="0CE1F742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5599C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Декабрь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92637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744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B1B80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730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3D65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AAA13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3 834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D066BB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12 796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17BCC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34 224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8D3EE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28 032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67B8F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78 886</w:t>
            </w:r>
          </w:p>
        </w:tc>
      </w:tr>
      <w:tr w14:paraId="6BDC87E4">
        <w:trPr>
          <w:cantSplit/>
          <w:jc w:val="center"/>
        </w:trPr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E379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Итого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5F01A2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8 760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30FCEA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5 994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80BDF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2 766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BB20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915 904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242D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192 553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A30B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402 960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29E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230 170</w:t>
            </w:r>
          </w:p>
        </w:tc>
        <w:tc>
          <w:tcPr>
            <w:tcW w:w="1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F87E8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1 741 586</w:t>
            </w:r>
          </w:p>
        </w:tc>
      </w:tr>
    </w:tbl>
    <w:p w14:paraId="5E4DA580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---</w:t>
      </w:r>
    </w:p>
    <w:p w14:paraId="50665C26">
      <w:r>
        <w:t>Сравнительные годовые значения энергопотребления приведены в таблице 3.6 основного текста (строки «Итого за год»).</w:t>
      </w:r>
    </w:p>
    <w:p w14:paraId="3B41C8FD"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Таблица В.4 — Сравнение годового энергопотребления по схемам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65392DD3">
        <w:trPr>
          <w:cantSplit/>
          <w:tblHeader/>
          <w:jc w:val="center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1FEB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Показатель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F63A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1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3E53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2 (реком.)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58C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Схема 3</w:t>
            </w:r>
          </w:p>
        </w:tc>
      </w:tr>
      <w:tr w14:paraId="4B910B9C">
        <w:trPr>
          <w:cantSplit/>
          <w:jc w:val="center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50621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W_chiller, тыс. кВт·ч/год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39CA4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2 642,3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C2C3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1 068,9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F30E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915,9</w:t>
            </w:r>
          </w:p>
        </w:tc>
      </w:tr>
      <w:tr w14:paraId="236C38C3">
        <w:trPr>
          <w:cantSplit/>
          <w:jc w:val="center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A47D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W_pumps, тыс. кВт·ч/год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F738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289,1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F720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200,5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308B7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192,6</w:t>
            </w:r>
          </w:p>
        </w:tc>
      </w:tr>
      <w:tr w14:paraId="1ED63D8B">
        <w:trPr>
          <w:cantSplit/>
          <w:jc w:val="center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975E8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W_crah, тыс. кВт·ч/год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45199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403,0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9B2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403,0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3C0C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403,0</w:t>
            </w:r>
          </w:p>
        </w:tc>
      </w:tr>
      <w:tr w14:paraId="729DE8AC">
        <w:trPr>
          <w:cantSplit/>
          <w:jc w:val="center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04EF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W_drycooler, тыс. кВт·ч/год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C261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0,0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D0E3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211,3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0BF5C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230,2</w:t>
            </w:r>
          </w:p>
        </w:tc>
      </w:tr>
      <w:tr w14:paraId="0817CB23">
        <w:trPr>
          <w:cantSplit/>
          <w:jc w:val="center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AE6B3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W_total, тыс. кВт·ч/год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C063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3 334,3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E9AFE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1 883,6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287F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1 741,6</w:t>
            </w:r>
          </w:p>
        </w:tc>
      </w:tr>
      <w:tr w14:paraId="290D2762">
        <w:trPr>
          <w:cantSplit/>
          <w:jc w:val="center"/>
        </w:trPr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DC506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Экономия к схеме 1, %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36E3F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7E560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−43,5 %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349CD"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−47,8 %</w:t>
            </w:r>
          </w:p>
        </w:tc>
      </w:tr>
    </w:tbl>
    <w:p w14:paraId="5F758847">
      <w:pPr>
        <w:keepNext/>
        <w:spacing w:before="0" w:after="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Примечания</w:t>
      </w:r>
    </w:p>
    <w:p w14:paraId="1A52573A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1. Расчёт ведётся при неизменной тепловой нагрузке ЦОД Q = 965,2 кВт в течение всего года (режим 24/7).</w:t>
      </w:r>
    </w:p>
    <w:p w14:paraId="6F5F4D83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2. В часы фрикулинга (h_fc) чиллер отключён; охлаждение обеспечивается драйкулером через ПТО. Мощность насосов в этом режиме снижается.</w:t>
      </w:r>
    </w:p>
    <w:p w14:paraId="15A2096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3. В переходные месяцы (апрель, октябрь, ноябрь) часть часов — фрикулинг, часть — механическое охлаждение; расходы просуммированы пропорционально.</w:t>
      </w:r>
    </w:p>
    <w:p w14:paraId="12409D05">
      <w:pPr>
        <w:keepNext w:val="0"/>
        <w:keepLines w:val="0"/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4. Разница в годовом потреблении охлаждения между Схемой 2 и Схемой 3 составляет около 142,0 тыс. кВт·ч/год в пользу Схемы 3, однако при дополнительном CAPEX 5,98 млн руб. дисконтированная экономия не покрывает вложения (маргинальный NPV при r = 17 % равен −0,18 млн руб.), поэтому рекомендуется Схема 2.</w:t>
      </w:r>
    </w:p>
    <w:sectPr>
      <w:headerReference r:id="rId11" w:type="default"/>
      <w:footerReference r:id="rId13" w:type="default"/>
      <w:headerReference r:id="rId12" w:type="even"/>
      <w:footerReference r:id="rId14" w:type="even"/>
      <w:pgSz w:w="11906" w:h="16838"/>
      <w:pgMar w:top="1134" w:right="851" w:bottom="1134" w:left="1701" w:header="720" w:footer="72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23A60">
    <w:pPr>
      <w:jc w:val="cent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fldChar w:fldCharType="begin"/>
    </w:r>
    <w:r>
      <w:rPr>
        <w:rFonts w:ascii="Times New Roman" w:hAnsi="Times New Roman" w:cs="Times New Roman"/>
        <w:sz w:val="28"/>
      </w:rPr>
      <w:instrText xml:space="preserve">PAGE</w:instrText>
    </w:r>
    <w:r>
      <w:rPr>
        <w:rFonts w:ascii="Times New Roman" w:hAnsi="Times New Roman" w:cs="Times New Roman"/>
        <w:sz w:val="28"/>
      </w:rPr>
      <w:fldChar w:fldCharType="separate"/>
    </w:r>
    <w:r>
      <w:rPr>
        <w:rFonts w:ascii="Times New Roman" w:hAnsi="Times New Roman" w:cs="Times New Roman"/>
        <w:sz w:val="28"/>
      </w:rPr>
      <w:t>1</w:t>
    </w:r>
    <w:r>
      <w:rPr>
        <w:rFonts w:ascii="Times New Roman" w:hAnsi="Times New Roman" w:cs="Times New Roman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0747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14CA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0C17C">
    <w:pPr>
      <w:jc w:val="cent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fldChar w:fldCharType="begin"/>
    </w:r>
    <w:r>
      <w:rPr>
        <w:rFonts w:ascii="Times New Roman" w:hAnsi="Times New Roman" w:cs="Times New Roman"/>
        <w:sz w:val="28"/>
      </w:rPr>
      <w:instrText xml:space="preserve">PAGE</w:instrText>
    </w:r>
    <w:r>
      <w:rPr>
        <w:rFonts w:ascii="Times New Roman" w:hAnsi="Times New Roman" w:cs="Times New Roman"/>
        <w:sz w:val="28"/>
      </w:rPr>
      <w:fldChar w:fldCharType="separate"/>
    </w:r>
    <w:r>
      <w:rPr>
        <w:rFonts w:ascii="Times New Roman" w:hAnsi="Times New Roman" w:cs="Times New Roman"/>
        <w:sz w:val="28"/>
      </w:rPr>
      <w:t>1</w:t>
    </w:r>
    <w:r>
      <w:rPr>
        <w:rFonts w:ascii="Times New Roman" w:hAnsi="Times New Roman" w:cs="Times New Roman"/>
        <w:sz w:val="2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D623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7ABE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646A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7493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3647C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D358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08"/>
  <w:autoHyphenation/>
  <w:consecutiveHyphenLimit w:val="3"/>
  <w:hyphenationZone w:val="284"/>
  <w:doNotHyphenateCaps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89B"/>
    <w:rsid w:val="000C07EE"/>
    <w:rsid w:val="000E5913"/>
    <w:rsid w:val="00173AA6"/>
    <w:rsid w:val="00256A97"/>
    <w:rsid w:val="003253A6"/>
    <w:rsid w:val="00365D73"/>
    <w:rsid w:val="003E5694"/>
    <w:rsid w:val="005F2FEE"/>
    <w:rsid w:val="00611871"/>
    <w:rsid w:val="00620459"/>
    <w:rsid w:val="00725304"/>
    <w:rsid w:val="0076089B"/>
    <w:rsid w:val="0082006D"/>
    <w:rsid w:val="00865F43"/>
    <w:rsid w:val="008753D1"/>
    <w:rsid w:val="00976AA9"/>
    <w:rsid w:val="00A737A4"/>
    <w:rsid w:val="00B203D8"/>
    <w:rsid w:val="00B82D25"/>
    <w:rsid w:val="00C56EBF"/>
    <w:rsid w:val="00D67DAE"/>
    <w:rsid w:val="00ED0367"/>
    <w:rsid w:val="0CBEC4DF"/>
    <w:rsid w:val="0EBDDE4B"/>
    <w:rsid w:val="1FDF1F61"/>
    <w:rsid w:val="2DCE7587"/>
    <w:rsid w:val="37BE85C0"/>
    <w:rsid w:val="3AFF5DB9"/>
    <w:rsid w:val="3E7F0BDE"/>
    <w:rsid w:val="59BB965B"/>
    <w:rsid w:val="5BBF1806"/>
    <w:rsid w:val="67FE1AE3"/>
    <w:rsid w:val="6F58A33E"/>
    <w:rsid w:val="6FEFDE54"/>
    <w:rsid w:val="73FBC792"/>
    <w:rsid w:val="75BEAD6A"/>
    <w:rsid w:val="79FFB0D7"/>
    <w:rsid w:val="7DF7E414"/>
    <w:rsid w:val="7FAFF61E"/>
    <w:rsid w:val="7FB38A56"/>
    <w:rsid w:val="7FDD96FE"/>
    <w:rsid w:val="8EDB688B"/>
    <w:rsid w:val="BDFF18E6"/>
    <w:rsid w:val="BFCB8C81"/>
    <w:rsid w:val="BFDF0AC7"/>
    <w:rsid w:val="D6FE6219"/>
    <w:rsid w:val="DBEF380F"/>
    <w:rsid w:val="DED15A04"/>
    <w:rsid w:val="EAD57F94"/>
    <w:rsid w:val="EBF79023"/>
    <w:rsid w:val="EDDE74E6"/>
    <w:rsid w:val="EECDF9A9"/>
    <w:rsid w:val="EEE45158"/>
    <w:rsid w:val="F7F71579"/>
    <w:rsid w:val="FBBF8BE3"/>
    <w:rsid w:val="FF7F952D"/>
    <w:rsid w:val="FF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40" w:after="120" w:line="360" w:lineRule="auto"/>
      <w:ind w:firstLine="0"/>
      <w:outlineLvl w:val="1"/>
    </w:pPr>
    <w:rPr>
      <w:rFonts w:ascii="Times New Roman" w:hAnsi="Times New Roman" w:cs="Times New Roman"/>
      <w:b/>
      <w:sz w:val="28"/>
      <w:szCs w:val="28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00" w:after="100" w:line="360" w:lineRule="auto"/>
      <w:ind w:firstLine="0"/>
      <w:outlineLvl w:val="2"/>
    </w:pPr>
    <w:rPr>
      <w:rFonts w:ascii="Times New Roman" w:hAnsi="Times New Roman" w:cs="Times New Roman"/>
      <w:b/>
      <w:sz w:val="28"/>
      <w:szCs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16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9">
    <w:name w:val="header"/>
    <w:basedOn w:val="1"/>
    <w:link w:val="15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0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uiPriority w:val="59"/>
    <w:pPr>
      <w:spacing w:line="240" w:lineRule="auto"/>
      <w:ind w:firstLine="0"/>
    </w:pPr>
    <w:rPr>
      <w:rFonts w:eastAsiaTheme="minorEastAsia"/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oc 1"/>
    <w:basedOn w:val="1"/>
    <w:next w:val="1"/>
    <w:autoRedefine/>
    <w:unhideWhenUsed/>
    <w:uiPriority w:val="39"/>
    <w:pPr>
      <w:tabs>
        <w:tab w:val="right" w:leader="dot" w:pos="9355"/>
      </w:tabs>
      <w:spacing w:after="100"/>
      <w:ind w:left="0" w:firstLine="0"/>
      <w:jc w:val="both"/>
    </w:pPr>
  </w:style>
  <w:style w:type="paragraph" w:styleId="13">
    <w:name w:val="toc 2"/>
    <w:basedOn w:val="1"/>
    <w:next w:val="1"/>
    <w:unhideWhenUsed/>
    <w:uiPriority w:val="39"/>
    <w:pPr>
      <w:tabs>
        <w:tab w:val="right" w:leader="dot" w:pos="9355"/>
      </w:tabs>
      <w:spacing w:after="100"/>
      <w:ind w:left="220" w:firstLine="0"/>
      <w:jc w:val="both"/>
    </w:pPr>
    <w:rPr>
      <w:rFonts w:ascii="Times New Roman" w:hAnsi="Times New Roman" w:cs="Times New Roman"/>
      <w:sz w:val="28"/>
    </w:rPr>
  </w:style>
  <w:style w:type="paragraph" w:styleId="14">
    <w:name w:val="toc 3"/>
    <w:basedOn w:val="1"/>
    <w:next w:val="1"/>
    <w:unhideWhenUsed/>
    <w:uiPriority w:val="39"/>
    <w:pPr>
      <w:tabs>
        <w:tab w:val="right" w:leader="dot" w:pos="9355"/>
      </w:tabs>
      <w:spacing w:after="100"/>
      <w:ind w:left="440" w:firstLine="0"/>
      <w:jc w:val="both"/>
    </w:pPr>
    <w:rPr>
      <w:rFonts w:ascii="Times New Roman" w:hAnsi="Times New Roman" w:cs="Times New Roman"/>
      <w:sz w:val="28"/>
    </w:rPr>
  </w:style>
  <w:style w:type="character" w:customStyle="1" w:styleId="15">
    <w:name w:val="Верхний колонтитул Знак"/>
    <w:basedOn w:val="5"/>
    <w:link w:val="9"/>
    <w:uiPriority w:val="99"/>
  </w:style>
  <w:style w:type="character" w:customStyle="1" w:styleId="16">
    <w:name w:val="Нижний колонтитул Знак"/>
    <w:basedOn w:val="5"/>
    <w:link w:val="8"/>
    <w:uiPriority w:val="99"/>
  </w:style>
  <w:style w:type="character" w:customStyle="1" w:styleId="17">
    <w:name w:val="Заголовок 1 Знак"/>
    <w:basedOn w:val="5"/>
    <w:link w:val="2"/>
    <w:uiPriority w:val="9"/>
    <w:rPr>
      <w:rFonts w:ascii="Times New Roman" w:hAnsi="Times New Roman" w:eastAsiaTheme="majorEastAsia" w:cstheme="majorBidi"/>
      <w:b/>
      <w:sz w:val="28"/>
      <w:szCs w:val="32"/>
    </w:rPr>
  </w:style>
  <w:style w:type="paragraph" w:customStyle="1" w:styleId="18">
    <w:name w:val="TOC Heading"/>
    <w:basedOn w:val="2"/>
    <w:next w:val="1"/>
    <w:unhideWhenUsed/>
    <w:qFormat/>
    <w:uiPriority w:val="39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597" w:themeColor="accent1" w:themeShade="BF"/>
      <w:kern w:val="0"/>
      <w:sz w:val="32"/>
      <w:lang w:eastAsia="ru-RU"/>
      <w14:ligatures w14:val="none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6" Type="http://schemas.openxmlformats.org/officeDocument/2006/relationships/fontTable" Target="fontTable.xml"/><Relationship Id="rId55" Type="http://schemas.openxmlformats.org/officeDocument/2006/relationships/customXml" Target="../customXml/item1.xml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pn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" Type="http://schemas.openxmlformats.org/officeDocument/2006/relationships/header" Target="header1.xm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jpeg"/><Relationship Id="rId41" Type="http://schemas.openxmlformats.org/officeDocument/2006/relationships/image" Target="media/image26.png"/><Relationship Id="rId40" Type="http://schemas.openxmlformats.org/officeDocument/2006/relationships/image" Target="media/image25.png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jpeg"/><Relationship Id="rId37" Type="http://schemas.openxmlformats.org/officeDocument/2006/relationships/image" Target="media/image22.jpe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jpe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E10A236A-9009-43F7-A4E7-986A82AB06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96</Pages>
  <Words>5428</Words>
  <Characters>30945</Characters>
  <Lines>257</Lines>
  <Paragraphs>72</Paragraphs>
  <TotalTime>67</TotalTime>
  <ScaleCrop>false</ScaleCrop>
  <LinksUpToDate>false</LinksUpToDate>
  <CharactersWithSpaces>36301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2025-11-24T03:02:00Z</dcterms:created>
  <dc:creator>Radoslav Ternovoy</dc:creator>
  <cp:lastModifiedBy>Антон Иванов</cp:lastModifiedBy>
  <dcterms:modified xsi:type="dcterms:W3CDTF">2026-05-08T14:26:17Z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CF6BC9560950C4040E68E369DF9D93B0_42</vt:lpwstr>
  </property>
</Properties>
</file>