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3BC44">
      <w:pPr>
        <w:spacing w:before="0" w:after="1440" w:line="240" w:lineRule="auto"/>
        <w:jc w:val="both"/>
      </w:pPr>
    </w:p>
    <w:p w14:paraId="07F09481">
      <w:pPr>
        <w:spacing w:before="720" w:after="960" w:line="288" w:lineRule="auto"/>
        <w:jc w:val="center"/>
      </w:pPr>
      <w:r>
        <w:rPr>
          <w:rFonts w:ascii="Arial" w:hAnsi="Arial" w:eastAsia="Arial" w:cs="Arial"/>
          <w:i w:val="0"/>
          <w:color w:val="000000"/>
          <w:sz w:val="32"/>
        </w:rPr>
        <w:t>Multi-Species Livestock Counting: Differentiation Between Cattle and Sheep</w:t>
      </w:r>
    </w:p>
    <w:p w14:paraId="0EAC4CD5">
      <w:pPr>
        <w:spacing w:before="0" w:after="960" w:line="288" w:lineRule="auto"/>
        <w:jc w:val="center"/>
      </w:pPr>
      <w:r>
        <w:rPr>
          <w:rFonts w:ascii="Arial" w:hAnsi="Arial" w:eastAsia="Arial" w:cs="Arial"/>
          <w:i w:val="0"/>
          <w:color w:val="000000"/>
          <w:sz w:val="28"/>
        </w:rPr>
        <w:t>Meerim Zhenishbekova</w:t>
      </w:r>
    </w:p>
    <w:p w14:paraId="0F70696D">
      <w:pPr>
        <w:spacing w:before="0" w:after="40" w:line="288" w:lineRule="auto"/>
        <w:jc w:val="center"/>
      </w:pPr>
      <w:r>
        <w:rPr>
          <w:rFonts w:ascii="Arial" w:hAnsi="Arial" w:eastAsia="Arial" w:cs="Arial"/>
          <w:i w:val="0"/>
          <w:color w:val="000000"/>
          <w:sz w:val="28"/>
        </w:rPr>
        <w:t>A Thesis Submitted in Partial Fulfilment</w:t>
      </w:r>
    </w:p>
    <w:p w14:paraId="32F9908C">
      <w:pPr>
        <w:spacing w:before="0" w:after="40" w:line="288" w:lineRule="auto"/>
        <w:jc w:val="center"/>
      </w:pPr>
      <w:r>
        <w:rPr>
          <w:rFonts w:ascii="Arial" w:hAnsi="Arial" w:eastAsia="Arial" w:cs="Arial"/>
          <w:i w:val="0"/>
          <w:color w:val="000000"/>
          <w:sz w:val="28"/>
        </w:rPr>
        <w:t>of the requirements for the</w:t>
      </w:r>
    </w:p>
    <w:p w14:paraId="5F9CB26E">
      <w:pPr>
        <w:spacing w:before="0" w:after="40" w:line="288" w:lineRule="auto"/>
        <w:jc w:val="center"/>
      </w:pPr>
      <w:r>
        <w:rPr>
          <w:rFonts w:ascii="Arial" w:hAnsi="Arial" w:eastAsia="Arial" w:cs="Arial"/>
          <w:i w:val="0"/>
          <w:color w:val="000000"/>
          <w:sz w:val="28"/>
        </w:rPr>
        <w:t>Degree of</w:t>
      </w:r>
    </w:p>
    <w:p w14:paraId="749E5077">
      <w:pPr>
        <w:spacing w:before="0" w:after="40" w:line="288" w:lineRule="auto"/>
        <w:jc w:val="center"/>
      </w:pPr>
      <w:r>
        <w:rPr>
          <w:rFonts w:ascii="Arial" w:hAnsi="Arial" w:eastAsia="Arial" w:cs="Arial"/>
          <w:i w:val="0"/>
          <w:color w:val="000000"/>
          <w:sz w:val="28"/>
        </w:rPr>
        <w:t>Master of Science in Data Analytics</w:t>
      </w:r>
    </w:p>
    <w:p w14:paraId="5C681400">
      <w:pPr>
        <w:spacing w:before="0" w:after="720" w:line="240" w:lineRule="auto"/>
        <w:jc w:val="both"/>
      </w:pPr>
    </w:p>
    <w:p w14:paraId="37068308">
      <w:pPr>
        <w:spacing w:before="0" w:after="160" w:line="288" w:lineRule="auto"/>
        <w:jc w:val="center"/>
      </w:pPr>
      <w:r>
        <w:drawing>
          <wp:inline distT="0" distB="0" distL="114300" distR="114300">
            <wp:extent cx="1799590" cy="621665"/>
            <wp:effectExtent l="0" t="0" r="381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1800000" cy="622000"/>
                    </a:xfrm>
                    <a:prstGeom prst="rect">
                      <a:avLst/>
                    </a:prstGeom>
                  </pic:spPr>
                </pic:pic>
              </a:graphicData>
            </a:graphic>
          </wp:inline>
        </w:drawing>
      </w:r>
    </w:p>
    <w:p w14:paraId="1599C925">
      <w:pPr>
        <w:spacing w:before="0" w:after="720" w:line="288" w:lineRule="auto"/>
        <w:jc w:val="center"/>
      </w:pPr>
      <w:r>
        <w:rPr>
          <w:rFonts w:ascii="Arial" w:hAnsi="Arial" w:eastAsia="Arial" w:cs="Arial"/>
          <w:i w:val="0"/>
          <w:color w:val="000000"/>
          <w:sz w:val="28"/>
        </w:rPr>
        <w:t>May 2026</w:t>
      </w:r>
    </w:p>
    <w:p w14:paraId="44F5B7BD">
      <w:pPr>
        <w:spacing w:before="0" w:after="0" w:line="288" w:lineRule="auto"/>
        <w:jc w:val="center"/>
      </w:pPr>
      <w:r>
        <w:rPr>
          <w:rFonts w:ascii="Arial" w:hAnsi="Arial" w:eastAsia="Arial" w:cs="Arial"/>
          <w:i w:val="0"/>
          <w:color w:val="000000"/>
          <w:sz w:val="28"/>
        </w:rPr>
        <w:t xml:space="preserve">Supervisor: Dr. </w:t>
      </w:r>
      <w:r>
        <w:rPr>
          <w:rFonts w:cs="Arial"/>
          <w:i w:val="0"/>
          <w:color w:val="000000"/>
          <w:sz w:val="28"/>
          <w:lang w:val="en-US"/>
        </w:rPr>
        <w:t>David</w:t>
      </w:r>
      <w:r>
        <w:rPr>
          <w:rFonts w:hint="default" w:cs="Arial"/>
          <w:i w:val="0"/>
          <w:color w:val="000000"/>
          <w:sz w:val="28"/>
          <w:lang w:val="en-US"/>
        </w:rPr>
        <w:t xml:space="preserve"> </w:t>
      </w:r>
      <w:r>
        <w:rPr>
          <w:rFonts w:ascii="Arial" w:hAnsi="Arial" w:eastAsia="Arial" w:cs="Arial"/>
          <w:i w:val="0"/>
          <w:color w:val="000000"/>
          <w:sz w:val="28"/>
        </w:rPr>
        <w:t>McQuaid</w:t>
      </w:r>
    </w:p>
    <w:p w14:paraId="726DC1E4">
      <w:pPr>
        <w:pStyle w:val="2"/>
      </w:pPr>
    </w:p>
    <w:p w14:paraId="5F494605"/>
    <w:p w14:paraId="057949EE"/>
    <w:p w14:paraId="47CDF299"/>
    <w:p w14:paraId="2D102C31">
      <w:pPr>
        <w:pStyle w:val="2"/>
      </w:pPr>
      <w:r>
        <w:t>Acknowledgements</w:t>
      </w:r>
    </w:p>
    <w:p w14:paraId="66B379FA">
      <w:r>
        <w:t xml:space="preserve">I would like to express my sincere gratitude to my supervisor, Dr. </w:t>
      </w:r>
      <w:r>
        <w:rPr>
          <w:lang w:val="en-US"/>
        </w:rPr>
        <w:t>David</w:t>
      </w:r>
      <w:r>
        <w:rPr>
          <w:rFonts w:hint="default"/>
          <w:lang w:val="en-US"/>
        </w:rPr>
        <w:t xml:space="preserve"> </w:t>
      </w:r>
      <w:r>
        <w:t>McQuaid, for his patient guidance, constructive criticism and consistent availability throughout this project. His feedback shaped both the research design and the final manuscript in ways that I could not have achieved alone.</w:t>
      </w:r>
    </w:p>
    <w:p w14:paraId="6543329A">
      <w:r>
        <w:t>I am also grateful to the faculty of the MSc in Data Analytics at CCT College Dublin for providing the technical foundation that this work builds upon, and to my classmates for the many constructive discussions over the course of the year.</w:t>
      </w:r>
    </w:p>
    <w:p w14:paraId="3B8E49BC">
      <w:r>
        <w:t>Finally, I thank my family for their unwavering support and patience during the long hours that this project demanded.</w:t>
      </w:r>
    </w:p>
    <w:p w14:paraId="3DD72F9A">
      <w:pPr>
        <w:pStyle w:val="2"/>
        <w:keepNext/>
        <w:pageBreakBefore/>
        <w:spacing w:before="360" w:after="240" w:line="276" w:lineRule="auto"/>
        <w:jc w:val="left"/>
      </w:pPr>
      <w:bookmarkStart w:id="0" w:name="_Toc1119087614"/>
      <w:r>
        <w:rPr>
          <w:rFonts w:ascii="Arial" w:hAnsi="Arial" w:eastAsia="Arial" w:cs="Arial"/>
          <w:b/>
          <w:i w:val="0"/>
          <w:color w:val="000000"/>
          <w:sz w:val="32"/>
        </w:rPr>
        <w:t>Table of Contents</w:t>
      </w:r>
      <w:bookmarkEnd w:id="0"/>
      <w:r>
        <w:rPr>
          <w:rFonts w:ascii="Arial" w:hAnsi="Arial" w:eastAsia="Arial" w:cs="Arial"/>
          <w:b w:val="0"/>
          <w:i/>
          <w:color w:val="000000"/>
          <w:sz w:val="20"/>
        </w:rPr>
        <w:fldChar w:fldCharType="begin"/>
      </w:r>
      <w:r>
        <w:rPr>
          <w:rFonts w:ascii="Arial" w:hAnsi="Arial" w:eastAsia="Arial" w:cs="Arial"/>
          <w:b w:val="0"/>
          <w:i/>
          <w:color w:val="000000"/>
          <w:sz w:val="20"/>
        </w:rPr>
        <w:instrText xml:space="preserve"> TOC \o "1-3" \h \z \u </w:instrText>
      </w:r>
      <w:r>
        <w:rPr>
          <w:rFonts w:ascii="Arial" w:hAnsi="Arial" w:eastAsia="Arial" w:cs="Arial"/>
          <w:b w:val="0"/>
          <w:i/>
          <w:color w:val="000000"/>
          <w:sz w:val="20"/>
        </w:rPr>
        <w:fldChar w:fldCharType="separate"/>
      </w:r>
    </w:p>
    <w:p w14:paraId="5B00BD64">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_Toc1119087614 </w:instrText>
      </w:r>
      <w:r>
        <w:rPr>
          <w:rFonts w:ascii="Arial" w:hAnsi="Arial" w:eastAsia="Arial" w:cs="Arial"/>
          <w:i/>
        </w:rPr>
        <w:fldChar w:fldCharType="separate"/>
      </w:r>
      <w:r>
        <w:rPr>
          <w:rFonts w:ascii="Arial" w:hAnsi="Arial" w:eastAsia="Arial" w:cs="Arial"/>
          <w:i w:val="0"/>
        </w:rPr>
        <w:t>Table of Contents</w:t>
      </w:r>
      <w:r>
        <w:tab/>
      </w:r>
      <w:r>
        <w:fldChar w:fldCharType="begin"/>
      </w:r>
      <w:r>
        <w:instrText xml:space="preserve"> PAGEREF _Toc1119087614 \h </w:instrText>
      </w:r>
      <w:r>
        <w:fldChar w:fldCharType="separate"/>
      </w:r>
      <w:r>
        <w:t>iii</w:t>
      </w:r>
      <w:r>
        <w:fldChar w:fldCharType="end"/>
      </w:r>
      <w:r>
        <w:rPr>
          <w:rFonts w:ascii="Arial" w:hAnsi="Arial" w:eastAsia="Arial" w:cs="Arial"/>
          <w:i/>
          <w:color w:val="000000"/>
        </w:rPr>
        <w:fldChar w:fldCharType="end"/>
      </w:r>
    </w:p>
    <w:p w14:paraId="66CFB8B6">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_Toc843748072 </w:instrText>
      </w:r>
      <w:r>
        <w:rPr>
          <w:rFonts w:ascii="Arial" w:hAnsi="Arial" w:eastAsia="Arial" w:cs="Arial"/>
          <w:i/>
        </w:rPr>
        <w:fldChar w:fldCharType="separate"/>
      </w:r>
      <w:r>
        <w:rPr>
          <w:rFonts w:ascii="Arial" w:hAnsi="Arial" w:eastAsia="Arial" w:cs="Arial"/>
          <w:i w:val="0"/>
        </w:rPr>
        <w:t>List of Figures</w:t>
      </w:r>
      <w:r>
        <w:tab/>
      </w:r>
      <w:r>
        <w:fldChar w:fldCharType="begin"/>
      </w:r>
      <w:r>
        <w:instrText xml:space="preserve"> PAGEREF _Toc843748072 \h </w:instrText>
      </w:r>
      <w:r>
        <w:fldChar w:fldCharType="separate"/>
      </w:r>
      <w:r>
        <w:t>viii</w:t>
      </w:r>
      <w:r>
        <w:fldChar w:fldCharType="end"/>
      </w:r>
      <w:r>
        <w:rPr>
          <w:rFonts w:ascii="Arial" w:hAnsi="Arial" w:eastAsia="Arial" w:cs="Arial"/>
          <w:i/>
          <w:color w:val="000000"/>
        </w:rPr>
        <w:fldChar w:fldCharType="end"/>
      </w:r>
    </w:p>
    <w:p w14:paraId="78D1E72F">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_Toc1039324963 </w:instrText>
      </w:r>
      <w:r>
        <w:rPr>
          <w:rFonts w:ascii="Arial" w:hAnsi="Arial" w:eastAsia="Arial" w:cs="Arial"/>
          <w:i/>
        </w:rPr>
        <w:fldChar w:fldCharType="separate"/>
      </w:r>
      <w:r>
        <w:rPr>
          <w:rFonts w:ascii="Arial" w:hAnsi="Arial" w:eastAsia="Arial" w:cs="Arial"/>
          <w:i w:val="0"/>
        </w:rPr>
        <w:t>List of Tables</w:t>
      </w:r>
      <w:r>
        <w:tab/>
      </w:r>
      <w:r>
        <w:fldChar w:fldCharType="begin"/>
      </w:r>
      <w:r>
        <w:instrText xml:space="preserve"> PAGEREF _Toc1039324963 \h </w:instrText>
      </w:r>
      <w:r>
        <w:fldChar w:fldCharType="separate"/>
      </w:r>
      <w:r>
        <w:t>ix</w:t>
      </w:r>
      <w:r>
        <w:fldChar w:fldCharType="end"/>
      </w:r>
      <w:r>
        <w:rPr>
          <w:rFonts w:ascii="Arial" w:hAnsi="Arial" w:eastAsia="Arial" w:cs="Arial"/>
          <w:i/>
          <w:color w:val="000000"/>
        </w:rPr>
        <w:fldChar w:fldCharType="end"/>
      </w:r>
    </w:p>
    <w:p w14:paraId="21584651">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_Toc302668443 </w:instrText>
      </w:r>
      <w:r>
        <w:rPr>
          <w:rFonts w:ascii="Arial" w:hAnsi="Arial" w:eastAsia="Arial" w:cs="Arial"/>
          <w:i/>
        </w:rPr>
        <w:fldChar w:fldCharType="separate"/>
      </w:r>
      <w:r>
        <w:rPr>
          <w:rFonts w:ascii="Arial" w:hAnsi="Arial" w:eastAsia="Arial" w:cs="Arial"/>
          <w:i w:val="0"/>
        </w:rPr>
        <w:t>ABSTRACT</w:t>
      </w:r>
      <w:r>
        <w:tab/>
      </w:r>
      <w:r>
        <w:fldChar w:fldCharType="begin"/>
      </w:r>
      <w:r>
        <w:instrText xml:space="preserve"> PAGEREF _Toc302668443 \h </w:instrText>
      </w:r>
      <w:r>
        <w:fldChar w:fldCharType="separate"/>
      </w:r>
      <w:r>
        <w:t>x</w:t>
      </w:r>
      <w:r>
        <w:fldChar w:fldCharType="end"/>
      </w:r>
      <w:r>
        <w:rPr>
          <w:rFonts w:ascii="Arial" w:hAnsi="Arial" w:eastAsia="Arial" w:cs="Arial"/>
          <w:i/>
          <w:color w:val="000000"/>
        </w:rPr>
        <w:fldChar w:fldCharType="end"/>
      </w:r>
    </w:p>
    <w:p w14:paraId="58D1E017">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_Toc1707245405 </w:instrText>
      </w:r>
      <w:r>
        <w:rPr>
          <w:rFonts w:ascii="Arial" w:hAnsi="Arial" w:eastAsia="Arial" w:cs="Arial"/>
          <w:i/>
        </w:rPr>
        <w:fldChar w:fldCharType="separate"/>
      </w:r>
      <w:r>
        <w:rPr>
          <w:rFonts w:ascii="Arial" w:hAnsi="Arial" w:eastAsia="Arial" w:cs="Arial"/>
          <w:i w:val="0"/>
        </w:rPr>
        <w:t>1. Introduction</w:t>
      </w:r>
      <w:r>
        <w:tab/>
      </w:r>
      <w:r>
        <w:fldChar w:fldCharType="begin"/>
      </w:r>
      <w:r>
        <w:instrText xml:space="preserve"> PAGEREF _Toc1707245405 \h </w:instrText>
      </w:r>
      <w:r>
        <w:fldChar w:fldCharType="separate"/>
      </w:r>
      <w:r>
        <w:t>1</w:t>
      </w:r>
      <w:r>
        <w:fldChar w:fldCharType="end"/>
      </w:r>
      <w:r>
        <w:rPr>
          <w:rFonts w:ascii="Arial" w:hAnsi="Arial" w:eastAsia="Arial" w:cs="Arial"/>
          <w:i/>
          <w:color w:val="000000"/>
        </w:rPr>
        <w:fldChar w:fldCharType="end"/>
      </w:r>
    </w:p>
    <w:p w14:paraId="28BFDC23">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_Toc1144514268 </w:instrText>
      </w:r>
      <w:r>
        <w:rPr>
          <w:rFonts w:ascii="Arial" w:hAnsi="Arial" w:eastAsia="Arial" w:cs="Arial"/>
          <w:i/>
        </w:rPr>
        <w:fldChar w:fldCharType="separate"/>
      </w:r>
      <w:r>
        <w:rPr>
          <w:rFonts w:ascii="Arial" w:hAnsi="Arial" w:eastAsia="Arial" w:cs="Arial"/>
          <w:i w:val="0"/>
        </w:rPr>
        <w:t>1.1 Background and context</w:t>
      </w:r>
      <w:r>
        <w:tab/>
      </w:r>
      <w:r>
        <w:fldChar w:fldCharType="begin"/>
      </w:r>
      <w:r>
        <w:instrText xml:space="preserve"> PAGEREF _Toc1144514268 \h </w:instrText>
      </w:r>
      <w:r>
        <w:fldChar w:fldCharType="separate"/>
      </w:r>
      <w:r>
        <w:t>1</w:t>
      </w:r>
      <w:r>
        <w:fldChar w:fldCharType="end"/>
      </w:r>
      <w:r>
        <w:rPr>
          <w:rFonts w:ascii="Arial" w:hAnsi="Arial" w:eastAsia="Arial" w:cs="Arial"/>
          <w:i/>
          <w:color w:val="000000"/>
        </w:rPr>
        <w:fldChar w:fldCharType="end"/>
      </w:r>
    </w:p>
    <w:p w14:paraId="00E3569C">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_Toc840276097 </w:instrText>
      </w:r>
      <w:r>
        <w:rPr>
          <w:rFonts w:ascii="Arial" w:hAnsi="Arial" w:eastAsia="Arial" w:cs="Arial"/>
          <w:i/>
        </w:rPr>
        <w:fldChar w:fldCharType="separate"/>
      </w:r>
      <w:r>
        <w:rPr>
          <w:rFonts w:ascii="Arial" w:hAnsi="Arial" w:eastAsia="Arial" w:cs="Arial"/>
          <w:i w:val="0"/>
        </w:rPr>
        <w:t>1.2 Problem statement</w:t>
      </w:r>
      <w:r>
        <w:tab/>
      </w:r>
      <w:r>
        <w:fldChar w:fldCharType="begin"/>
      </w:r>
      <w:r>
        <w:instrText xml:space="preserve"> PAGEREF _Toc840276097 \h </w:instrText>
      </w:r>
      <w:r>
        <w:fldChar w:fldCharType="separate"/>
      </w:r>
      <w:r>
        <w:t>1</w:t>
      </w:r>
      <w:r>
        <w:fldChar w:fldCharType="end"/>
      </w:r>
      <w:r>
        <w:rPr>
          <w:rFonts w:ascii="Arial" w:hAnsi="Arial" w:eastAsia="Arial" w:cs="Arial"/>
          <w:i/>
          <w:color w:val="000000"/>
        </w:rPr>
        <w:fldChar w:fldCharType="end"/>
      </w:r>
    </w:p>
    <w:p w14:paraId="0215ECB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_Toc667899607 </w:instrText>
      </w:r>
      <w:r>
        <w:rPr>
          <w:rFonts w:ascii="Arial" w:hAnsi="Arial" w:eastAsia="Arial" w:cs="Arial"/>
          <w:i/>
        </w:rPr>
        <w:fldChar w:fldCharType="separate"/>
      </w:r>
      <w:r>
        <w:rPr>
          <w:rFonts w:ascii="Arial" w:hAnsi="Arial" w:eastAsia="Arial" w:cs="Arial"/>
          <w:i w:val="0"/>
        </w:rPr>
        <w:t>1.3 Research aim</w:t>
      </w:r>
      <w:r>
        <w:tab/>
      </w:r>
      <w:r>
        <w:fldChar w:fldCharType="begin"/>
      </w:r>
      <w:r>
        <w:instrText xml:space="preserve"> PAGEREF _Toc667899607 \h </w:instrText>
      </w:r>
      <w:r>
        <w:fldChar w:fldCharType="separate"/>
      </w:r>
      <w:r>
        <w:t>2</w:t>
      </w:r>
      <w:r>
        <w:fldChar w:fldCharType="end"/>
      </w:r>
      <w:r>
        <w:rPr>
          <w:rFonts w:ascii="Arial" w:hAnsi="Arial" w:eastAsia="Arial" w:cs="Arial"/>
          <w:i/>
          <w:color w:val="000000"/>
        </w:rPr>
        <w:fldChar w:fldCharType="end"/>
      </w:r>
    </w:p>
    <w:p w14:paraId="427DBEF7">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_Toc491671980 </w:instrText>
      </w:r>
      <w:r>
        <w:rPr>
          <w:rFonts w:ascii="Arial" w:hAnsi="Arial" w:eastAsia="Arial" w:cs="Arial"/>
          <w:i/>
        </w:rPr>
        <w:fldChar w:fldCharType="separate"/>
      </w:r>
      <w:r>
        <w:rPr>
          <w:rFonts w:ascii="Arial" w:hAnsi="Arial" w:eastAsia="Arial" w:cs="Arial"/>
          <w:i w:val="0"/>
        </w:rPr>
        <w:t>1.4 Research questions</w:t>
      </w:r>
      <w:r>
        <w:tab/>
      </w:r>
      <w:r>
        <w:fldChar w:fldCharType="begin"/>
      </w:r>
      <w:r>
        <w:instrText xml:space="preserve"> PAGEREF _Toc491671980 \h </w:instrText>
      </w:r>
      <w:r>
        <w:fldChar w:fldCharType="separate"/>
      </w:r>
      <w:r>
        <w:t>2</w:t>
      </w:r>
      <w:r>
        <w:fldChar w:fldCharType="end"/>
      </w:r>
      <w:r>
        <w:rPr>
          <w:rFonts w:ascii="Arial" w:hAnsi="Arial" w:eastAsia="Arial" w:cs="Arial"/>
          <w:i/>
          <w:color w:val="000000"/>
        </w:rPr>
        <w:fldChar w:fldCharType="end"/>
      </w:r>
    </w:p>
    <w:p w14:paraId="0687A13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_Toc1591652752 </w:instrText>
      </w:r>
      <w:r>
        <w:rPr>
          <w:rFonts w:ascii="Arial" w:hAnsi="Arial" w:eastAsia="Arial" w:cs="Arial"/>
          <w:i/>
        </w:rPr>
        <w:fldChar w:fldCharType="separate"/>
      </w:r>
      <w:r>
        <w:rPr>
          <w:rFonts w:ascii="Arial" w:hAnsi="Arial" w:eastAsia="Arial" w:cs="Arial"/>
          <w:i w:val="0"/>
        </w:rPr>
        <w:t>1.5 Hypotheses</w:t>
      </w:r>
      <w:r>
        <w:tab/>
      </w:r>
      <w:r>
        <w:fldChar w:fldCharType="begin"/>
      </w:r>
      <w:r>
        <w:instrText xml:space="preserve"> PAGEREF _Toc1591652752 \h </w:instrText>
      </w:r>
      <w:r>
        <w:fldChar w:fldCharType="separate"/>
      </w:r>
      <w:r>
        <w:t>2</w:t>
      </w:r>
      <w:r>
        <w:fldChar w:fldCharType="end"/>
      </w:r>
      <w:r>
        <w:rPr>
          <w:rFonts w:ascii="Arial" w:hAnsi="Arial" w:eastAsia="Arial" w:cs="Arial"/>
          <w:i/>
          <w:color w:val="000000"/>
        </w:rPr>
        <w:fldChar w:fldCharType="end"/>
      </w:r>
    </w:p>
    <w:p w14:paraId="31CF74B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_Toc1851495832 </w:instrText>
      </w:r>
      <w:r>
        <w:rPr>
          <w:rFonts w:ascii="Arial" w:hAnsi="Arial" w:eastAsia="Arial" w:cs="Arial"/>
          <w:i/>
        </w:rPr>
        <w:fldChar w:fldCharType="separate"/>
      </w:r>
      <w:r>
        <w:rPr>
          <w:rFonts w:ascii="Arial" w:hAnsi="Arial" w:eastAsia="Arial" w:cs="Arial"/>
          <w:i w:val="0"/>
        </w:rPr>
        <w:t>1.6 Contributions</w:t>
      </w:r>
      <w:r>
        <w:tab/>
      </w:r>
      <w:r>
        <w:fldChar w:fldCharType="begin"/>
      </w:r>
      <w:r>
        <w:instrText xml:space="preserve"> PAGEREF _Toc1851495832 \h </w:instrText>
      </w:r>
      <w:r>
        <w:fldChar w:fldCharType="separate"/>
      </w:r>
      <w:r>
        <w:t>3</w:t>
      </w:r>
      <w:r>
        <w:fldChar w:fldCharType="end"/>
      </w:r>
      <w:r>
        <w:rPr>
          <w:rFonts w:ascii="Arial" w:hAnsi="Arial" w:eastAsia="Arial" w:cs="Arial"/>
          <w:i/>
          <w:color w:val="000000"/>
        </w:rPr>
        <w:fldChar w:fldCharType="end"/>
      </w:r>
    </w:p>
    <w:p w14:paraId="02EF8B5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_Toc1052403394 </w:instrText>
      </w:r>
      <w:r>
        <w:rPr>
          <w:rFonts w:ascii="Arial" w:hAnsi="Arial" w:eastAsia="Arial" w:cs="Arial"/>
          <w:i/>
        </w:rPr>
        <w:fldChar w:fldCharType="separate"/>
      </w:r>
      <w:r>
        <w:rPr>
          <w:rFonts w:ascii="Arial" w:hAnsi="Arial" w:eastAsia="Arial" w:cs="Arial"/>
          <w:i w:val="0"/>
        </w:rPr>
        <w:t>1.7 Thesis structure</w:t>
      </w:r>
      <w:r>
        <w:tab/>
      </w:r>
      <w:r>
        <w:fldChar w:fldCharType="begin"/>
      </w:r>
      <w:r>
        <w:instrText xml:space="preserve"> PAGEREF _Toc1052403394 \h </w:instrText>
      </w:r>
      <w:r>
        <w:fldChar w:fldCharType="separate"/>
      </w:r>
      <w:r>
        <w:t>3</w:t>
      </w:r>
      <w:r>
        <w:fldChar w:fldCharType="end"/>
      </w:r>
      <w:r>
        <w:rPr>
          <w:rFonts w:ascii="Arial" w:hAnsi="Arial" w:eastAsia="Arial" w:cs="Arial"/>
          <w:i/>
          <w:color w:val="000000"/>
        </w:rPr>
        <w:fldChar w:fldCharType="end"/>
      </w:r>
    </w:p>
    <w:p w14:paraId="373C9B87">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_Toc1068526266 </w:instrText>
      </w:r>
      <w:r>
        <w:rPr>
          <w:rFonts w:ascii="Arial" w:hAnsi="Arial" w:eastAsia="Arial" w:cs="Arial"/>
          <w:i/>
        </w:rPr>
        <w:fldChar w:fldCharType="separate"/>
      </w:r>
      <w:r>
        <w:rPr>
          <w:rFonts w:ascii="Arial" w:hAnsi="Arial" w:eastAsia="Arial" w:cs="Arial"/>
          <w:i w:val="0"/>
        </w:rPr>
        <w:t>2. Literature Review</w:t>
      </w:r>
      <w:r>
        <w:tab/>
      </w:r>
      <w:r>
        <w:fldChar w:fldCharType="begin"/>
      </w:r>
      <w:r>
        <w:instrText xml:space="preserve"> PAGEREF _Toc1068526266 \h </w:instrText>
      </w:r>
      <w:r>
        <w:fldChar w:fldCharType="separate"/>
      </w:r>
      <w:r>
        <w:t>4</w:t>
      </w:r>
      <w:r>
        <w:fldChar w:fldCharType="end"/>
      </w:r>
      <w:r>
        <w:rPr>
          <w:rFonts w:ascii="Arial" w:hAnsi="Arial" w:eastAsia="Arial" w:cs="Arial"/>
          <w:i/>
          <w:color w:val="000000"/>
        </w:rPr>
        <w:fldChar w:fldCharType="end"/>
      </w:r>
    </w:p>
    <w:p w14:paraId="5BA87E7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_Toc1462696448 </w:instrText>
      </w:r>
      <w:r>
        <w:rPr>
          <w:rFonts w:ascii="Arial" w:hAnsi="Arial" w:eastAsia="Arial" w:cs="Arial"/>
          <w:i/>
        </w:rPr>
        <w:fldChar w:fldCharType="separate"/>
      </w:r>
      <w:r>
        <w:rPr>
          <w:rFonts w:ascii="Arial" w:hAnsi="Arial" w:eastAsia="Arial" w:cs="Arial"/>
          <w:i w:val="0"/>
        </w:rPr>
        <w:t>2.1 Introduction to the review</w:t>
      </w:r>
      <w:r>
        <w:tab/>
      </w:r>
      <w:r>
        <w:fldChar w:fldCharType="begin"/>
      </w:r>
      <w:r>
        <w:instrText xml:space="preserve"> PAGEREF _Toc1462696448 \h </w:instrText>
      </w:r>
      <w:r>
        <w:fldChar w:fldCharType="separate"/>
      </w:r>
      <w:r>
        <w:t>4</w:t>
      </w:r>
      <w:r>
        <w:fldChar w:fldCharType="end"/>
      </w:r>
      <w:r>
        <w:rPr>
          <w:rFonts w:ascii="Arial" w:hAnsi="Arial" w:eastAsia="Arial" w:cs="Arial"/>
          <w:i/>
          <w:color w:val="000000"/>
        </w:rPr>
        <w:fldChar w:fldCharType="end"/>
      </w:r>
    </w:p>
    <w:p w14:paraId="72BCCECB">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_Toc1293894327 </w:instrText>
      </w:r>
      <w:r>
        <w:rPr>
          <w:rFonts w:ascii="Arial" w:hAnsi="Arial" w:eastAsia="Arial" w:cs="Arial"/>
          <w:i/>
        </w:rPr>
        <w:fldChar w:fldCharType="separate"/>
      </w:r>
      <w:r>
        <w:rPr>
          <w:rFonts w:ascii="Arial" w:hAnsi="Arial" w:eastAsia="Arial" w:cs="Arial"/>
          <w:i w:val="0"/>
        </w:rPr>
        <w:t>2.2 Precision agriculture and the need for automated livestock monitoring</w:t>
      </w:r>
      <w:r>
        <w:tab/>
      </w:r>
      <w:r>
        <w:fldChar w:fldCharType="begin"/>
      </w:r>
      <w:r>
        <w:instrText xml:space="preserve"> PAGEREF _Toc1293894327 \h </w:instrText>
      </w:r>
      <w:r>
        <w:fldChar w:fldCharType="separate"/>
      </w:r>
      <w:r>
        <w:t>4</w:t>
      </w:r>
      <w:r>
        <w:fldChar w:fldCharType="end"/>
      </w:r>
      <w:r>
        <w:rPr>
          <w:rFonts w:ascii="Arial" w:hAnsi="Arial" w:eastAsia="Arial" w:cs="Arial"/>
          <w:i/>
          <w:color w:val="000000"/>
        </w:rPr>
        <w:fldChar w:fldCharType="end"/>
      </w:r>
    </w:p>
    <w:p w14:paraId="6D953B7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_Toc1062544367 </w:instrText>
      </w:r>
      <w:r>
        <w:rPr>
          <w:rFonts w:ascii="Arial" w:hAnsi="Arial" w:eastAsia="Arial" w:cs="Arial"/>
          <w:i/>
        </w:rPr>
        <w:fldChar w:fldCharType="separate"/>
      </w:r>
      <w:r>
        <w:rPr>
          <w:rFonts w:ascii="Arial" w:hAnsi="Arial" w:eastAsia="Arial" w:cs="Arial"/>
          <w:i w:val="0"/>
        </w:rPr>
        <w:t>2.3 Computer vision for livestock and wildlife</w:t>
      </w:r>
      <w:r>
        <w:tab/>
      </w:r>
      <w:r>
        <w:fldChar w:fldCharType="begin"/>
      </w:r>
      <w:r>
        <w:instrText xml:space="preserve"> PAGEREF _Toc1062544367 \h </w:instrText>
      </w:r>
      <w:r>
        <w:fldChar w:fldCharType="separate"/>
      </w:r>
      <w:r>
        <w:t>5</w:t>
      </w:r>
      <w:r>
        <w:fldChar w:fldCharType="end"/>
      </w:r>
      <w:r>
        <w:rPr>
          <w:rFonts w:ascii="Arial" w:hAnsi="Arial" w:eastAsia="Arial" w:cs="Arial"/>
          <w:i/>
          <w:color w:val="000000"/>
        </w:rPr>
        <w:fldChar w:fldCharType="end"/>
      </w:r>
    </w:p>
    <w:p w14:paraId="2C0B7A3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_Toc1856651364 </w:instrText>
      </w:r>
      <w:r>
        <w:rPr>
          <w:rFonts w:ascii="Arial" w:hAnsi="Arial" w:eastAsia="Arial" w:cs="Arial"/>
          <w:i/>
        </w:rPr>
        <w:fldChar w:fldCharType="separate"/>
      </w:r>
      <w:r>
        <w:rPr>
          <w:rFonts w:ascii="Arial" w:hAnsi="Arial" w:eastAsia="Arial" w:cs="Arial"/>
          <w:i w:val="0"/>
        </w:rPr>
        <w:t>2.3.1 Early work and traditional methods</w:t>
      </w:r>
      <w:r>
        <w:tab/>
      </w:r>
      <w:r>
        <w:fldChar w:fldCharType="begin"/>
      </w:r>
      <w:r>
        <w:instrText xml:space="preserve"> PAGEREF _Toc1856651364 \h </w:instrText>
      </w:r>
      <w:r>
        <w:fldChar w:fldCharType="separate"/>
      </w:r>
      <w:r>
        <w:t>5</w:t>
      </w:r>
      <w:r>
        <w:fldChar w:fldCharType="end"/>
      </w:r>
      <w:r>
        <w:rPr>
          <w:rFonts w:ascii="Arial" w:hAnsi="Arial" w:eastAsia="Arial" w:cs="Arial"/>
          <w:i/>
          <w:color w:val="000000"/>
        </w:rPr>
        <w:fldChar w:fldCharType="end"/>
      </w:r>
    </w:p>
    <w:p w14:paraId="27A3A45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_Toc1802083838 </w:instrText>
      </w:r>
      <w:r>
        <w:rPr>
          <w:rFonts w:ascii="Arial" w:hAnsi="Arial" w:eastAsia="Arial" w:cs="Arial"/>
          <w:i/>
        </w:rPr>
        <w:fldChar w:fldCharType="separate"/>
      </w:r>
      <w:r>
        <w:rPr>
          <w:rFonts w:ascii="Arial" w:hAnsi="Arial" w:eastAsia="Arial" w:cs="Arial"/>
          <w:i w:val="0"/>
        </w:rPr>
        <w:t>2.3.2 The deep learning shift</w:t>
      </w:r>
      <w:r>
        <w:tab/>
      </w:r>
      <w:r>
        <w:fldChar w:fldCharType="begin"/>
      </w:r>
      <w:r>
        <w:instrText xml:space="preserve"> PAGEREF _Toc1802083838 \h </w:instrText>
      </w:r>
      <w:r>
        <w:fldChar w:fldCharType="separate"/>
      </w:r>
      <w:r>
        <w:t>5</w:t>
      </w:r>
      <w:r>
        <w:fldChar w:fldCharType="end"/>
      </w:r>
      <w:r>
        <w:rPr>
          <w:rFonts w:ascii="Arial" w:hAnsi="Arial" w:eastAsia="Arial" w:cs="Arial"/>
          <w:i/>
          <w:color w:val="000000"/>
        </w:rPr>
        <w:fldChar w:fldCharType="end"/>
      </w:r>
    </w:p>
    <w:p w14:paraId="258AE58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_Toc1661191625 </w:instrText>
      </w:r>
      <w:r>
        <w:rPr>
          <w:rFonts w:ascii="Arial" w:hAnsi="Arial" w:eastAsia="Arial" w:cs="Arial"/>
          <w:i/>
        </w:rPr>
        <w:fldChar w:fldCharType="separate"/>
      </w:r>
      <w:r>
        <w:rPr>
          <w:rFonts w:ascii="Arial" w:hAnsi="Arial" w:eastAsia="Arial" w:cs="Arial"/>
          <w:i w:val="0"/>
        </w:rPr>
        <w:t>2.3.3 Animal-specific applications</w:t>
      </w:r>
      <w:r>
        <w:tab/>
      </w:r>
      <w:r>
        <w:fldChar w:fldCharType="begin"/>
      </w:r>
      <w:r>
        <w:instrText xml:space="preserve"> PAGEREF _Toc1661191625 \h </w:instrText>
      </w:r>
      <w:r>
        <w:fldChar w:fldCharType="separate"/>
      </w:r>
      <w:r>
        <w:t>6</w:t>
      </w:r>
      <w:r>
        <w:fldChar w:fldCharType="end"/>
      </w:r>
      <w:r>
        <w:rPr>
          <w:rFonts w:ascii="Arial" w:hAnsi="Arial" w:eastAsia="Arial" w:cs="Arial"/>
          <w:i/>
          <w:color w:val="000000"/>
        </w:rPr>
        <w:fldChar w:fldCharType="end"/>
      </w:r>
    </w:p>
    <w:p w14:paraId="01FA92C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_Toc212746728 </w:instrText>
      </w:r>
      <w:r>
        <w:rPr>
          <w:rFonts w:ascii="Arial" w:hAnsi="Arial" w:eastAsia="Arial" w:cs="Arial"/>
          <w:i/>
        </w:rPr>
        <w:fldChar w:fldCharType="separate"/>
      </w:r>
      <w:r>
        <w:rPr>
          <w:rFonts w:ascii="Arial" w:hAnsi="Arial" w:eastAsia="Arial" w:cs="Arial"/>
          <w:i w:val="0"/>
        </w:rPr>
        <w:t>2.4 Convolutional neural networks for image classification</w:t>
      </w:r>
      <w:r>
        <w:tab/>
      </w:r>
      <w:r>
        <w:fldChar w:fldCharType="begin"/>
      </w:r>
      <w:r>
        <w:instrText xml:space="preserve"> PAGEREF _Toc212746728 \h </w:instrText>
      </w:r>
      <w:r>
        <w:fldChar w:fldCharType="separate"/>
      </w:r>
      <w:r>
        <w:t>6</w:t>
      </w:r>
      <w:r>
        <w:fldChar w:fldCharType="end"/>
      </w:r>
      <w:r>
        <w:rPr>
          <w:rFonts w:ascii="Arial" w:hAnsi="Arial" w:eastAsia="Arial" w:cs="Arial"/>
          <w:i/>
          <w:color w:val="000000"/>
        </w:rPr>
        <w:fldChar w:fldCharType="end"/>
      </w:r>
    </w:p>
    <w:p w14:paraId="265E4C1C">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_Toc73985241 </w:instrText>
      </w:r>
      <w:r>
        <w:rPr>
          <w:rFonts w:ascii="Arial" w:hAnsi="Arial" w:eastAsia="Arial" w:cs="Arial"/>
          <w:i/>
        </w:rPr>
        <w:fldChar w:fldCharType="separate"/>
      </w:r>
      <w:r>
        <w:rPr>
          <w:rFonts w:ascii="Arial" w:hAnsi="Arial" w:eastAsia="Arial" w:cs="Arial"/>
          <w:i w:val="0"/>
        </w:rPr>
        <w:t>2.4.1 Building blocks</w:t>
      </w:r>
      <w:r>
        <w:tab/>
      </w:r>
      <w:r>
        <w:fldChar w:fldCharType="begin"/>
      </w:r>
      <w:r>
        <w:instrText xml:space="preserve"> PAGEREF _Toc73985241 \h </w:instrText>
      </w:r>
      <w:r>
        <w:fldChar w:fldCharType="separate"/>
      </w:r>
      <w:r>
        <w:t>6</w:t>
      </w:r>
      <w:r>
        <w:fldChar w:fldCharType="end"/>
      </w:r>
      <w:r>
        <w:rPr>
          <w:rFonts w:ascii="Arial" w:hAnsi="Arial" w:eastAsia="Arial" w:cs="Arial"/>
          <w:i/>
          <w:color w:val="000000"/>
        </w:rPr>
        <w:fldChar w:fldCharType="end"/>
      </w:r>
    </w:p>
    <w:p w14:paraId="3CE7F5F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_Toc76913874 </w:instrText>
      </w:r>
      <w:r>
        <w:rPr>
          <w:rFonts w:ascii="Arial" w:hAnsi="Arial" w:eastAsia="Arial" w:cs="Arial"/>
          <w:i/>
        </w:rPr>
        <w:fldChar w:fldCharType="separate"/>
      </w:r>
      <w:r>
        <w:rPr>
          <w:rFonts w:ascii="Arial" w:hAnsi="Arial" w:eastAsia="Arial" w:cs="Arial"/>
          <w:i w:val="0"/>
        </w:rPr>
        <w:t>2.4.2 Architectures: VGG, ResNet, MobileNet, EfficientNet</w:t>
      </w:r>
      <w:r>
        <w:tab/>
      </w:r>
      <w:r>
        <w:fldChar w:fldCharType="begin"/>
      </w:r>
      <w:r>
        <w:instrText xml:space="preserve"> PAGEREF _Toc76913874 \h </w:instrText>
      </w:r>
      <w:r>
        <w:fldChar w:fldCharType="separate"/>
      </w:r>
      <w:r>
        <w:t>7</w:t>
      </w:r>
      <w:r>
        <w:fldChar w:fldCharType="end"/>
      </w:r>
      <w:r>
        <w:rPr>
          <w:rFonts w:ascii="Arial" w:hAnsi="Arial" w:eastAsia="Arial" w:cs="Arial"/>
          <w:i/>
          <w:color w:val="000000"/>
        </w:rPr>
        <w:fldChar w:fldCharType="end"/>
      </w:r>
    </w:p>
    <w:p w14:paraId="2ADD086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_Toc2053808471 </w:instrText>
      </w:r>
      <w:r>
        <w:rPr>
          <w:rFonts w:ascii="Arial" w:hAnsi="Arial" w:eastAsia="Arial" w:cs="Arial"/>
          <w:i/>
        </w:rPr>
        <w:fldChar w:fldCharType="separate"/>
      </w:r>
      <w:r>
        <w:rPr>
          <w:rFonts w:ascii="Arial" w:hAnsi="Arial" w:eastAsia="Arial" w:cs="Arial"/>
          <w:i w:val="0"/>
        </w:rPr>
        <w:t>2.4.3 Why architecture choice matters for domain adaptation</w:t>
      </w:r>
      <w:r>
        <w:tab/>
      </w:r>
      <w:r>
        <w:fldChar w:fldCharType="begin"/>
      </w:r>
      <w:r>
        <w:instrText xml:space="preserve"> PAGEREF _Toc2053808471 \h </w:instrText>
      </w:r>
      <w:r>
        <w:fldChar w:fldCharType="separate"/>
      </w:r>
      <w:r>
        <w:t>7</w:t>
      </w:r>
      <w:r>
        <w:fldChar w:fldCharType="end"/>
      </w:r>
      <w:r>
        <w:rPr>
          <w:rFonts w:ascii="Arial" w:hAnsi="Arial" w:eastAsia="Arial" w:cs="Arial"/>
          <w:i/>
          <w:color w:val="000000"/>
        </w:rPr>
        <w:fldChar w:fldCharType="end"/>
      </w:r>
    </w:p>
    <w:p w14:paraId="7AC54BC5">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_Toc1854313866 </w:instrText>
      </w:r>
      <w:r>
        <w:rPr>
          <w:rFonts w:ascii="Arial" w:hAnsi="Arial" w:eastAsia="Arial" w:cs="Arial"/>
          <w:i/>
        </w:rPr>
        <w:fldChar w:fldCharType="separate"/>
      </w:r>
      <w:r>
        <w:rPr>
          <w:rFonts w:ascii="Arial" w:hAnsi="Arial" w:eastAsia="Arial" w:cs="Arial"/>
          <w:i w:val="0"/>
        </w:rPr>
        <w:t>2.5 Transfer learning and domain shift</w:t>
      </w:r>
      <w:r>
        <w:tab/>
      </w:r>
      <w:r>
        <w:fldChar w:fldCharType="begin"/>
      </w:r>
      <w:r>
        <w:instrText xml:space="preserve"> PAGEREF _Toc1854313866 \h </w:instrText>
      </w:r>
      <w:r>
        <w:fldChar w:fldCharType="separate"/>
      </w:r>
      <w:r>
        <w:t>8</w:t>
      </w:r>
      <w:r>
        <w:fldChar w:fldCharType="end"/>
      </w:r>
      <w:r>
        <w:rPr>
          <w:rFonts w:ascii="Arial" w:hAnsi="Arial" w:eastAsia="Arial" w:cs="Arial"/>
          <w:i/>
          <w:color w:val="000000"/>
        </w:rPr>
        <w:fldChar w:fldCharType="end"/>
      </w:r>
    </w:p>
    <w:p w14:paraId="17993EB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_Toc1170460598 </w:instrText>
      </w:r>
      <w:r>
        <w:rPr>
          <w:rFonts w:ascii="Arial" w:hAnsi="Arial" w:eastAsia="Arial" w:cs="Arial"/>
          <w:i/>
        </w:rPr>
        <w:fldChar w:fldCharType="separate"/>
      </w:r>
      <w:r>
        <w:rPr>
          <w:rFonts w:ascii="Arial" w:hAnsi="Arial" w:eastAsia="Arial" w:cs="Arial"/>
          <w:i w:val="0"/>
        </w:rPr>
        <w:t>2.5.1 Theoretical grounding</w:t>
      </w:r>
      <w:r>
        <w:tab/>
      </w:r>
      <w:r>
        <w:fldChar w:fldCharType="begin"/>
      </w:r>
      <w:r>
        <w:instrText xml:space="preserve"> PAGEREF _Toc1170460598 \h </w:instrText>
      </w:r>
      <w:r>
        <w:fldChar w:fldCharType="separate"/>
      </w:r>
      <w:r>
        <w:t>8</w:t>
      </w:r>
      <w:r>
        <w:fldChar w:fldCharType="end"/>
      </w:r>
      <w:r>
        <w:rPr>
          <w:rFonts w:ascii="Arial" w:hAnsi="Arial" w:eastAsia="Arial" w:cs="Arial"/>
          <w:i/>
          <w:color w:val="000000"/>
        </w:rPr>
        <w:fldChar w:fldCharType="end"/>
      </w:r>
    </w:p>
    <w:p w14:paraId="4FDBFDAE">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_Toc981064066 </w:instrText>
      </w:r>
      <w:r>
        <w:rPr>
          <w:rFonts w:ascii="Arial" w:hAnsi="Arial" w:eastAsia="Arial" w:cs="Arial"/>
          <w:i/>
        </w:rPr>
        <w:fldChar w:fldCharType="separate"/>
      </w:r>
      <w:r>
        <w:rPr>
          <w:rFonts w:ascii="Arial" w:hAnsi="Arial" w:eastAsia="Arial" w:cs="Arial"/>
          <w:i w:val="0"/>
        </w:rPr>
        <w:t>2.5.2 Feature extraction vs fine-tuning</w:t>
      </w:r>
      <w:r>
        <w:tab/>
      </w:r>
      <w:r>
        <w:fldChar w:fldCharType="begin"/>
      </w:r>
      <w:r>
        <w:instrText xml:space="preserve"> PAGEREF _Toc981064066 \h </w:instrText>
      </w:r>
      <w:r>
        <w:fldChar w:fldCharType="separate"/>
      </w:r>
      <w:r>
        <w:t>8</w:t>
      </w:r>
      <w:r>
        <w:fldChar w:fldCharType="end"/>
      </w:r>
      <w:r>
        <w:rPr>
          <w:rFonts w:ascii="Arial" w:hAnsi="Arial" w:eastAsia="Arial" w:cs="Arial"/>
          <w:i/>
          <w:color w:val="000000"/>
        </w:rPr>
        <w:fldChar w:fldCharType="end"/>
      </w:r>
    </w:p>
    <w:p w14:paraId="66D6FD7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_Toc364315596 </w:instrText>
      </w:r>
      <w:r>
        <w:rPr>
          <w:rFonts w:ascii="Arial" w:hAnsi="Arial" w:eastAsia="Arial" w:cs="Arial"/>
          <w:i/>
        </w:rPr>
        <w:fldChar w:fldCharType="separate"/>
      </w:r>
      <w:r>
        <w:rPr>
          <w:rFonts w:ascii="Arial" w:hAnsi="Arial" w:eastAsia="Arial" w:cs="Arial"/>
          <w:i w:val="0"/>
        </w:rPr>
        <w:t>2.5.3 Evidence from agricultural computer vision</w:t>
      </w:r>
      <w:r>
        <w:tab/>
      </w:r>
      <w:r>
        <w:fldChar w:fldCharType="begin"/>
      </w:r>
      <w:r>
        <w:instrText xml:space="preserve"> PAGEREF _Toc364315596 \h </w:instrText>
      </w:r>
      <w:r>
        <w:fldChar w:fldCharType="separate"/>
      </w:r>
      <w:r>
        <w:t>8</w:t>
      </w:r>
      <w:r>
        <w:fldChar w:fldCharType="end"/>
      </w:r>
      <w:r>
        <w:rPr>
          <w:rFonts w:ascii="Arial" w:hAnsi="Arial" w:eastAsia="Arial" w:cs="Arial"/>
          <w:i/>
          <w:color w:val="000000"/>
        </w:rPr>
        <w:fldChar w:fldCharType="end"/>
      </w:r>
    </w:p>
    <w:p w14:paraId="4C58253B">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_Toc576344375 </w:instrText>
      </w:r>
      <w:r>
        <w:rPr>
          <w:rFonts w:ascii="Arial" w:hAnsi="Arial" w:eastAsia="Arial" w:cs="Arial"/>
          <w:i/>
        </w:rPr>
        <w:fldChar w:fldCharType="separate"/>
      </w:r>
      <w:r>
        <w:rPr>
          <w:rFonts w:ascii="Arial" w:hAnsi="Arial" w:eastAsia="Arial" w:cs="Arial"/>
          <w:i w:val="0"/>
        </w:rPr>
        <w:t>2.5.4 Critical perspective: ImageNet is not a universal feature extractor</w:t>
      </w:r>
      <w:r>
        <w:tab/>
      </w:r>
      <w:r>
        <w:fldChar w:fldCharType="begin"/>
      </w:r>
      <w:r>
        <w:instrText xml:space="preserve"> PAGEREF _Toc576344375 \h </w:instrText>
      </w:r>
      <w:r>
        <w:fldChar w:fldCharType="separate"/>
      </w:r>
      <w:r>
        <w:t>8</w:t>
      </w:r>
      <w:r>
        <w:fldChar w:fldCharType="end"/>
      </w:r>
      <w:r>
        <w:rPr>
          <w:rFonts w:ascii="Arial" w:hAnsi="Arial" w:eastAsia="Arial" w:cs="Arial"/>
          <w:i/>
          <w:color w:val="000000"/>
        </w:rPr>
        <w:fldChar w:fldCharType="end"/>
      </w:r>
    </w:p>
    <w:p w14:paraId="7E0C619B">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_Toc1468662655 </w:instrText>
      </w:r>
      <w:r>
        <w:rPr>
          <w:rFonts w:ascii="Arial" w:hAnsi="Arial" w:eastAsia="Arial" w:cs="Arial"/>
          <w:i/>
        </w:rPr>
        <w:fldChar w:fldCharType="separate"/>
      </w:r>
      <w:r>
        <w:rPr>
          <w:rFonts w:ascii="Arial" w:hAnsi="Arial" w:eastAsia="Arial" w:cs="Arial"/>
          <w:i w:val="0"/>
        </w:rPr>
        <w:t>2.6 Object detection and counting</w:t>
      </w:r>
      <w:r>
        <w:tab/>
      </w:r>
      <w:r>
        <w:fldChar w:fldCharType="begin"/>
      </w:r>
      <w:r>
        <w:instrText xml:space="preserve"> PAGEREF _Toc1468662655 \h </w:instrText>
      </w:r>
      <w:r>
        <w:fldChar w:fldCharType="separate"/>
      </w:r>
      <w:r>
        <w:t>9</w:t>
      </w:r>
      <w:r>
        <w:fldChar w:fldCharType="end"/>
      </w:r>
      <w:r>
        <w:rPr>
          <w:rFonts w:ascii="Arial" w:hAnsi="Arial" w:eastAsia="Arial" w:cs="Arial"/>
          <w:i/>
          <w:color w:val="000000"/>
        </w:rPr>
        <w:fldChar w:fldCharType="end"/>
      </w:r>
    </w:p>
    <w:p w14:paraId="3ADF9AAB">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_Toc636203967 </w:instrText>
      </w:r>
      <w:r>
        <w:rPr>
          <w:rFonts w:ascii="Arial" w:hAnsi="Arial" w:eastAsia="Arial" w:cs="Arial"/>
          <w:i/>
        </w:rPr>
        <w:fldChar w:fldCharType="separate"/>
      </w:r>
      <w:r>
        <w:rPr>
          <w:rFonts w:ascii="Arial" w:hAnsi="Arial" w:eastAsia="Arial" w:cs="Arial"/>
          <w:i w:val="0"/>
        </w:rPr>
        <w:t>2.6.1 Two-stage and single-stage detectors</w:t>
      </w:r>
      <w:r>
        <w:tab/>
      </w:r>
      <w:r>
        <w:fldChar w:fldCharType="begin"/>
      </w:r>
      <w:r>
        <w:instrText xml:space="preserve"> PAGEREF _Toc636203967 \h </w:instrText>
      </w:r>
      <w:r>
        <w:fldChar w:fldCharType="separate"/>
      </w:r>
      <w:r>
        <w:t>9</w:t>
      </w:r>
      <w:r>
        <w:fldChar w:fldCharType="end"/>
      </w:r>
      <w:r>
        <w:rPr>
          <w:rFonts w:ascii="Arial" w:hAnsi="Arial" w:eastAsia="Arial" w:cs="Arial"/>
          <w:i/>
          <w:color w:val="000000"/>
        </w:rPr>
        <w:fldChar w:fldCharType="end"/>
      </w:r>
    </w:p>
    <w:p w14:paraId="5B8E67C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_Toc358994956 </w:instrText>
      </w:r>
      <w:r>
        <w:rPr>
          <w:rFonts w:ascii="Arial" w:hAnsi="Arial" w:eastAsia="Arial" w:cs="Arial"/>
          <w:i/>
        </w:rPr>
        <w:fldChar w:fldCharType="separate"/>
      </w:r>
      <w:r>
        <w:rPr>
          <w:rFonts w:ascii="Arial" w:hAnsi="Arial" w:eastAsia="Arial" w:cs="Arial"/>
          <w:i w:val="0"/>
        </w:rPr>
        <w:t>2.6.2 The YOLO family evolution from v1 to v8</w:t>
      </w:r>
      <w:r>
        <w:tab/>
      </w:r>
      <w:r>
        <w:fldChar w:fldCharType="begin"/>
      </w:r>
      <w:r>
        <w:instrText xml:space="preserve"> PAGEREF _Toc358994956 \h </w:instrText>
      </w:r>
      <w:r>
        <w:fldChar w:fldCharType="separate"/>
      </w:r>
      <w:r>
        <w:t>9</w:t>
      </w:r>
      <w:r>
        <w:fldChar w:fldCharType="end"/>
      </w:r>
      <w:r>
        <w:rPr>
          <w:rFonts w:ascii="Arial" w:hAnsi="Arial" w:eastAsia="Arial" w:cs="Arial"/>
          <w:i/>
          <w:color w:val="000000"/>
        </w:rPr>
        <w:fldChar w:fldCharType="end"/>
      </w:r>
    </w:p>
    <w:p w14:paraId="1B508C0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_Toc1346661069 </w:instrText>
      </w:r>
      <w:r>
        <w:rPr>
          <w:rFonts w:ascii="Arial" w:hAnsi="Arial" w:eastAsia="Arial" w:cs="Arial"/>
          <w:i/>
        </w:rPr>
        <w:fldChar w:fldCharType="separate"/>
      </w:r>
      <w:r>
        <w:rPr>
          <w:rFonts w:ascii="Arial" w:hAnsi="Arial" w:eastAsia="Arial" w:cs="Arial"/>
          <w:i w:val="0"/>
        </w:rPr>
        <w:t>2.6.3 Counting from detection: limitations under high occlusion</w:t>
      </w:r>
      <w:r>
        <w:tab/>
      </w:r>
      <w:r>
        <w:fldChar w:fldCharType="begin"/>
      </w:r>
      <w:r>
        <w:instrText xml:space="preserve"> PAGEREF _Toc1346661069 \h </w:instrText>
      </w:r>
      <w:r>
        <w:fldChar w:fldCharType="separate"/>
      </w:r>
      <w:r>
        <w:t>9</w:t>
      </w:r>
      <w:r>
        <w:fldChar w:fldCharType="end"/>
      </w:r>
      <w:r>
        <w:rPr>
          <w:rFonts w:ascii="Arial" w:hAnsi="Arial" w:eastAsia="Arial" w:cs="Arial"/>
          <w:i/>
          <w:color w:val="000000"/>
        </w:rPr>
        <w:fldChar w:fldCharType="end"/>
      </w:r>
    </w:p>
    <w:p w14:paraId="6861EC58">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_Toc1002430950 </w:instrText>
      </w:r>
      <w:r>
        <w:rPr>
          <w:rFonts w:ascii="Arial" w:hAnsi="Arial" w:eastAsia="Arial" w:cs="Arial"/>
          <w:i/>
        </w:rPr>
        <w:fldChar w:fldCharType="separate"/>
      </w:r>
      <w:r>
        <w:rPr>
          <w:rFonts w:ascii="Arial" w:hAnsi="Arial" w:eastAsia="Arial" w:cs="Arial"/>
          <w:i w:val="0"/>
        </w:rPr>
        <w:t>2.6.4 Density-based counting as alternative</w:t>
      </w:r>
      <w:r>
        <w:tab/>
      </w:r>
      <w:r>
        <w:fldChar w:fldCharType="begin"/>
      </w:r>
      <w:r>
        <w:instrText xml:space="preserve"> PAGEREF _Toc1002430950 \h </w:instrText>
      </w:r>
      <w:r>
        <w:fldChar w:fldCharType="separate"/>
      </w:r>
      <w:r>
        <w:t>10</w:t>
      </w:r>
      <w:r>
        <w:fldChar w:fldCharType="end"/>
      </w:r>
      <w:r>
        <w:rPr>
          <w:rFonts w:ascii="Arial" w:hAnsi="Arial" w:eastAsia="Arial" w:cs="Arial"/>
          <w:i/>
          <w:color w:val="000000"/>
        </w:rPr>
        <w:fldChar w:fldCharType="end"/>
      </w:r>
    </w:p>
    <w:p w14:paraId="22633172">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_Toc847765935 </w:instrText>
      </w:r>
      <w:r>
        <w:rPr>
          <w:rFonts w:ascii="Arial" w:hAnsi="Arial" w:eastAsia="Arial" w:cs="Arial"/>
          <w:i/>
        </w:rPr>
        <w:fldChar w:fldCharType="separate"/>
      </w:r>
      <w:r>
        <w:rPr>
          <w:rFonts w:ascii="Arial" w:hAnsi="Arial" w:eastAsia="Arial" w:cs="Arial"/>
          <w:i w:val="0"/>
        </w:rPr>
        <w:t>2.7 Datasets for livestock and wildlife</w:t>
      </w:r>
      <w:r>
        <w:tab/>
      </w:r>
      <w:r>
        <w:fldChar w:fldCharType="begin"/>
      </w:r>
      <w:r>
        <w:instrText xml:space="preserve"> PAGEREF _Toc847765935 \h </w:instrText>
      </w:r>
      <w:r>
        <w:fldChar w:fldCharType="separate"/>
      </w:r>
      <w:r>
        <w:t>10</w:t>
      </w:r>
      <w:r>
        <w:fldChar w:fldCharType="end"/>
      </w:r>
      <w:r>
        <w:rPr>
          <w:rFonts w:ascii="Arial" w:hAnsi="Arial" w:eastAsia="Arial" w:cs="Arial"/>
          <w:i/>
          <w:color w:val="000000"/>
        </w:rPr>
        <w:fldChar w:fldCharType="end"/>
      </w:r>
    </w:p>
    <w:p w14:paraId="12CA349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_Toc1995555347 </w:instrText>
      </w:r>
      <w:r>
        <w:rPr>
          <w:rFonts w:ascii="Arial" w:hAnsi="Arial" w:eastAsia="Arial" w:cs="Arial"/>
          <w:i/>
        </w:rPr>
        <w:fldChar w:fldCharType="separate"/>
      </w:r>
      <w:r>
        <w:rPr>
          <w:rFonts w:ascii="Arial" w:hAnsi="Arial" w:eastAsia="Arial" w:cs="Arial"/>
          <w:i w:val="0"/>
        </w:rPr>
        <w:t>2.8 Hyperparameter optimisation in deep learning</w:t>
      </w:r>
      <w:r>
        <w:tab/>
      </w:r>
      <w:r>
        <w:fldChar w:fldCharType="begin"/>
      </w:r>
      <w:r>
        <w:instrText xml:space="preserve"> PAGEREF _Toc1995555347 \h </w:instrText>
      </w:r>
      <w:r>
        <w:fldChar w:fldCharType="separate"/>
      </w:r>
      <w:r>
        <w:t>10</w:t>
      </w:r>
      <w:r>
        <w:fldChar w:fldCharType="end"/>
      </w:r>
      <w:r>
        <w:rPr>
          <w:rFonts w:ascii="Arial" w:hAnsi="Arial" w:eastAsia="Arial" w:cs="Arial"/>
          <w:i/>
          <w:color w:val="000000"/>
        </w:rPr>
        <w:fldChar w:fldCharType="end"/>
      </w:r>
    </w:p>
    <w:p w14:paraId="42500CCC">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_Toc2046601830 </w:instrText>
      </w:r>
      <w:r>
        <w:rPr>
          <w:rFonts w:ascii="Arial" w:hAnsi="Arial" w:eastAsia="Arial" w:cs="Arial"/>
          <w:i/>
        </w:rPr>
        <w:fldChar w:fldCharType="separate"/>
      </w:r>
      <w:r>
        <w:rPr>
          <w:rFonts w:ascii="Arial" w:hAnsi="Arial" w:eastAsia="Arial" w:cs="Arial"/>
          <w:i w:val="0"/>
        </w:rPr>
        <w:t>2.9 Data augmentation</w:t>
      </w:r>
      <w:r>
        <w:tab/>
      </w:r>
      <w:r>
        <w:fldChar w:fldCharType="begin"/>
      </w:r>
      <w:r>
        <w:instrText xml:space="preserve"> PAGEREF _Toc2046601830 \h </w:instrText>
      </w:r>
      <w:r>
        <w:fldChar w:fldCharType="separate"/>
      </w:r>
      <w:r>
        <w:t>11</w:t>
      </w:r>
      <w:r>
        <w:fldChar w:fldCharType="end"/>
      </w:r>
      <w:r>
        <w:rPr>
          <w:rFonts w:ascii="Arial" w:hAnsi="Arial" w:eastAsia="Arial" w:cs="Arial"/>
          <w:i/>
          <w:color w:val="000000"/>
        </w:rPr>
        <w:fldChar w:fldCharType="end"/>
      </w:r>
    </w:p>
    <w:p w14:paraId="1CC7E3F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_Toc991382811 </w:instrText>
      </w:r>
      <w:r>
        <w:rPr>
          <w:rFonts w:ascii="Arial" w:hAnsi="Arial" w:eastAsia="Arial" w:cs="Arial"/>
          <w:i/>
        </w:rPr>
        <w:fldChar w:fldCharType="separate"/>
      </w:r>
      <w:r>
        <w:rPr>
          <w:rFonts w:ascii="Arial" w:hAnsi="Arial" w:eastAsia="Arial" w:cs="Arial"/>
          <w:i w:val="0"/>
        </w:rPr>
        <w:t>2.10 Interpretability of CNN: Grad-CAM</w:t>
      </w:r>
      <w:r>
        <w:tab/>
      </w:r>
      <w:r>
        <w:fldChar w:fldCharType="begin"/>
      </w:r>
      <w:r>
        <w:instrText xml:space="preserve"> PAGEREF _Toc991382811 \h </w:instrText>
      </w:r>
      <w:r>
        <w:fldChar w:fldCharType="separate"/>
      </w:r>
      <w:r>
        <w:t>11</w:t>
      </w:r>
      <w:r>
        <w:fldChar w:fldCharType="end"/>
      </w:r>
      <w:r>
        <w:rPr>
          <w:rFonts w:ascii="Arial" w:hAnsi="Arial" w:eastAsia="Arial" w:cs="Arial"/>
          <w:i/>
          <w:color w:val="000000"/>
        </w:rPr>
        <w:fldChar w:fldCharType="end"/>
      </w:r>
    </w:p>
    <w:p w14:paraId="25A46F1E">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_Toc1992771051 </w:instrText>
      </w:r>
      <w:r>
        <w:rPr>
          <w:rFonts w:ascii="Arial" w:hAnsi="Arial" w:eastAsia="Arial" w:cs="Arial"/>
          <w:i/>
        </w:rPr>
        <w:fldChar w:fldCharType="separate"/>
      </w:r>
      <w:r>
        <w:rPr>
          <w:rFonts w:ascii="Arial" w:hAnsi="Arial" w:eastAsia="Arial" w:cs="Arial"/>
          <w:i w:val="0"/>
        </w:rPr>
        <w:t>2.11 Statistical comparison of classifiers</w:t>
      </w:r>
      <w:r>
        <w:tab/>
      </w:r>
      <w:r>
        <w:fldChar w:fldCharType="begin"/>
      </w:r>
      <w:r>
        <w:instrText xml:space="preserve"> PAGEREF _Toc1992771051 \h </w:instrText>
      </w:r>
      <w:r>
        <w:fldChar w:fldCharType="separate"/>
      </w:r>
      <w:r>
        <w:t>12</w:t>
      </w:r>
      <w:r>
        <w:fldChar w:fldCharType="end"/>
      </w:r>
      <w:r>
        <w:rPr>
          <w:rFonts w:ascii="Arial" w:hAnsi="Arial" w:eastAsia="Arial" w:cs="Arial"/>
          <w:i/>
          <w:color w:val="000000"/>
        </w:rPr>
        <w:fldChar w:fldCharType="end"/>
      </w:r>
    </w:p>
    <w:p w14:paraId="31300AB3">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_Toc348095545 </w:instrText>
      </w:r>
      <w:r>
        <w:rPr>
          <w:rFonts w:ascii="Arial" w:hAnsi="Arial" w:eastAsia="Arial" w:cs="Arial"/>
          <w:i/>
        </w:rPr>
        <w:fldChar w:fldCharType="separate"/>
      </w:r>
      <w:r>
        <w:rPr>
          <w:rFonts w:ascii="Arial" w:hAnsi="Arial" w:eastAsia="Arial" w:cs="Arial"/>
          <w:i w:val="0"/>
        </w:rPr>
        <w:t>2.12 Environmental robustness and subgroup analysis</w:t>
      </w:r>
      <w:r>
        <w:tab/>
      </w:r>
      <w:r>
        <w:fldChar w:fldCharType="begin"/>
      </w:r>
      <w:r>
        <w:instrText xml:space="preserve"> PAGEREF _Toc348095545 \h </w:instrText>
      </w:r>
      <w:r>
        <w:fldChar w:fldCharType="separate"/>
      </w:r>
      <w:r>
        <w:t>12</w:t>
      </w:r>
      <w:r>
        <w:fldChar w:fldCharType="end"/>
      </w:r>
      <w:r>
        <w:rPr>
          <w:rFonts w:ascii="Arial" w:hAnsi="Arial" w:eastAsia="Arial" w:cs="Arial"/>
          <w:i/>
          <w:color w:val="000000"/>
        </w:rPr>
        <w:fldChar w:fldCharType="end"/>
      </w:r>
    </w:p>
    <w:p w14:paraId="78FBC72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_Toc696370387 </w:instrText>
      </w:r>
      <w:r>
        <w:rPr>
          <w:rFonts w:ascii="Arial" w:hAnsi="Arial" w:eastAsia="Arial" w:cs="Arial"/>
          <w:i/>
        </w:rPr>
        <w:fldChar w:fldCharType="separate"/>
      </w:r>
      <w:r>
        <w:rPr>
          <w:rFonts w:ascii="Arial" w:hAnsi="Arial" w:eastAsia="Arial" w:cs="Arial"/>
          <w:i w:val="0"/>
        </w:rPr>
        <w:t>2.13 Ethics and data governance in agricultural computer vision</w:t>
      </w:r>
      <w:r>
        <w:tab/>
      </w:r>
      <w:r>
        <w:fldChar w:fldCharType="begin"/>
      </w:r>
      <w:r>
        <w:instrText xml:space="preserve"> PAGEREF _Toc696370387 \h </w:instrText>
      </w:r>
      <w:r>
        <w:fldChar w:fldCharType="separate"/>
      </w:r>
      <w:r>
        <w:t>13</w:t>
      </w:r>
      <w:r>
        <w:fldChar w:fldCharType="end"/>
      </w:r>
      <w:r>
        <w:rPr>
          <w:rFonts w:ascii="Arial" w:hAnsi="Arial" w:eastAsia="Arial" w:cs="Arial"/>
          <w:i/>
          <w:color w:val="000000"/>
        </w:rPr>
        <w:fldChar w:fldCharType="end"/>
      </w:r>
    </w:p>
    <w:p w14:paraId="4FB1C47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_Toc111218159 </w:instrText>
      </w:r>
      <w:r>
        <w:rPr>
          <w:rFonts w:ascii="Arial" w:hAnsi="Arial" w:eastAsia="Arial" w:cs="Arial"/>
          <w:i/>
        </w:rPr>
        <w:fldChar w:fldCharType="separate"/>
      </w:r>
      <w:r>
        <w:rPr>
          <w:rFonts w:ascii="Arial" w:hAnsi="Arial" w:eastAsia="Arial" w:cs="Arial"/>
          <w:i w:val="0"/>
        </w:rPr>
        <w:t>2.14 Identified gaps in the literature and positioning of this study</w:t>
      </w:r>
      <w:r>
        <w:tab/>
      </w:r>
      <w:r>
        <w:fldChar w:fldCharType="begin"/>
      </w:r>
      <w:r>
        <w:instrText xml:space="preserve"> PAGEREF _Toc111218159 \h </w:instrText>
      </w:r>
      <w:r>
        <w:fldChar w:fldCharType="separate"/>
      </w:r>
      <w:r>
        <w:t>13</w:t>
      </w:r>
      <w:r>
        <w:fldChar w:fldCharType="end"/>
      </w:r>
      <w:r>
        <w:rPr>
          <w:rFonts w:ascii="Arial" w:hAnsi="Arial" w:eastAsia="Arial" w:cs="Arial"/>
          <w:i/>
          <w:color w:val="000000"/>
        </w:rPr>
        <w:fldChar w:fldCharType="end"/>
      </w:r>
    </w:p>
    <w:p w14:paraId="4847EAC6">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_Toc932825423 </w:instrText>
      </w:r>
      <w:r>
        <w:rPr>
          <w:rFonts w:ascii="Arial" w:hAnsi="Arial" w:eastAsia="Arial" w:cs="Arial"/>
          <w:i/>
        </w:rPr>
        <w:fldChar w:fldCharType="separate"/>
      </w:r>
      <w:r>
        <w:rPr>
          <w:rFonts w:ascii="Arial" w:hAnsi="Arial" w:eastAsia="Arial" w:cs="Arial"/>
          <w:i w:val="0"/>
        </w:rPr>
        <w:t>3. Methodology</w:t>
      </w:r>
      <w:r>
        <w:tab/>
      </w:r>
      <w:r>
        <w:fldChar w:fldCharType="begin"/>
      </w:r>
      <w:r>
        <w:instrText xml:space="preserve"> PAGEREF _Toc932825423 \h </w:instrText>
      </w:r>
      <w:r>
        <w:fldChar w:fldCharType="separate"/>
      </w:r>
      <w:r>
        <w:t>14</w:t>
      </w:r>
      <w:r>
        <w:fldChar w:fldCharType="end"/>
      </w:r>
      <w:r>
        <w:rPr>
          <w:rFonts w:ascii="Arial" w:hAnsi="Arial" w:eastAsia="Arial" w:cs="Arial"/>
          <w:i/>
          <w:color w:val="000000"/>
        </w:rPr>
        <w:fldChar w:fldCharType="end"/>
      </w:r>
    </w:p>
    <w:p w14:paraId="148E248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_Toc1366261261 </w:instrText>
      </w:r>
      <w:r>
        <w:rPr>
          <w:rFonts w:ascii="Arial" w:hAnsi="Arial" w:eastAsia="Arial" w:cs="Arial"/>
          <w:i/>
        </w:rPr>
        <w:fldChar w:fldCharType="separate"/>
      </w:r>
      <w:r>
        <w:rPr>
          <w:rFonts w:ascii="Arial" w:hAnsi="Arial" w:eastAsia="Arial" w:cs="Arial"/>
          <w:i w:val="0"/>
        </w:rPr>
        <w:t>3.1 Research philosophy and approach</w:t>
      </w:r>
      <w:r>
        <w:tab/>
      </w:r>
      <w:r>
        <w:fldChar w:fldCharType="begin"/>
      </w:r>
      <w:r>
        <w:instrText xml:space="preserve"> PAGEREF _Toc1366261261 \h </w:instrText>
      </w:r>
      <w:r>
        <w:fldChar w:fldCharType="separate"/>
      </w:r>
      <w:r>
        <w:t>14</w:t>
      </w:r>
      <w:r>
        <w:fldChar w:fldCharType="end"/>
      </w:r>
      <w:r>
        <w:rPr>
          <w:rFonts w:ascii="Arial" w:hAnsi="Arial" w:eastAsia="Arial" w:cs="Arial"/>
          <w:i/>
          <w:color w:val="000000"/>
        </w:rPr>
        <w:fldChar w:fldCharType="end"/>
      </w:r>
    </w:p>
    <w:p w14:paraId="4B0F4EF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_Toc1857859903 </w:instrText>
      </w:r>
      <w:r>
        <w:rPr>
          <w:rFonts w:ascii="Arial" w:hAnsi="Arial" w:eastAsia="Arial" w:cs="Arial"/>
          <w:i/>
        </w:rPr>
        <w:fldChar w:fldCharType="separate"/>
      </w:r>
      <w:r>
        <w:rPr>
          <w:rFonts w:ascii="Arial" w:hAnsi="Arial" w:eastAsia="Arial" w:cs="Arial"/>
          <w:i w:val="0"/>
        </w:rPr>
        <w:t>3.2 Research design overview</w:t>
      </w:r>
      <w:r>
        <w:tab/>
      </w:r>
      <w:r>
        <w:fldChar w:fldCharType="begin"/>
      </w:r>
      <w:r>
        <w:instrText xml:space="preserve"> PAGEREF _Toc1857859903 \h </w:instrText>
      </w:r>
      <w:r>
        <w:fldChar w:fldCharType="separate"/>
      </w:r>
      <w:r>
        <w:t>14</w:t>
      </w:r>
      <w:r>
        <w:fldChar w:fldCharType="end"/>
      </w:r>
      <w:r>
        <w:rPr>
          <w:rFonts w:ascii="Arial" w:hAnsi="Arial" w:eastAsia="Arial" w:cs="Arial"/>
          <w:i/>
          <w:color w:val="000000"/>
        </w:rPr>
        <w:fldChar w:fldCharType="end"/>
      </w:r>
    </w:p>
    <w:p w14:paraId="6EA0B254">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_Toc639162341 </w:instrText>
      </w:r>
      <w:r>
        <w:rPr>
          <w:rFonts w:ascii="Arial" w:hAnsi="Arial" w:eastAsia="Arial" w:cs="Arial"/>
          <w:i/>
        </w:rPr>
        <w:fldChar w:fldCharType="separate"/>
      </w:r>
      <w:r>
        <w:rPr>
          <w:rFonts w:ascii="Arial" w:hAnsi="Arial" w:eastAsia="Arial" w:cs="Arial"/>
          <w:i w:val="0"/>
        </w:rPr>
        <w:t>3.3 Data sources and acquisition</w:t>
      </w:r>
      <w:r>
        <w:tab/>
      </w:r>
      <w:r>
        <w:fldChar w:fldCharType="begin"/>
      </w:r>
      <w:r>
        <w:instrText xml:space="preserve"> PAGEREF _Toc639162341 \h </w:instrText>
      </w:r>
      <w:r>
        <w:fldChar w:fldCharType="separate"/>
      </w:r>
      <w:r>
        <w:t>15</w:t>
      </w:r>
      <w:r>
        <w:fldChar w:fldCharType="end"/>
      </w:r>
      <w:r>
        <w:rPr>
          <w:rFonts w:ascii="Arial" w:hAnsi="Arial" w:eastAsia="Arial" w:cs="Arial"/>
          <w:i/>
          <w:color w:val="000000"/>
        </w:rPr>
        <w:fldChar w:fldCharType="end"/>
      </w:r>
    </w:p>
    <w:p w14:paraId="4FDFA87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_Toc688262893 </w:instrText>
      </w:r>
      <w:r>
        <w:rPr>
          <w:rFonts w:ascii="Arial" w:hAnsi="Arial" w:eastAsia="Arial" w:cs="Arial"/>
          <w:i/>
        </w:rPr>
        <w:fldChar w:fldCharType="separate"/>
      </w:r>
      <w:r>
        <w:rPr>
          <w:rFonts w:ascii="Arial" w:hAnsi="Arial" w:eastAsia="Arial" w:cs="Arial"/>
          <w:i w:val="0"/>
        </w:rPr>
        <w:t>3.3.1 WAID dataset</w:t>
      </w:r>
      <w:r>
        <w:tab/>
      </w:r>
      <w:r>
        <w:fldChar w:fldCharType="begin"/>
      </w:r>
      <w:r>
        <w:instrText xml:space="preserve"> PAGEREF _Toc688262893 \h </w:instrText>
      </w:r>
      <w:r>
        <w:fldChar w:fldCharType="separate"/>
      </w:r>
      <w:r>
        <w:t>15</w:t>
      </w:r>
      <w:r>
        <w:fldChar w:fldCharType="end"/>
      </w:r>
      <w:r>
        <w:rPr>
          <w:rFonts w:ascii="Arial" w:hAnsi="Arial" w:eastAsia="Arial" w:cs="Arial"/>
          <w:i/>
          <w:color w:val="000000"/>
        </w:rPr>
        <w:fldChar w:fldCharType="end"/>
      </w:r>
    </w:p>
    <w:p w14:paraId="58A3AB8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_Toc1287519909 </w:instrText>
      </w:r>
      <w:r>
        <w:rPr>
          <w:rFonts w:ascii="Arial" w:hAnsi="Arial" w:eastAsia="Arial" w:cs="Arial"/>
          <w:i/>
        </w:rPr>
        <w:fldChar w:fldCharType="separate"/>
      </w:r>
      <w:r>
        <w:rPr>
          <w:rFonts w:ascii="Arial" w:hAnsi="Arial" w:eastAsia="Arial" w:cs="Arial"/>
          <w:i w:val="0"/>
        </w:rPr>
        <w:t>3.3.2 COCO 2017 cow and sheep subset</w:t>
      </w:r>
      <w:r>
        <w:tab/>
      </w:r>
      <w:r>
        <w:fldChar w:fldCharType="begin"/>
      </w:r>
      <w:r>
        <w:instrText xml:space="preserve"> PAGEREF _Toc1287519909 \h </w:instrText>
      </w:r>
      <w:r>
        <w:fldChar w:fldCharType="separate"/>
      </w:r>
      <w:r>
        <w:t>15</w:t>
      </w:r>
      <w:r>
        <w:fldChar w:fldCharType="end"/>
      </w:r>
      <w:r>
        <w:rPr>
          <w:rFonts w:ascii="Arial" w:hAnsi="Arial" w:eastAsia="Arial" w:cs="Arial"/>
          <w:i/>
          <w:color w:val="000000"/>
        </w:rPr>
        <w:fldChar w:fldCharType="end"/>
      </w:r>
    </w:p>
    <w:p w14:paraId="7D5F26E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_Toc1301883391 </w:instrText>
      </w:r>
      <w:r>
        <w:rPr>
          <w:rFonts w:ascii="Arial" w:hAnsi="Arial" w:eastAsia="Arial" w:cs="Arial"/>
          <w:i/>
        </w:rPr>
        <w:fldChar w:fldCharType="separate"/>
      </w:r>
      <w:r>
        <w:rPr>
          <w:rFonts w:ascii="Arial" w:hAnsi="Arial" w:eastAsia="Arial" w:cs="Arial"/>
          <w:i w:val="0"/>
        </w:rPr>
        <w:t>3.3.3 Rationale for combining drone and ground-level data</w:t>
      </w:r>
      <w:r>
        <w:tab/>
      </w:r>
      <w:r>
        <w:fldChar w:fldCharType="begin"/>
      </w:r>
      <w:r>
        <w:instrText xml:space="preserve"> PAGEREF _Toc1301883391 \h </w:instrText>
      </w:r>
      <w:r>
        <w:fldChar w:fldCharType="separate"/>
      </w:r>
      <w:r>
        <w:t>15</w:t>
      </w:r>
      <w:r>
        <w:fldChar w:fldCharType="end"/>
      </w:r>
      <w:r>
        <w:rPr>
          <w:rFonts w:ascii="Arial" w:hAnsi="Arial" w:eastAsia="Arial" w:cs="Arial"/>
          <w:i/>
          <w:color w:val="000000"/>
        </w:rPr>
        <w:fldChar w:fldCharType="end"/>
      </w:r>
    </w:p>
    <w:p w14:paraId="7F2733D3">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_Toc43273254 </w:instrText>
      </w:r>
      <w:r>
        <w:rPr>
          <w:rFonts w:ascii="Arial" w:hAnsi="Arial" w:eastAsia="Arial" w:cs="Arial"/>
          <w:i/>
        </w:rPr>
        <w:fldChar w:fldCharType="separate"/>
      </w:r>
      <w:r>
        <w:rPr>
          <w:rFonts w:ascii="Arial" w:hAnsi="Arial" w:eastAsia="Arial" w:cs="Arial"/>
          <w:i w:val="0"/>
        </w:rPr>
        <w:t>3.4 Exploratory Data Analysis</w:t>
      </w:r>
      <w:r>
        <w:tab/>
      </w:r>
      <w:r>
        <w:fldChar w:fldCharType="begin"/>
      </w:r>
      <w:r>
        <w:instrText xml:space="preserve"> PAGEREF _Toc43273254 \h </w:instrText>
      </w:r>
      <w:r>
        <w:fldChar w:fldCharType="separate"/>
      </w:r>
      <w:r>
        <w:t>16</w:t>
      </w:r>
      <w:r>
        <w:fldChar w:fldCharType="end"/>
      </w:r>
      <w:r>
        <w:rPr>
          <w:rFonts w:ascii="Arial" w:hAnsi="Arial" w:eastAsia="Arial" w:cs="Arial"/>
          <w:i/>
          <w:color w:val="000000"/>
        </w:rPr>
        <w:fldChar w:fldCharType="end"/>
      </w:r>
    </w:p>
    <w:p w14:paraId="03CE304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_Toc1444107292 </w:instrText>
      </w:r>
      <w:r>
        <w:rPr>
          <w:rFonts w:ascii="Arial" w:hAnsi="Arial" w:eastAsia="Arial" w:cs="Arial"/>
          <w:i/>
        </w:rPr>
        <w:fldChar w:fldCharType="separate"/>
      </w:r>
      <w:r>
        <w:rPr>
          <w:rFonts w:ascii="Arial" w:hAnsi="Arial" w:eastAsia="Arial" w:cs="Arial"/>
          <w:i w:val="0"/>
        </w:rPr>
        <w:t>3.4.1 Class distribution and integrity check</w:t>
      </w:r>
      <w:r>
        <w:tab/>
      </w:r>
      <w:r>
        <w:fldChar w:fldCharType="begin"/>
      </w:r>
      <w:r>
        <w:instrText xml:space="preserve"> PAGEREF _Toc1444107292 \h </w:instrText>
      </w:r>
      <w:r>
        <w:fldChar w:fldCharType="separate"/>
      </w:r>
      <w:r>
        <w:t>16</w:t>
      </w:r>
      <w:r>
        <w:fldChar w:fldCharType="end"/>
      </w:r>
      <w:r>
        <w:rPr>
          <w:rFonts w:ascii="Arial" w:hAnsi="Arial" w:eastAsia="Arial" w:cs="Arial"/>
          <w:i/>
          <w:color w:val="000000"/>
        </w:rPr>
        <w:fldChar w:fldCharType="end"/>
      </w:r>
    </w:p>
    <w:p w14:paraId="25940D3E">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_Toc251078250 </w:instrText>
      </w:r>
      <w:r>
        <w:rPr>
          <w:rFonts w:ascii="Arial" w:hAnsi="Arial" w:eastAsia="Arial" w:cs="Arial"/>
          <w:i/>
        </w:rPr>
        <w:fldChar w:fldCharType="separate"/>
      </w:r>
      <w:r>
        <w:rPr>
          <w:rFonts w:ascii="Arial" w:hAnsi="Arial" w:eastAsia="Arial" w:cs="Arial"/>
          <w:i w:val="0"/>
        </w:rPr>
        <w:t>3.4.2 Image-size distributions</w:t>
      </w:r>
      <w:r>
        <w:tab/>
      </w:r>
      <w:r>
        <w:fldChar w:fldCharType="begin"/>
      </w:r>
      <w:r>
        <w:instrText xml:space="preserve"> PAGEREF _Toc251078250 \h </w:instrText>
      </w:r>
      <w:r>
        <w:fldChar w:fldCharType="separate"/>
      </w:r>
      <w:r>
        <w:t>16</w:t>
      </w:r>
      <w:r>
        <w:fldChar w:fldCharType="end"/>
      </w:r>
      <w:r>
        <w:rPr>
          <w:rFonts w:ascii="Arial" w:hAnsi="Arial" w:eastAsia="Arial" w:cs="Arial"/>
          <w:i/>
          <w:color w:val="000000"/>
        </w:rPr>
        <w:fldChar w:fldCharType="end"/>
      </w:r>
    </w:p>
    <w:p w14:paraId="34FE5667">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_Toc66781395 </w:instrText>
      </w:r>
      <w:r>
        <w:rPr>
          <w:rFonts w:ascii="Arial" w:hAnsi="Arial" w:eastAsia="Arial" w:cs="Arial"/>
          <w:i/>
        </w:rPr>
        <w:fldChar w:fldCharType="separate"/>
      </w:r>
      <w:r>
        <w:rPr>
          <w:rFonts w:ascii="Arial" w:hAnsi="Arial" w:eastAsia="Arial" w:cs="Arial"/>
          <w:i w:val="0"/>
        </w:rPr>
        <w:t>3.4.3 Pixel-intensity statistics and Shapiro-Wilk normality</w:t>
      </w:r>
      <w:r>
        <w:tab/>
      </w:r>
      <w:r>
        <w:fldChar w:fldCharType="begin"/>
      </w:r>
      <w:r>
        <w:instrText xml:space="preserve"> PAGEREF _Toc66781395 \h </w:instrText>
      </w:r>
      <w:r>
        <w:fldChar w:fldCharType="separate"/>
      </w:r>
      <w:r>
        <w:t>16</w:t>
      </w:r>
      <w:r>
        <w:fldChar w:fldCharType="end"/>
      </w:r>
      <w:r>
        <w:rPr>
          <w:rFonts w:ascii="Arial" w:hAnsi="Arial" w:eastAsia="Arial" w:cs="Arial"/>
          <w:i/>
          <w:color w:val="000000"/>
        </w:rPr>
        <w:fldChar w:fldCharType="end"/>
      </w:r>
    </w:p>
    <w:p w14:paraId="2283E46C">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_Toc1408442031 </w:instrText>
      </w:r>
      <w:r>
        <w:rPr>
          <w:rFonts w:ascii="Arial" w:hAnsi="Arial" w:eastAsia="Arial" w:cs="Arial"/>
          <w:i/>
        </w:rPr>
        <w:fldChar w:fldCharType="separate"/>
      </w:r>
      <w:r>
        <w:rPr>
          <w:rFonts w:ascii="Arial" w:hAnsi="Arial" w:eastAsia="Arial" w:cs="Arial"/>
          <w:i w:val="0"/>
        </w:rPr>
        <w:t>3.4.4 Outlier detection by IQR</w:t>
      </w:r>
      <w:r>
        <w:tab/>
      </w:r>
      <w:r>
        <w:fldChar w:fldCharType="begin"/>
      </w:r>
      <w:r>
        <w:instrText xml:space="preserve"> PAGEREF _Toc1408442031 \h </w:instrText>
      </w:r>
      <w:r>
        <w:fldChar w:fldCharType="separate"/>
      </w:r>
      <w:r>
        <w:t>17</w:t>
      </w:r>
      <w:r>
        <w:fldChar w:fldCharType="end"/>
      </w:r>
      <w:r>
        <w:rPr>
          <w:rFonts w:ascii="Arial" w:hAnsi="Arial" w:eastAsia="Arial" w:cs="Arial"/>
          <w:i/>
          <w:color w:val="000000"/>
        </w:rPr>
        <w:fldChar w:fldCharType="end"/>
      </w:r>
    </w:p>
    <w:p w14:paraId="2A5A185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_Toc2120457783 </w:instrText>
      </w:r>
      <w:r>
        <w:rPr>
          <w:rFonts w:ascii="Arial" w:hAnsi="Arial" w:eastAsia="Arial" w:cs="Arial"/>
          <w:i/>
        </w:rPr>
        <w:fldChar w:fldCharType="separate"/>
      </w:r>
      <w:r>
        <w:rPr>
          <w:rFonts w:ascii="Arial" w:hAnsi="Arial" w:eastAsia="Arial" w:cs="Arial"/>
          <w:i w:val="0"/>
        </w:rPr>
        <w:t>3.4.5 Bounding-box geometry</w:t>
      </w:r>
      <w:r>
        <w:tab/>
      </w:r>
      <w:r>
        <w:fldChar w:fldCharType="begin"/>
      </w:r>
      <w:r>
        <w:instrText xml:space="preserve"> PAGEREF _Toc2120457783 \h </w:instrText>
      </w:r>
      <w:r>
        <w:fldChar w:fldCharType="separate"/>
      </w:r>
      <w:r>
        <w:t>17</w:t>
      </w:r>
      <w:r>
        <w:fldChar w:fldCharType="end"/>
      </w:r>
      <w:r>
        <w:rPr>
          <w:rFonts w:ascii="Arial" w:hAnsi="Arial" w:eastAsia="Arial" w:cs="Arial"/>
          <w:i/>
          <w:color w:val="000000"/>
        </w:rPr>
        <w:fldChar w:fldCharType="end"/>
      </w:r>
    </w:p>
    <w:p w14:paraId="7E5BD96E">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_Toc1042836916 </w:instrText>
      </w:r>
      <w:r>
        <w:rPr>
          <w:rFonts w:ascii="Arial" w:hAnsi="Arial" w:eastAsia="Arial" w:cs="Arial"/>
          <w:i/>
        </w:rPr>
        <w:fldChar w:fldCharType="separate"/>
      </w:r>
      <w:r>
        <w:rPr>
          <w:rFonts w:ascii="Arial" w:hAnsi="Arial" w:eastAsia="Arial" w:cs="Arial"/>
          <w:i w:val="0"/>
        </w:rPr>
        <w:t>3.4.6 Visual sample inspection</w:t>
      </w:r>
      <w:r>
        <w:tab/>
      </w:r>
      <w:r>
        <w:fldChar w:fldCharType="begin"/>
      </w:r>
      <w:r>
        <w:instrText xml:space="preserve"> PAGEREF _Toc1042836916 \h </w:instrText>
      </w:r>
      <w:r>
        <w:fldChar w:fldCharType="separate"/>
      </w:r>
      <w:r>
        <w:t>17</w:t>
      </w:r>
      <w:r>
        <w:fldChar w:fldCharType="end"/>
      </w:r>
      <w:r>
        <w:rPr>
          <w:rFonts w:ascii="Arial" w:hAnsi="Arial" w:eastAsia="Arial" w:cs="Arial"/>
          <w:i/>
          <w:color w:val="000000"/>
        </w:rPr>
        <w:fldChar w:fldCharType="end"/>
      </w:r>
    </w:p>
    <w:p w14:paraId="59A45235">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_Toc1346004045 </w:instrText>
      </w:r>
      <w:r>
        <w:rPr>
          <w:rFonts w:ascii="Arial" w:hAnsi="Arial" w:eastAsia="Arial" w:cs="Arial"/>
          <w:i/>
        </w:rPr>
        <w:fldChar w:fldCharType="separate"/>
      </w:r>
      <w:r>
        <w:rPr>
          <w:rFonts w:ascii="Arial" w:hAnsi="Arial" w:eastAsia="Arial" w:cs="Arial"/>
          <w:i w:val="0"/>
        </w:rPr>
        <w:t>3.5 Data preprocessing</w:t>
      </w:r>
      <w:r>
        <w:tab/>
      </w:r>
      <w:r>
        <w:fldChar w:fldCharType="begin"/>
      </w:r>
      <w:r>
        <w:instrText xml:space="preserve"> PAGEREF _Toc1346004045 \h </w:instrText>
      </w:r>
      <w:r>
        <w:fldChar w:fldCharType="separate"/>
      </w:r>
      <w:r>
        <w:t>18</w:t>
      </w:r>
      <w:r>
        <w:fldChar w:fldCharType="end"/>
      </w:r>
      <w:r>
        <w:rPr>
          <w:rFonts w:ascii="Arial" w:hAnsi="Arial" w:eastAsia="Arial" w:cs="Arial"/>
          <w:i/>
          <w:color w:val="000000"/>
        </w:rPr>
        <w:fldChar w:fldCharType="end"/>
      </w:r>
    </w:p>
    <w:p w14:paraId="08F2C40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_Toc697246817 </w:instrText>
      </w:r>
      <w:r>
        <w:rPr>
          <w:rFonts w:ascii="Arial" w:hAnsi="Arial" w:eastAsia="Arial" w:cs="Arial"/>
          <w:i/>
        </w:rPr>
        <w:fldChar w:fldCharType="separate"/>
      </w:r>
      <w:r>
        <w:rPr>
          <w:rFonts w:ascii="Arial" w:hAnsi="Arial" w:eastAsia="Arial" w:cs="Arial"/>
          <w:i w:val="0"/>
        </w:rPr>
        <w:t>3.5.1 Class filtering</w:t>
      </w:r>
      <w:r>
        <w:tab/>
      </w:r>
      <w:r>
        <w:fldChar w:fldCharType="begin"/>
      </w:r>
      <w:r>
        <w:instrText xml:space="preserve"> PAGEREF _Toc697246817 \h </w:instrText>
      </w:r>
      <w:r>
        <w:fldChar w:fldCharType="separate"/>
      </w:r>
      <w:r>
        <w:t>18</w:t>
      </w:r>
      <w:r>
        <w:fldChar w:fldCharType="end"/>
      </w:r>
      <w:r>
        <w:rPr>
          <w:rFonts w:ascii="Arial" w:hAnsi="Arial" w:eastAsia="Arial" w:cs="Arial"/>
          <w:i/>
          <w:color w:val="000000"/>
        </w:rPr>
        <w:fldChar w:fldCharType="end"/>
      </w:r>
    </w:p>
    <w:p w14:paraId="3029C34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_Toc1956475287 </w:instrText>
      </w:r>
      <w:r>
        <w:rPr>
          <w:rFonts w:ascii="Arial" w:hAnsi="Arial" w:eastAsia="Arial" w:cs="Arial"/>
          <w:i/>
        </w:rPr>
        <w:fldChar w:fldCharType="separate"/>
      </w:r>
      <w:r>
        <w:rPr>
          <w:rFonts w:ascii="Arial" w:hAnsi="Arial" w:eastAsia="Arial" w:cs="Arial"/>
          <w:i w:val="0"/>
        </w:rPr>
        <w:t>3.5.2 Format unification</w:t>
      </w:r>
      <w:r>
        <w:tab/>
      </w:r>
      <w:r>
        <w:fldChar w:fldCharType="begin"/>
      </w:r>
      <w:r>
        <w:instrText xml:space="preserve"> PAGEREF _Toc1956475287 \h </w:instrText>
      </w:r>
      <w:r>
        <w:fldChar w:fldCharType="separate"/>
      </w:r>
      <w:r>
        <w:t>18</w:t>
      </w:r>
      <w:r>
        <w:fldChar w:fldCharType="end"/>
      </w:r>
      <w:r>
        <w:rPr>
          <w:rFonts w:ascii="Arial" w:hAnsi="Arial" w:eastAsia="Arial" w:cs="Arial"/>
          <w:i/>
          <w:color w:val="000000"/>
        </w:rPr>
        <w:fldChar w:fldCharType="end"/>
      </w:r>
    </w:p>
    <w:p w14:paraId="43D2D8D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_Toc210545745 </w:instrText>
      </w:r>
      <w:r>
        <w:rPr>
          <w:rFonts w:ascii="Arial" w:hAnsi="Arial" w:eastAsia="Arial" w:cs="Arial"/>
          <w:i/>
        </w:rPr>
        <w:fldChar w:fldCharType="separate"/>
      </w:r>
      <w:r>
        <w:rPr>
          <w:rFonts w:ascii="Arial" w:hAnsi="Arial" w:eastAsia="Arial" w:cs="Arial"/>
          <w:i w:val="0"/>
        </w:rPr>
        <w:t>3.5.3 Stratified train, validation, and test split</w:t>
      </w:r>
      <w:r>
        <w:tab/>
      </w:r>
      <w:r>
        <w:fldChar w:fldCharType="begin"/>
      </w:r>
      <w:r>
        <w:instrText xml:space="preserve"> PAGEREF _Toc210545745 \h </w:instrText>
      </w:r>
      <w:r>
        <w:fldChar w:fldCharType="separate"/>
      </w:r>
      <w:r>
        <w:t>18</w:t>
      </w:r>
      <w:r>
        <w:fldChar w:fldCharType="end"/>
      </w:r>
      <w:r>
        <w:rPr>
          <w:rFonts w:ascii="Arial" w:hAnsi="Arial" w:eastAsia="Arial" w:cs="Arial"/>
          <w:i/>
          <w:color w:val="000000"/>
        </w:rPr>
        <w:fldChar w:fldCharType="end"/>
      </w:r>
    </w:p>
    <w:p w14:paraId="1A075128">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_Toc1736769606 </w:instrText>
      </w:r>
      <w:r>
        <w:rPr>
          <w:rFonts w:ascii="Arial" w:hAnsi="Arial" w:eastAsia="Arial" w:cs="Arial"/>
          <w:i/>
        </w:rPr>
        <w:fldChar w:fldCharType="separate"/>
      </w:r>
      <w:r>
        <w:rPr>
          <w:rFonts w:ascii="Arial" w:hAnsi="Arial" w:eastAsia="Arial" w:cs="Arial"/>
          <w:i w:val="0"/>
        </w:rPr>
        <w:t>3.5.4 Crop extraction for classification</w:t>
      </w:r>
      <w:r>
        <w:tab/>
      </w:r>
      <w:r>
        <w:fldChar w:fldCharType="begin"/>
      </w:r>
      <w:r>
        <w:instrText xml:space="preserve"> PAGEREF _Toc1736769606 \h </w:instrText>
      </w:r>
      <w:r>
        <w:fldChar w:fldCharType="separate"/>
      </w:r>
      <w:r>
        <w:t>18</w:t>
      </w:r>
      <w:r>
        <w:fldChar w:fldCharType="end"/>
      </w:r>
      <w:r>
        <w:rPr>
          <w:rFonts w:ascii="Arial" w:hAnsi="Arial" w:eastAsia="Arial" w:cs="Arial"/>
          <w:i/>
          <w:color w:val="000000"/>
        </w:rPr>
        <w:fldChar w:fldCharType="end"/>
      </w:r>
    </w:p>
    <w:p w14:paraId="279895F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_Toc1289038018 </w:instrText>
      </w:r>
      <w:r>
        <w:rPr>
          <w:rFonts w:ascii="Arial" w:hAnsi="Arial" w:eastAsia="Arial" w:cs="Arial"/>
          <w:i/>
        </w:rPr>
        <w:fldChar w:fldCharType="separate"/>
      </w:r>
      <w:r>
        <w:rPr>
          <w:rFonts w:ascii="Arial" w:hAnsi="Arial" w:eastAsia="Arial" w:cs="Arial"/>
          <w:i w:val="0"/>
        </w:rPr>
        <w:t>3.5.5 Auto-generated subgroup labels</w:t>
      </w:r>
      <w:r>
        <w:tab/>
      </w:r>
      <w:r>
        <w:fldChar w:fldCharType="begin"/>
      </w:r>
      <w:r>
        <w:instrText xml:space="preserve"> PAGEREF _Toc1289038018 \h </w:instrText>
      </w:r>
      <w:r>
        <w:fldChar w:fldCharType="separate"/>
      </w:r>
      <w:r>
        <w:t>18</w:t>
      </w:r>
      <w:r>
        <w:fldChar w:fldCharType="end"/>
      </w:r>
      <w:r>
        <w:rPr>
          <w:rFonts w:ascii="Arial" w:hAnsi="Arial" w:eastAsia="Arial" w:cs="Arial"/>
          <w:i/>
          <w:color w:val="000000"/>
        </w:rPr>
        <w:fldChar w:fldCharType="end"/>
      </w:r>
    </w:p>
    <w:p w14:paraId="14DE8204">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_Toc1046937590 </w:instrText>
      </w:r>
      <w:r>
        <w:rPr>
          <w:rFonts w:ascii="Arial" w:hAnsi="Arial" w:eastAsia="Arial" w:cs="Arial"/>
          <w:i/>
        </w:rPr>
        <w:fldChar w:fldCharType="separate"/>
      </w:r>
      <w:r>
        <w:rPr>
          <w:rFonts w:ascii="Arial" w:hAnsi="Arial" w:eastAsia="Arial" w:cs="Arial"/>
          <w:i w:val="0"/>
        </w:rPr>
        <w:t>3.5.6 Encoding decisions</w:t>
      </w:r>
      <w:r>
        <w:tab/>
      </w:r>
      <w:r>
        <w:fldChar w:fldCharType="begin"/>
      </w:r>
      <w:r>
        <w:instrText xml:space="preserve"> PAGEREF _Toc1046937590 \h </w:instrText>
      </w:r>
      <w:r>
        <w:fldChar w:fldCharType="separate"/>
      </w:r>
      <w:r>
        <w:t>19</w:t>
      </w:r>
      <w:r>
        <w:fldChar w:fldCharType="end"/>
      </w:r>
      <w:r>
        <w:rPr>
          <w:rFonts w:ascii="Arial" w:hAnsi="Arial" w:eastAsia="Arial" w:cs="Arial"/>
          <w:i/>
          <w:color w:val="000000"/>
        </w:rPr>
        <w:fldChar w:fldCharType="end"/>
      </w:r>
    </w:p>
    <w:p w14:paraId="37E29A3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_Toc1546555259 </w:instrText>
      </w:r>
      <w:r>
        <w:rPr>
          <w:rFonts w:ascii="Arial" w:hAnsi="Arial" w:eastAsia="Arial" w:cs="Arial"/>
          <w:i/>
        </w:rPr>
        <w:fldChar w:fldCharType="separate"/>
      </w:r>
      <w:r>
        <w:rPr>
          <w:rFonts w:ascii="Arial" w:hAnsi="Arial" w:eastAsia="Arial" w:cs="Arial"/>
          <w:i w:val="0"/>
        </w:rPr>
        <w:t>3.5.7 Scaling decisions</w:t>
      </w:r>
      <w:r>
        <w:tab/>
      </w:r>
      <w:r>
        <w:fldChar w:fldCharType="begin"/>
      </w:r>
      <w:r>
        <w:instrText xml:space="preserve"> PAGEREF _Toc1546555259 \h </w:instrText>
      </w:r>
      <w:r>
        <w:fldChar w:fldCharType="separate"/>
      </w:r>
      <w:r>
        <w:t>19</w:t>
      </w:r>
      <w:r>
        <w:fldChar w:fldCharType="end"/>
      </w:r>
      <w:r>
        <w:rPr>
          <w:rFonts w:ascii="Arial" w:hAnsi="Arial" w:eastAsia="Arial" w:cs="Arial"/>
          <w:i/>
          <w:color w:val="000000"/>
        </w:rPr>
        <w:fldChar w:fldCharType="end"/>
      </w:r>
    </w:p>
    <w:p w14:paraId="3FC34C1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_Toc1959658372 </w:instrText>
      </w:r>
      <w:r>
        <w:rPr>
          <w:rFonts w:ascii="Arial" w:hAnsi="Arial" w:eastAsia="Arial" w:cs="Arial"/>
          <w:i/>
        </w:rPr>
        <w:fldChar w:fldCharType="separate"/>
      </w:r>
      <w:r>
        <w:rPr>
          <w:rFonts w:ascii="Arial" w:hAnsi="Arial" w:eastAsia="Arial" w:cs="Arial"/>
          <w:i w:val="0"/>
        </w:rPr>
        <w:t>3.5.8 Data augmentation strategy</w:t>
      </w:r>
      <w:r>
        <w:tab/>
      </w:r>
      <w:r>
        <w:fldChar w:fldCharType="begin"/>
      </w:r>
      <w:r>
        <w:instrText xml:space="preserve"> PAGEREF _Toc1959658372 \h </w:instrText>
      </w:r>
      <w:r>
        <w:fldChar w:fldCharType="separate"/>
      </w:r>
      <w:r>
        <w:t>19</w:t>
      </w:r>
      <w:r>
        <w:fldChar w:fldCharType="end"/>
      </w:r>
      <w:r>
        <w:rPr>
          <w:rFonts w:ascii="Arial" w:hAnsi="Arial" w:eastAsia="Arial" w:cs="Arial"/>
          <w:i/>
          <w:color w:val="000000"/>
        </w:rPr>
        <w:fldChar w:fldCharType="end"/>
      </w:r>
    </w:p>
    <w:p w14:paraId="274A7FC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_Toc21564165 </w:instrText>
      </w:r>
      <w:r>
        <w:rPr>
          <w:rFonts w:ascii="Arial" w:hAnsi="Arial" w:eastAsia="Arial" w:cs="Arial"/>
          <w:i/>
        </w:rPr>
        <w:fldChar w:fldCharType="separate"/>
      </w:r>
      <w:r>
        <w:rPr>
          <w:rFonts w:ascii="Arial" w:hAnsi="Arial" w:eastAsia="Arial" w:cs="Arial"/>
          <w:i w:val="0"/>
        </w:rPr>
        <w:t>3.6 Model 1: Custom CNN baseline</w:t>
      </w:r>
      <w:r>
        <w:tab/>
      </w:r>
      <w:r>
        <w:fldChar w:fldCharType="begin"/>
      </w:r>
      <w:r>
        <w:instrText xml:space="preserve"> PAGEREF _Toc21564165 \h </w:instrText>
      </w:r>
      <w:r>
        <w:fldChar w:fldCharType="separate"/>
      </w:r>
      <w:r>
        <w:t>20</w:t>
      </w:r>
      <w:r>
        <w:fldChar w:fldCharType="end"/>
      </w:r>
      <w:r>
        <w:rPr>
          <w:rFonts w:ascii="Arial" w:hAnsi="Arial" w:eastAsia="Arial" w:cs="Arial"/>
          <w:i/>
          <w:color w:val="000000"/>
        </w:rPr>
        <w:fldChar w:fldCharType="end"/>
      </w:r>
    </w:p>
    <w:p w14:paraId="204C2094">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_Toc1651668459 </w:instrText>
      </w:r>
      <w:r>
        <w:rPr>
          <w:rFonts w:ascii="Arial" w:hAnsi="Arial" w:eastAsia="Arial" w:cs="Arial"/>
          <w:i/>
        </w:rPr>
        <w:fldChar w:fldCharType="separate"/>
      </w:r>
      <w:r>
        <w:rPr>
          <w:rFonts w:ascii="Arial" w:hAnsi="Arial" w:eastAsia="Arial" w:cs="Arial"/>
          <w:i w:val="0"/>
        </w:rPr>
        <w:t>3.6.1 Motivation</w:t>
      </w:r>
      <w:r>
        <w:tab/>
      </w:r>
      <w:r>
        <w:fldChar w:fldCharType="begin"/>
      </w:r>
      <w:r>
        <w:instrText xml:space="preserve"> PAGEREF _Toc1651668459 \h </w:instrText>
      </w:r>
      <w:r>
        <w:fldChar w:fldCharType="separate"/>
      </w:r>
      <w:r>
        <w:t>20</w:t>
      </w:r>
      <w:r>
        <w:fldChar w:fldCharType="end"/>
      </w:r>
      <w:r>
        <w:rPr>
          <w:rFonts w:ascii="Arial" w:hAnsi="Arial" w:eastAsia="Arial" w:cs="Arial"/>
          <w:i/>
          <w:color w:val="000000"/>
        </w:rPr>
        <w:fldChar w:fldCharType="end"/>
      </w:r>
    </w:p>
    <w:p w14:paraId="10A2C4E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_Toc1218169291 </w:instrText>
      </w:r>
      <w:r>
        <w:rPr>
          <w:rFonts w:ascii="Arial" w:hAnsi="Arial" w:eastAsia="Arial" w:cs="Arial"/>
          <w:i/>
        </w:rPr>
        <w:fldChar w:fldCharType="separate"/>
      </w:r>
      <w:r>
        <w:rPr>
          <w:rFonts w:ascii="Arial" w:hAnsi="Arial" w:eastAsia="Arial" w:cs="Arial"/>
          <w:i w:val="0"/>
        </w:rPr>
        <w:t>3.6.2 Architecture detail</w:t>
      </w:r>
      <w:r>
        <w:tab/>
      </w:r>
      <w:r>
        <w:fldChar w:fldCharType="begin"/>
      </w:r>
      <w:r>
        <w:instrText xml:space="preserve"> PAGEREF _Toc1218169291 \h </w:instrText>
      </w:r>
      <w:r>
        <w:fldChar w:fldCharType="separate"/>
      </w:r>
      <w:r>
        <w:t>20</w:t>
      </w:r>
      <w:r>
        <w:fldChar w:fldCharType="end"/>
      </w:r>
      <w:r>
        <w:rPr>
          <w:rFonts w:ascii="Arial" w:hAnsi="Arial" w:eastAsia="Arial" w:cs="Arial"/>
          <w:i/>
          <w:color w:val="000000"/>
        </w:rPr>
        <w:fldChar w:fldCharType="end"/>
      </w:r>
    </w:p>
    <w:p w14:paraId="7F990A7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_Toc1809666986 </w:instrText>
      </w:r>
      <w:r>
        <w:rPr>
          <w:rFonts w:ascii="Arial" w:hAnsi="Arial" w:eastAsia="Arial" w:cs="Arial"/>
          <w:i/>
        </w:rPr>
        <w:fldChar w:fldCharType="separate"/>
      </w:r>
      <w:r>
        <w:rPr>
          <w:rFonts w:ascii="Arial" w:hAnsi="Arial" w:eastAsia="Arial" w:cs="Arial"/>
          <w:i w:val="0"/>
        </w:rPr>
        <w:t>3.6.3 Training setup</w:t>
      </w:r>
      <w:r>
        <w:tab/>
      </w:r>
      <w:r>
        <w:fldChar w:fldCharType="begin"/>
      </w:r>
      <w:r>
        <w:instrText xml:space="preserve"> PAGEREF _Toc1809666986 \h </w:instrText>
      </w:r>
      <w:r>
        <w:fldChar w:fldCharType="separate"/>
      </w:r>
      <w:r>
        <w:t>21</w:t>
      </w:r>
      <w:r>
        <w:fldChar w:fldCharType="end"/>
      </w:r>
      <w:r>
        <w:rPr>
          <w:rFonts w:ascii="Arial" w:hAnsi="Arial" w:eastAsia="Arial" w:cs="Arial"/>
          <w:i/>
          <w:color w:val="000000"/>
        </w:rPr>
        <w:fldChar w:fldCharType="end"/>
      </w:r>
    </w:p>
    <w:p w14:paraId="6779C1E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_Toc262141241 </w:instrText>
      </w:r>
      <w:r>
        <w:rPr>
          <w:rFonts w:ascii="Arial" w:hAnsi="Arial" w:eastAsia="Arial" w:cs="Arial"/>
          <w:i/>
        </w:rPr>
        <w:fldChar w:fldCharType="separate"/>
      </w:r>
      <w:r>
        <w:rPr>
          <w:rFonts w:ascii="Arial" w:hAnsi="Arial" w:eastAsia="Arial" w:cs="Arial"/>
          <w:i w:val="0"/>
        </w:rPr>
        <w:t>3.6.4 Hyperparameter optimisation with Optuna</w:t>
      </w:r>
      <w:r>
        <w:tab/>
      </w:r>
      <w:r>
        <w:fldChar w:fldCharType="begin"/>
      </w:r>
      <w:r>
        <w:instrText xml:space="preserve"> PAGEREF _Toc262141241 \h </w:instrText>
      </w:r>
      <w:r>
        <w:fldChar w:fldCharType="separate"/>
      </w:r>
      <w:r>
        <w:t>21</w:t>
      </w:r>
      <w:r>
        <w:fldChar w:fldCharType="end"/>
      </w:r>
      <w:r>
        <w:rPr>
          <w:rFonts w:ascii="Arial" w:hAnsi="Arial" w:eastAsia="Arial" w:cs="Arial"/>
          <w:i/>
          <w:color w:val="000000"/>
        </w:rPr>
        <w:fldChar w:fldCharType="end"/>
      </w:r>
    </w:p>
    <w:p w14:paraId="275FB75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_Toc1318877490 </w:instrText>
      </w:r>
      <w:r>
        <w:rPr>
          <w:rFonts w:ascii="Arial" w:hAnsi="Arial" w:eastAsia="Arial" w:cs="Arial"/>
          <w:i/>
        </w:rPr>
        <w:fldChar w:fldCharType="separate"/>
      </w:r>
      <w:r>
        <w:rPr>
          <w:rFonts w:ascii="Arial" w:hAnsi="Arial" w:eastAsia="Arial" w:cs="Arial"/>
          <w:i w:val="0"/>
        </w:rPr>
        <w:t>3.7 Models 2-4: Transfer learning</w:t>
      </w:r>
      <w:r>
        <w:tab/>
      </w:r>
      <w:r>
        <w:fldChar w:fldCharType="begin"/>
      </w:r>
      <w:r>
        <w:instrText xml:space="preserve"> PAGEREF _Toc1318877490 \h </w:instrText>
      </w:r>
      <w:r>
        <w:fldChar w:fldCharType="separate"/>
      </w:r>
      <w:r>
        <w:t>22</w:t>
      </w:r>
      <w:r>
        <w:fldChar w:fldCharType="end"/>
      </w:r>
      <w:r>
        <w:rPr>
          <w:rFonts w:ascii="Arial" w:hAnsi="Arial" w:eastAsia="Arial" w:cs="Arial"/>
          <w:i/>
          <w:color w:val="000000"/>
        </w:rPr>
        <w:fldChar w:fldCharType="end"/>
      </w:r>
    </w:p>
    <w:p w14:paraId="272B67F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_Toc47770096 </w:instrText>
      </w:r>
      <w:r>
        <w:rPr>
          <w:rFonts w:ascii="Arial" w:hAnsi="Arial" w:eastAsia="Arial" w:cs="Arial"/>
          <w:i/>
        </w:rPr>
        <w:fldChar w:fldCharType="separate"/>
      </w:r>
      <w:r>
        <w:rPr>
          <w:rFonts w:ascii="Arial" w:hAnsi="Arial" w:eastAsia="Arial" w:cs="Arial"/>
          <w:i w:val="0"/>
        </w:rPr>
        <w:t>3.7.1 Why these three</w:t>
      </w:r>
      <w:r>
        <w:tab/>
      </w:r>
      <w:r>
        <w:fldChar w:fldCharType="begin"/>
      </w:r>
      <w:r>
        <w:instrText xml:space="preserve"> PAGEREF _Toc47770096 \h </w:instrText>
      </w:r>
      <w:r>
        <w:fldChar w:fldCharType="separate"/>
      </w:r>
      <w:r>
        <w:t>22</w:t>
      </w:r>
      <w:r>
        <w:fldChar w:fldCharType="end"/>
      </w:r>
      <w:r>
        <w:rPr>
          <w:rFonts w:ascii="Arial" w:hAnsi="Arial" w:eastAsia="Arial" w:cs="Arial"/>
          <w:i/>
          <w:color w:val="000000"/>
        </w:rPr>
        <w:fldChar w:fldCharType="end"/>
      </w:r>
    </w:p>
    <w:p w14:paraId="307083C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_Toc1860603141 </w:instrText>
      </w:r>
      <w:r>
        <w:rPr>
          <w:rFonts w:ascii="Arial" w:hAnsi="Arial" w:eastAsia="Arial" w:cs="Arial"/>
          <w:i/>
        </w:rPr>
        <w:fldChar w:fldCharType="separate"/>
      </w:r>
      <w:r>
        <w:rPr>
          <w:rFonts w:ascii="Arial" w:hAnsi="Arial" w:eastAsia="Arial" w:cs="Arial"/>
          <w:i w:val="0"/>
        </w:rPr>
        <w:t>3.7.2 Feature extraction strategy</w:t>
      </w:r>
      <w:r>
        <w:tab/>
      </w:r>
      <w:r>
        <w:fldChar w:fldCharType="begin"/>
      </w:r>
      <w:r>
        <w:instrText xml:space="preserve"> PAGEREF _Toc1860603141 \h </w:instrText>
      </w:r>
      <w:r>
        <w:fldChar w:fldCharType="separate"/>
      </w:r>
      <w:r>
        <w:t>22</w:t>
      </w:r>
      <w:r>
        <w:fldChar w:fldCharType="end"/>
      </w:r>
      <w:r>
        <w:rPr>
          <w:rFonts w:ascii="Arial" w:hAnsi="Arial" w:eastAsia="Arial" w:cs="Arial"/>
          <w:i/>
          <w:color w:val="000000"/>
        </w:rPr>
        <w:fldChar w:fldCharType="end"/>
      </w:r>
    </w:p>
    <w:p w14:paraId="4DA9CC9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_Toc1647606820 </w:instrText>
      </w:r>
      <w:r>
        <w:rPr>
          <w:rFonts w:ascii="Arial" w:hAnsi="Arial" w:eastAsia="Arial" w:cs="Arial"/>
          <w:i/>
        </w:rPr>
        <w:fldChar w:fldCharType="separate"/>
      </w:r>
      <w:r>
        <w:rPr>
          <w:rFonts w:ascii="Arial" w:hAnsi="Arial" w:eastAsia="Arial" w:cs="Arial"/>
          <w:i w:val="0"/>
        </w:rPr>
        <w:t>3.7.3 Per-model classifier heads</w:t>
      </w:r>
      <w:r>
        <w:tab/>
      </w:r>
      <w:r>
        <w:fldChar w:fldCharType="begin"/>
      </w:r>
      <w:r>
        <w:instrText xml:space="preserve"> PAGEREF _Toc1647606820 \h </w:instrText>
      </w:r>
      <w:r>
        <w:fldChar w:fldCharType="separate"/>
      </w:r>
      <w:r>
        <w:t>22</w:t>
      </w:r>
      <w:r>
        <w:fldChar w:fldCharType="end"/>
      </w:r>
      <w:r>
        <w:rPr>
          <w:rFonts w:ascii="Arial" w:hAnsi="Arial" w:eastAsia="Arial" w:cs="Arial"/>
          <w:i/>
          <w:color w:val="000000"/>
        </w:rPr>
        <w:fldChar w:fldCharType="end"/>
      </w:r>
    </w:p>
    <w:p w14:paraId="507F7A7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_Toc1673679322 </w:instrText>
      </w:r>
      <w:r>
        <w:rPr>
          <w:rFonts w:ascii="Arial" w:hAnsi="Arial" w:eastAsia="Arial" w:cs="Arial"/>
          <w:i/>
        </w:rPr>
        <w:fldChar w:fldCharType="separate"/>
      </w:r>
      <w:r>
        <w:rPr>
          <w:rFonts w:ascii="Arial" w:hAnsi="Arial" w:eastAsia="Arial" w:cs="Arial"/>
          <w:i w:val="0"/>
        </w:rPr>
        <w:t>3.7.4 Optuna HP tuning</w:t>
      </w:r>
      <w:r>
        <w:tab/>
      </w:r>
      <w:r>
        <w:fldChar w:fldCharType="begin"/>
      </w:r>
      <w:r>
        <w:instrText xml:space="preserve"> PAGEREF _Toc1673679322 \h </w:instrText>
      </w:r>
      <w:r>
        <w:fldChar w:fldCharType="separate"/>
      </w:r>
      <w:r>
        <w:t>23</w:t>
      </w:r>
      <w:r>
        <w:fldChar w:fldCharType="end"/>
      </w:r>
      <w:r>
        <w:rPr>
          <w:rFonts w:ascii="Arial" w:hAnsi="Arial" w:eastAsia="Arial" w:cs="Arial"/>
          <w:i/>
          <w:color w:val="000000"/>
        </w:rPr>
        <w:fldChar w:fldCharType="end"/>
      </w:r>
    </w:p>
    <w:p w14:paraId="01AA7AB6">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_Toc1787556448 </w:instrText>
      </w:r>
      <w:r>
        <w:rPr>
          <w:rFonts w:ascii="Arial" w:hAnsi="Arial" w:eastAsia="Arial" w:cs="Arial"/>
          <w:i/>
        </w:rPr>
        <w:fldChar w:fldCharType="separate"/>
      </w:r>
      <w:r>
        <w:rPr>
          <w:rFonts w:ascii="Arial" w:hAnsi="Arial" w:eastAsia="Arial" w:cs="Arial"/>
          <w:i w:val="0"/>
        </w:rPr>
        <w:t>3.8 Model 5: YOLOv8n for detection and counting</w:t>
      </w:r>
      <w:r>
        <w:tab/>
      </w:r>
      <w:r>
        <w:fldChar w:fldCharType="begin"/>
      </w:r>
      <w:r>
        <w:instrText xml:space="preserve"> PAGEREF _Toc1787556448 \h </w:instrText>
      </w:r>
      <w:r>
        <w:fldChar w:fldCharType="separate"/>
      </w:r>
      <w:r>
        <w:t>23</w:t>
      </w:r>
      <w:r>
        <w:fldChar w:fldCharType="end"/>
      </w:r>
      <w:r>
        <w:rPr>
          <w:rFonts w:ascii="Arial" w:hAnsi="Arial" w:eastAsia="Arial" w:cs="Arial"/>
          <w:i/>
          <w:color w:val="000000"/>
        </w:rPr>
        <w:fldChar w:fldCharType="end"/>
      </w:r>
    </w:p>
    <w:p w14:paraId="339CEB69">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_Toc165000006 </w:instrText>
      </w:r>
      <w:r>
        <w:rPr>
          <w:rFonts w:ascii="Arial" w:hAnsi="Arial" w:eastAsia="Arial" w:cs="Arial"/>
          <w:i/>
        </w:rPr>
        <w:fldChar w:fldCharType="separate"/>
      </w:r>
      <w:r>
        <w:rPr>
          <w:rFonts w:ascii="Arial" w:hAnsi="Arial" w:eastAsia="Arial" w:cs="Arial"/>
          <w:i w:val="0"/>
        </w:rPr>
        <w:t>3.8.1 YOLO family choice</w:t>
      </w:r>
      <w:r>
        <w:tab/>
      </w:r>
      <w:r>
        <w:fldChar w:fldCharType="begin"/>
      </w:r>
      <w:r>
        <w:instrText xml:space="preserve"> PAGEREF _Toc165000006 \h </w:instrText>
      </w:r>
      <w:r>
        <w:fldChar w:fldCharType="separate"/>
      </w:r>
      <w:r>
        <w:t>23</w:t>
      </w:r>
      <w:r>
        <w:fldChar w:fldCharType="end"/>
      </w:r>
      <w:r>
        <w:rPr>
          <w:rFonts w:ascii="Arial" w:hAnsi="Arial" w:eastAsia="Arial" w:cs="Arial"/>
          <w:i/>
          <w:color w:val="000000"/>
        </w:rPr>
        <w:fldChar w:fldCharType="end"/>
      </w:r>
    </w:p>
    <w:p w14:paraId="74CCE85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_Toc753712565 </w:instrText>
      </w:r>
      <w:r>
        <w:rPr>
          <w:rFonts w:ascii="Arial" w:hAnsi="Arial" w:eastAsia="Arial" w:cs="Arial"/>
          <w:i/>
        </w:rPr>
        <w:fldChar w:fldCharType="separate"/>
      </w:r>
      <w:r>
        <w:rPr>
          <w:rFonts w:ascii="Arial" w:hAnsi="Arial" w:eastAsia="Arial" w:cs="Arial"/>
          <w:i w:val="0"/>
        </w:rPr>
        <w:t>3.8.2 Training setup</w:t>
      </w:r>
      <w:r>
        <w:tab/>
      </w:r>
      <w:r>
        <w:fldChar w:fldCharType="begin"/>
      </w:r>
      <w:r>
        <w:instrText xml:space="preserve"> PAGEREF _Toc753712565 \h </w:instrText>
      </w:r>
      <w:r>
        <w:fldChar w:fldCharType="separate"/>
      </w:r>
      <w:r>
        <w:t>23</w:t>
      </w:r>
      <w:r>
        <w:fldChar w:fldCharType="end"/>
      </w:r>
      <w:r>
        <w:rPr>
          <w:rFonts w:ascii="Arial" w:hAnsi="Arial" w:eastAsia="Arial" w:cs="Arial"/>
          <w:i/>
          <w:color w:val="000000"/>
        </w:rPr>
        <w:fldChar w:fldCharType="end"/>
      </w:r>
    </w:p>
    <w:p w14:paraId="4AD6D4B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_Toc1788529949 </w:instrText>
      </w:r>
      <w:r>
        <w:rPr>
          <w:rFonts w:ascii="Arial" w:hAnsi="Arial" w:eastAsia="Arial" w:cs="Arial"/>
          <w:i/>
        </w:rPr>
        <w:fldChar w:fldCharType="separate"/>
      </w:r>
      <w:r>
        <w:rPr>
          <w:rFonts w:ascii="Arial" w:hAnsi="Arial" w:eastAsia="Arial" w:cs="Arial"/>
          <w:i w:val="0"/>
        </w:rPr>
        <w:t>3.8.3 Counting protocol</w:t>
      </w:r>
      <w:r>
        <w:tab/>
      </w:r>
      <w:r>
        <w:fldChar w:fldCharType="begin"/>
      </w:r>
      <w:r>
        <w:instrText xml:space="preserve"> PAGEREF _Toc1788529949 \h </w:instrText>
      </w:r>
      <w:r>
        <w:fldChar w:fldCharType="separate"/>
      </w:r>
      <w:r>
        <w:t>24</w:t>
      </w:r>
      <w:r>
        <w:fldChar w:fldCharType="end"/>
      </w:r>
      <w:r>
        <w:rPr>
          <w:rFonts w:ascii="Arial" w:hAnsi="Arial" w:eastAsia="Arial" w:cs="Arial"/>
          <w:i/>
          <w:color w:val="000000"/>
        </w:rPr>
        <w:fldChar w:fldCharType="end"/>
      </w:r>
    </w:p>
    <w:p w14:paraId="4B8F318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_Toc1494245784 </w:instrText>
      </w:r>
      <w:r>
        <w:rPr>
          <w:rFonts w:ascii="Arial" w:hAnsi="Arial" w:eastAsia="Arial" w:cs="Arial"/>
          <w:i/>
        </w:rPr>
        <w:fldChar w:fldCharType="separate"/>
      </w:r>
      <w:r>
        <w:rPr>
          <w:rFonts w:ascii="Arial" w:hAnsi="Arial" w:eastAsia="Arial" w:cs="Arial"/>
          <w:i w:val="0"/>
        </w:rPr>
        <w:t>3.8.4 Detection and counting metrics</w:t>
      </w:r>
      <w:r>
        <w:tab/>
      </w:r>
      <w:r>
        <w:fldChar w:fldCharType="begin"/>
      </w:r>
      <w:r>
        <w:instrText xml:space="preserve"> PAGEREF _Toc1494245784 \h </w:instrText>
      </w:r>
      <w:r>
        <w:fldChar w:fldCharType="separate"/>
      </w:r>
      <w:r>
        <w:t>24</w:t>
      </w:r>
      <w:r>
        <w:fldChar w:fldCharType="end"/>
      </w:r>
      <w:r>
        <w:rPr>
          <w:rFonts w:ascii="Arial" w:hAnsi="Arial" w:eastAsia="Arial" w:cs="Arial"/>
          <w:i/>
          <w:color w:val="000000"/>
        </w:rPr>
        <w:fldChar w:fldCharType="end"/>
      </w:r>
    </w:p>
    <w:p w14:paraId="40D9975C">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_Toc1115123670 </w:instrText>
      </w:r>
      <w:r>
        <w:rPr>
          <w:rFonts w:ascii="Arial" w:hAnsi="Arial" w:eastAsia="Arial" w:cs="Arial"/>
          <w:i/>
        </w:rPr>
        <w:fldChar w:fldCharType="separate"/>
      </w:r>
      <w:r>
        <w:rPr>
          <w:rFonts w:ascii="Arial" w:hAnsi="Arial" w:eastAsia="Arial" w:cs="Arial"/>
          <w:i w:val="0"/>
        </w:rPr>
        <w:t>3.9 Evaluation framework</w:t>
      </w:r>
      <w:r>
        <w:tab/>
      </w:r>
      <w:r>
        <w:fldChar w:fldCharType="begin"/>
      </w:r>
      <w:r>
        <w:instrText xml:space="preserve"> PAGEREF _Toc1115123670 \h </w:instrText>
      </w:r>
      <w:r>
        <w:fldChar w:fldCharType="separate"/>
      </w:r>
      <w:r>
        <w:t>24</w:t>
      </w:r>
      <w:r>
        <w:fldChar w:fldCharType="end"/>
      </w:r>
      <w:r>
        <w:rPr>
          <w:rFonts w:ascii="Arial" w:hAnsi="Arial" w:eastAsia="Arial" w:cs="Arial"/>
          <w:i/>
          <w:color w:val="000000"/>
        </w:rPr>
        <w:fldChar w:fldCharType="end"/>
      </w:r>
    </w:p>
    <w:p w14:paraId="281970D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_Toc793734321 </w:instrText>
      </w:r>
      <w:r>
        <w:rPr>
          <w:rFonts w:ascii="Arial" w:hAnsi="Arial" w:eastAsia="Arial" w:cs="Arial"/>
          <w:i/>
        </w:rPr>
        <w:fldChar w:fldCharType="separate"/>
      </w:r>
      <w:r>
        <w:rPr>
          <w:rFonts w:ascii="Arial" w:hAnsi="Arial" w:eastAsia="Arial" w:cs="Arial"/>
          <w:i w:val="0"/>
        </w:rPr>
        <w:t>3.9.1 Primary classification metrics</w:t>
      </w:r>
      <w:r>
        <w:tab/>
      </w:r>
      <w:r>
        <w:fldChar w:fldCharType="begin"/>
      </w:r>
      <w:r>
        <w:instrText xml:space="preserve"> PAGEREF _Toc793734321 \h </w:instrText>
      </w:r>
      <w:r>
        <w:fldChar w:fldCharType="separate"/>
      </w:r>
      <w:r>
        <w:t>24</w:t>
      </w:r>
      <w:r>
        <w:fldChar w:fldCharType="end"/>
      </w:r>
      <w:r>
        <w:rPr>
          <w:rFonts w:ascii="Arial" w:hAnsi="Arial" w:eastAsia="Arial" w:cs="Arial"/>
          <w:i/>
          <w:color w:val="000000"/>
        </w:rPr>
        <w:fldChar w:fldCharType="end"/>
      </w:r>
    </w:p>
    <w:p w14:paraId="1F96F90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_Toc124317883 </w:instrText>
      </w:r>
      <w:r>
        <w:rPr>
          <w:rFonts w:ascii="Arial" w:hAnsi="Arial" w:eastAsia="Arial" w:cs="Arial"/>
          <w:i/>
        </w:rPr>
        <w:fldChar w:fldCharType="separate"/>
      </w:r>
      <w:r>
        <w:rPr>
          <w:rFonts w:ascii="Arial" w:hAnsi="Arial" w:eastAsia="Arial" w:cs="Arial"/>
          <w:i w:val="0"/>
        </w:rPr>
        <w:t>3.9.2 Confusion matrix as diagnostic tool</w:t>
      </w:r>
      <w:r>
        <w:tab/>
      </w:r>
      <w:r>
        <w:fldChar w:fldCharType="begin"/>
      </w:r>
      <w:r>
        <w:instrText xml:space="preserve"> PAGEREF _Toc124317883 \h </w:instrText>
      </w:r>
      <w:r>
        <w:fldChar w:fldCharType="separate"/>
      </w:r>
      <w:r>
        <w:t>24</w:t>
      </w:r>
      <w:r>
        <w:fldChar w:fldCharType="end"/>
      </w:r>
      <w:r>
        <w:rPr>
          <w:rFonts w:ascii="Arial" w:hAnsi="Arial" w:eastAsia="Arial" w:cs="Arial"/>
          <w:i/>
          <w:color w:val="000000"/>
        </w:rPr>
        <w:fldChar w:fldCharType="end"/>
      </w:r>
    </w:p>
    <w:p w14:paraId="2F37A4A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_Toc2056554697 </w:instrText>
      </w:r>
      <w:r>
        <w:rPr>
          <w:rFonts w:ascii="Arial" w:hAnsi="Arial" w:eastAsia="Arial" w:cs="Arial"/>
          <w:i/>
        </w:rPr>
        <w:fldChar w:fldCharType="separate"/>
      </w:r>
      <w:r>
        <w:rPr>
          <w:rFonts w:ascii="Arial" w:hAnsi="Arial" w:eastAsia="Arial" w:cs="Arial"/>
          <w:i w:val="0"/>
        </w:rPr>
        <w:t>3.9.3 Statistical comparison via McNemar</w:t>
      </w:r>
      <w:r>
        <w:tab/>
      </w:r>
      <w:r>
        <w:fldChar w:fldCharType="begin"/>
      </w:r>
      <w:r>
        <w:instrText xml:space="preserve"> PAGEREF _Toc2056554697 \h </w:instrText>
      </w:r>
      <w:r>
        <w:fldChar w:fldCharType="separate"/>
      </w:r>
      <w:r>
        <w:t>24</w:t>
      </w:r>
      <w:r>
        <w:fldChar w:fldCharType="end"/>
      </w:r>
      <w:r>
        <w:rPr>
          <w:rFonts w:ascii="Arial" w:hAnsi="Arial" w:eastAsia="Arial" w:cs="Arial"/>
          <w:i/>
          <w:color w:val="000000"/>
        </w:rPr>
        <w:fldChar w:fldCharType="end"/>
      </w:r>
    </w:p>
    <w:p w14:paraId="23265A1D">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_Toc765494014 </w:instrText>
      </w:r>
      <w:r>
        <w:rPr>
          <w:rFonts w:ascii="Arial" w:hAnsi="Arial" w:eastAsia="Arial" w:cs="Arial"/>
          <w:i/>
        </w:rPr>
        <w:fldChar w:fldCharType="separate"/>
      </w:r>
      <w:r>
        <w:rPr>
          <w:rFonts w:ascii="Arial" w:hAnsi="Arial" w:eastAsia="Arial" w:cs="Arial"/>
          <w:i w:val="0"/>
        </w:rPr>
        <w:t>3.9.4 Subgroup analysis</w:t>
      </w:r>
      <w:r>
        <w:tab/>
      </w:r>
      <w:r>
        <w:fldChar w:fldCharType="begin"/>
      </w:r>
      <w:r>
        <w:instrText xml:space="preserve"> PAGEREF _Toc765494014 \h </w:instrText>
      </w:r>
      <w:r>
        <w:fldChar w:fldCharType="separate"/>
      </w:r>
      <w:r>
        <w:t>24</w:t>
      </w:r>
      <w:r>
        <w:fldChar w:fldCharType="end"/>
      </w:r>
      <w:r>
        <w:rPr>
          <w:rFonts w:ascii="Arial" w:hAnsi="Arial" w:eastAsia="Arial" w:cs="Arial"/>
          <w:i/>
          <w:color w:val="000000"/>
        </w:rPr>
        <w:fldChar w:fldCharType="end"/>
      </w:r>
    </w:p>
    <w:p w14:paraId="6C285C5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_Toc83364121 </w:instrText>
      </w:r>
      <w:r>
        <w:rPr>
          <w:rFonts w:ascii="Arial" w:hAnsi="Arial" w:eastAsia="Arial" w:cs="Arial"/>
          <w:i/>
        </w:rPr>
        <w:fldChar w:fldCharType="separate"/>
      </w:r>
      <w:r>
        <w:rPr>
          <w:rFonts w:ascii="Arial" w:hAnsi="Arial" w:eastAsia="Arial" w:cs="Arial"/>
          <w:i w:val="0"/>
        </w:rPr>
        <w:t>3.9.5 Interpretability via Grad-CAM</w:t>
      </w:r>
      <w:r>
        <w:tab/>
      </w:r>
      <w:r>
        <w:fldChar w:fldCharType="begin"/>
      </w:r>
      <w:r>
        <w:instrText xml:space="preserve"> PAGEREF _Toc83364121 \h </w:instrText>
      </w:r>
      <w:r>
        <w:fldChar w:fldCharType="separate"/>
      </w:r>
      <w:r>
        <w:t>25</w:t>
      </w:r>
      <w:r>
        <w:fldChar w:fldCharType="end"/>
      </w:r>
      <w:r>
        <w:rPr>
          <w:rFonts w:ascii="Arial" w:hAnsi="Arial" w:eastAsia="Arial" w:cs="Arial"/>
          <w:i/>
          <w:color w:val="000000"/>
        </w:rPr>
        <w:fldChar w:fldCharType="end"/>
      </w:r>
    </w:p>
    <w:p w14:paraId="0C7C5EB8">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_Toc941443803 </w:instrText>
      </w:r>
      <w:r>
        <w:rPr>
          <w:rFonts w:ascii="Arial" w:hAnsi="Arial" w:eastAsia="Arial" w:cs="Arial"/>
          <w:i/>
        </w:rPr>
        <w:fldChar w:fldCharType="separate"/>
      </w:r>
      <w:r>
        <w:rPr>
          <w:rFonts w:ascii="Arial" w:hAnsi="Arial" w:eastAsia="Arial" w:cs="Arial"/>
          <w:i w:val="0"/>
        </w:rPr>
        <w:t>3.9.6 Detection-specific evaluation</w:t>
      </w:r>
      <w:r>
        <w:tab/>
      </w:r>
      <w:r>
        <w:fldChar w:fldCharType="begin"/>
      </w:r>
      <w:r>
        <w:instrText xml:space="preserve"> PAGEREF _Toc941443803 \h </w:instrText>
      </w:r>
      <w:r>
        <w:fldChar w:fldCharType="separate"/>
      </w:r>
      <w:r>
        <w:t>25</w:t>
      </w:r>
      <w:r>
        <w:fldChar w:fldCharType="end"/>
      </w:r>
      <w:r>
        <w:rPr>
          <w:rFonts w:ascii="Arial" w:hAnsi="Arial" w:eastAsia="Arial" w:cs="Arial"/>
          <w:i/>
          <w:color w:val="000000"/>
        </w:rPr>
        <w:fldChar w:fldCharType="end"/>
      </w:r>
    </w:p>
    <w:p w14:paraId="66FD5536">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_Toc186485925 </w:instrText>
      </w:r>
      <w:r>
        <w:rPr>
          <w:rFonts w:ascii="Arial" w:hAnsi="Arial" w:eastAsia="Arial" w:cs="Arial"/>
          <w:i/>
        </w:rPr>
        <w:fldChar w:fldCharType="separate"/>
      </w:r>
      <w:r>
        <w:rPr>
          <w:rFonts w:ascii="Arial" w:hAnsi="Arial" w:eastAsia="Arial" w:cs="Arial"/>
          <w:i w:val="0"/>
        </w:rPr>
        <w:t>3.10 Reproducibility</w:t>
      </w:r>
      <w:r>
        <w:tab/>
      </w:r>
      <w:r>
        <w:fldChar w:fldCharType="begin"/>
      </w:r>
      <w:r>
        <w:instrText xml:space="preserve"> PAGEREF _Toc186485925 \h </w:instrText>
      </w:r>
      <w:r>
        <w:fldChar w:fldCharType="separate"/>
      </w:r>
      <w:r>
        <w:t>25</w:t>
      </w:r>
      <w:r>
        <w:fldChar w:fldCharType="end"/>
      </w:r>
      <w:r>
        <w:rPr>
          <w:rFonts w:ascii="Arial" w:hAnsi="Arial" w:eastAsia="Arial" w:cs="Arial"/>
          <w:i/>
          <w:color w:val="000000"/>
        </w:rPr>
        <w:fldChar w:fldCharType="end"/>
      </w:r>
    </w:p>
    <w:p w14:paraId="3F8C4203">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_Toc1090300502 </w:instrText>
      </w:r>
      <w:r>
        <w:rPr>
          <w:rFonts w:ascii="Arial" w:hAnsi="Arial" w:eastAsia="Arial" w:cs="Arial"/>
          <w:i/>
        </w:rPr>
        <w:fldChar w:fldCharType="separate"/>
      </w:r>
      <w:r>
        <w:rPr>
          <w:rFonts w:ascii="Arial" w:hAnsi="Arial" w:eastAsia="Arial" w:cs="Arial"/>
          <w:i w:val="0"/>
        </w:rPr>
        <w:t>3.11 Ethics and data governance</w:t>
      </w:r>
      <w:r>
        <w:tab/>
      </w:r>
      <w:r>
        <w:fldChar w:fldCharType="begin"/>
      </w:r>
      <w:r>
        <w:instrText xml:space="preserve"> PAGEREF _Toc1090300502 \h </w:instrText>
      </w:r>
      <w:r>
        <w:fldChar w:fldCharType="separate"/>
      </w:r>
      <w:r>
        <w:t>25</w:t>
      </w:r>
      <w:r>
        <w:fldChar w:fldCharType="end"/>
      </w:r>
      <w:r>
        <w:rPr>
          <w:rFonts w:ascii="Arial" w:hAnsi="Arial" w:eastAsia="Arial" w:cs="Arial"/>
          <w:i/>
          <w:color w:val="000000"/>
        </w:rPr>
        <w:fldChar w:fldCharType="end"/>
      </w:r>
    </w:p>
    <w:p w14:paraId="25CF56F7">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_Toc202577263 </w:instrText>
      </w:r>
      <w:r>
        <w:rPr>
          <w:rFonts w:ascii="Arial" w:hAnsi="Arial" w:eastAsia="Arial" w:cs="Arial"/>
          <w:i/>
        </w:rPr>
        <w:fldChar w:fldCharType="separate"/>
      </w:r>
      <w:r>
        <w:rPr>
          <w:rFonts w:ascii="Arial" w:hAnsi="Arial" w:eastAsia="Arial" w:cs="Arial"/>
          <w:i w:val="0"/>
        </w:rPr>
        <w:t>3.12 Methodological limitations</w:t>
      </w:r>
      <w:r>
        <w:tab/>
      </w:r>
      <w:r>
        <w:fldChar w:fldCharType="begin"/>
      </w:r>
      <w:r>
        <w:instrText xml:space="preserve"> PAGEREF _Toc202577263 \h </w:instrText>
      </w:r>
      <w:r>
        <w:fldChar w:fldCharType="separate"/>
      </w:r>
      <w:r>
        <w:t>25</w:t>
      </w:r>
      <w:r>
        <w:fldChar w:fldCharType="end"/>
      </w:r>
      <w:r>
        <w:rPr>
          <w:rFonts w:ascii="Arial" w:hAnsi="Arial" w:eastAsia="Arial" w:cs="Arial"/>
          <w:i/>
          <w:color w:val="000000"/>
        </w:rPr>
        <w:fldChar w:fldCharType="end"/>
      </w:r>
    </w:p>
    <w:p w14:paraId="0825C529">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_Toc954478746 </w:instrText>
      </w:r>
      <w:r>
        <w:rPr>
          <w:rFonts w:ascii="Arial" w:hAnsi="Arial" w:eastAsia="Arial" w:cs="Arial"/>
          <w:i/>
        </w:rPr>
        <w:fldChar w:fldCharType="separate"/>
      </w:r>
      <w:r>
        <w:rPr>
          <w:rFonts w:ascii="Arial" w:hAnsi="Arial" w:eastAsia="Arial" w:cs="Arial"/>
          <w:i w:val="0"/>
        </w:rPr>
        <w:t>4. Data Analysis and Findings</w:t>
      </w:r>
      <w:r>
        <w:tab/>
      </w:r>
      <w:r>
        <w:fldChar w:fldCharType="begin"/>
      </w:r>
      <w:r>
        <w:instrText xml:space="preserve"> PAGEREF _Toc954478746 \h </w:instrText>
      </w:r>
      <w:r>
        <w:fldChar w:fldCharType="separate"/>
      </w:r>
      <w:r>
        <w:t>27</w:t>
      </w:r>
      <w:r>
        <w:fldChar w:fldCharType="end"/>
      </w:r>
      <w:r>
        <w:rPr>
          <w:rFonts w:ascii="Arial" w:hAnsi="Arial" w:eastAsia="Arial" w:cs="Arial"/>
          <w:i/>
          <w:color w:val="000000"/>
        </w:rPr>
        <w:fldChar w:fldCharType="end"/>
      </w:r>
    </w:p>
    <w:p w14:paraId="4BC93CE2">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_Toc221440932 </w:instrText>
      </w:r>
      <w:r>
        <w:rPr>
          <w:rFonts w:ascii="Arial" w:hAnsi="Arial" w:eastAsia="Arial" w:cs="Arial"/>
          <w:i/>
        </w:rPr>
        <w:fldChar w:fldCharType="separate"/>
      </w:r>
      <w:r>
        <w:rPr>
          <w:rFonts w:ascii="Arial" w:hAnsi="Arial" w:eastAsia="Arial" w:cs="Arial"/>
          <w:i w:val="0"/>
        </w:rPr>
        <w:t>4.1 EDA findings</w:t>
      </w:r>
      <w:r>
        <w:tab/>
      </w:r>
      <w:r>
        <w:fldChar w:fldCharType="begin"/>
      </w:r>
      <w:r>
        <w:instrText xml:space="preserve"> PAGEREF _Toc221440932 \h </w:instrText>
      </w:r>
      <w:r>
        <w:fldChar w:fldCharType="separate"/>
      </w:r>
      <w:r>
        <w:t>27</w:t>
      </w:r>
      <w:r>
        <w:fldChar w:fldCharType="end"/>
      </w:r>
      <w:r>
        <w:rPr>
          <w:rFonts w:ascii="Arial" w:hAnsi="Arial" w:eastAsia="Arial" w:cs="Arial"/>
          <w:i/>
          <w:color w:val="000000"/>
        </w:rPr>
        <w:fldChar w:fldCharType="end"/>
      </w:r>
    </w:p>
    <w:p w14:paraId="671C630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_Toc168583873 </w:instrText>
      </w:r>
      <w:r>
        <w:rPr>
          <w:rFonts w:ascii="Arial" w:hAnsi="Arial" w:eastAsia="Arial" w:cs="Arial"/>
          <w:i/>
        </w:rPr>
        <w:fldChar w:fldCharType="separate"/>
      </w:r>
      <w:r>
        <w:rPr>
          <w:rFonts w:ascii="Arial" w:hAnsi="Arial" w:eastAsia="Arial" w:cs="Arial"/>
          <w:i w:val="0"/>
        </w:rPr>
        <w:t>4.2 Final dataset composition</w:t>
      </w:r>
      <w:r>
        <w:tab/>
      </w:r>
      <w:r>
        <w:fldChar w:fldCharType="begin"/>
      </w:r>
      <w:r>
        <w:instrText xml:space="preserve"> PAGEREF _Toc168583873 \h </w:instrText>
      </w:r>
      <w:r>
        <w:fldChar w:fldCharType="separate"/>
      </w:r>
      <w:r>
        <w:t>27</w:t>
      </w:r>
      <w:r>
        <w:fldChar w:fldCharType="end"/>
      </w:r>
      <w:r>
        <w:rPr>
          <w:rFonts w:ascii="Arial" w:hAnsi="Arial" w:eastAsia="Arial" w:cs="Arial"/>
          <w:i/>
          <w:color w:val="000000"/>
        </w:rPr>
        <w:fldChar w:fldCharType="end"/>
      </w:r>
    </w:p>
    <w:p w14:paraId="3FC6BBB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_Toc858223118 </w:instrText>
      </w:r>
      <w:r>
        <w:rPr>
          <w:rFonts w:ascii="Arial" w:hAnsi="Arial" w:eastAsia="Arial" w:cs="Arial"/>
          <w:i/>
        </w:rPr>
        <w:fldChar w:fldCharType="separate"/>
      </w:r>
      <w:r>
        <w:rPr>
          <w:rFonts w:ascii="Arial" w:hAnsi="Arial" w:eastAsia="Arial" w:cs="Arial"/>
          <w:i w:val="0"/>
        </w:rPr>
        <w:t>4.3 Custom CNN: training and final evaluation</w:t>
      </w:r>
      <w:r>
        <w:tab/>
      </w:r>
      <w:r>
        <w:fldChar w:fldCharType="begin"/>
      </w:r>
      <w:r>
        <w:instrText xml:space="preserve"> PAGEREF _Toc858223118 \h </w:instrText>
      </w:r>
      <w:r>
        <w:fldChar w:fldCharType="separate"/>
      </w:r>
      <w:r>
        <w:t>28</w:t>
      </w:r>
      <w:r>
        <w:fldChar w:fldCharType="end"/>
      </w:r>
      <w:r>
        <w:rPr>
          <w:rFonts w:ascii="Arial" w:hAnsi="Arial" w:eastAsia="Arial" w:cs="Arial"/>
          <w:i/>
          <w:color w:val="000000"/>
        </w:rPr>
        <w:fldChar w:fldCharType="end"/>
      </w:r>
    </w:p>
    <w:p w14:paraId="347CAEA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_Toc1655770974 </w:instrText>
      </w:r>
      <w:r>
        <w:rPr>
          <w:rFonts w:ascii="Arial" w:hAnsi="Arial" w:eastAsia="Arial" w:cs="Arial"/>
          <w:i/>
        </w:rPr>
        <w:fldChar w:fldCharType="separate"/>
      </w:r>
      <w:r>
        <w:rPr>
          <w:rFonts w:ascii="Arial" w:hAnsi="Arial" w:eastAsia="Arial" w:cs="Arial"/>
          <w:i w:val="0"/>
        </w:rPr>
        <w:t>4.3.1 Optuna hyperparameter search results</w:t>
      </w:r>
      <w:r>
        <w:tab/>
      </w:r>
      <w:r>
        <w:fldChar w:fldCharType="begin"/>
      </w:r>
      <w:r>
        <w:instrText xml:space="preserve"> PAGEREF _Toc1655770974 \h </w:instrText>
      </w:r>
      <w:r>
        <w:fldChar w:fldCharType="separate"/>
      </w:r>
      <w:r>
        <w:t>28</w:t>
      </w:r>
      <w:r>
        <w:fldChar w:fldCharType="end"/>
      </w:r>
      <w:r>
        <w:rPr>
          <w:rFonts w:ascii="Arial" w:hAnsi="Arial" w:eastAsia="Arial" w:cs="Arial"/>
          <w:i/>
          <w:color w:val="000000"/>
        </w:rPr>
        <w:fldChar w:fldCharType="end"/>
      </w:r>
    </w:p>
    <w:p w14:paraId="6E8F746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_Toc1449662192 </w:instrText>
      </w:r>
      <w:r>
        <w:rPr>
          <w:rFonts w:ascii="Arial" w:hAnsi="Arial" w:eastAsia="Arial" w:cs="Arial"/>
          <w:i/>
        </w:rPr>
        <w:fldChar w:fldCharType="separate"/>
      </w:r>
      <w:r>
        <w:rPr>
          <w:rFonts w:ascii="Arial" w:hAnsi="Arial" w:eastAsia="Arial" w:cs="Arial"/>
          <w:i w:val="0"/>
        </w:rPr>
        <w:t>4.3.2 Final training trajectory</w:t>
      </w:r>
      <w:r>
        <w:tab/>
      </w:r>
      <w:r>
        <w:fldChar w:fldCharType="begin"/>
      </w:r>
      <w:r>
        <w:instrText xml:space="preserve"> PAGEREF _Toc1449662192 \h </w:instrText>
      </w:r>
      <w:r>
        <w:fldChar w:fldCharType="separate"/>
      </w:r>
      <w:r>
        <w:t>28</w:t>
      </w:r>
      <w:r>
        <w:fldChar w:fldCharType="end"/>
      </w:r>
      <w:r>
        <w:rPr>
          <w:rFonts w:ascii="Arial" w:hAnsi="Arial" w:eastAsia="Arial" w:cs="Arial"/>
          <w:i/>
          <w:color w:val="000000"/>
        </w:rPr>
        <w:fldChar w:fldCharType="end"/>
      </w:r>
    </w:p>
    <w:p w14:paraId="6F6B36D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_Toc1270485729 </w:instrText>
      </w:r>
      <w:r>
        <w:rPr>
          <w:rFonts w:ascii="Arial" w:hAnsi="Arial" w:eastAsia="Arial" w:cs="Arial"/>
          <w:i/>
        </w:rPr>
        <w:fldChar w:fldCharType="separate"/>
      </w:r>
      <w:r>
        <w:rPr>
          <w:rFonts w:ascii="Arial" w:hAnsi="Arial" w:eastAsia="Arial" w:cs="Arial"/>
          <w:i w:val="0"/>
        </w:rPr>
        <w:t>4.3.3 Test performance</w:t>
      </w:r>
      <w:r>
        <w:tab/>
      </w:r>
      <w:r>
        <w:fldChar w:fldCharType="begin"/>
      </w:r>
      <w:r>
        <w:instrText xml:space="preserve"> PAGEREF _Toc1270485729 \h </w:instrText>
      </w:r>
      <w:r>
        <w:fldChar w:fldCharType="separate"/>
      </w:r>
      <w:r>
        <w:t>29</w:t>
      </w:r>
      <w:r>
        <w:fldChar w:fldCharType="end"/>
      </w:r>
      <w:r>
        <w:rPr>
          <w:rFonts w:ascii="Arial" w:hAnsi="Arial" w:eastAsia="Arial" w:cs="Arial"/>
          <w:i/>
          <w:color w:val="000000"/>
        </w:rPr>
        <w:fldChar w:fldCharType="end"/>
      </w:r>
    </w:p>
    <w:p w14:paraId="10C271E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_Toc623745182 </w:instrText>
      </w:r>
      <w:r>
        <w:rPr>
          <w:rFonts w:ascii="Arial" w:hAnsi="Arial" w:eastAsia="Arial" w:cs="Arial"/>
          <w:i/>
        </w:rPr>
        <w:fldChar w:fldCharType="separate"/>
      </w:r>
      <w:r>
        <w:rPr>
          <w:rFonts w:ascii="Arial" w:hAnsi="Arial" w:eastAsia="Arial" w:cs="Arial"/>
          <w:i w:val="0"/>
        </w:rPr>
        <w:t>4.3.4 Ablation study: with versus without augmentation</w:t>
      </w:r>
      <w:r>
        <w:tab/>
      </w:r>
      <w:r>
        <w:fldChar w:fldCharType="begin"/>
      </w:r>
      <w:r>
        <w:instrText xml:space="preserve"> PAGEREF _Toc623745182 \h </w:instrText>
      </w:r>
      <w:r>
        <w:fldChar w:fldCharType="separate"/>
      </w:r>
      <w:r>
        <w:t>29</w:t>
      </w:r>
      <w:r>
        <w:fldChar w:fldCharType="end"/>
      </w:r>
      <w:r>
        <w:rPr>
          <w:rFonts w:ascii="Arial" w:hAnsi="Arial" w:eastAsia="Arial" w:cs="Arial"/>
          <w:i/>
          <w:color w:val="000000"/>
        </w:rPr>
        <w:fldChar w:fldCharType="end"/>
      </w:r>
    </w:p>
    <w:p w14:paraId="1792238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_Toc1417592867 </w:instrText>
      </w:r>
      <w:r>
        <w:rPr>
          <w:rFonts w:ascii="Arial" w:hAnsi="Arial" w:eastAsia="Arial" w:cs="Arial"/>
          <w:i/>
        </w:rPr>
        <w:fldChar w:fldCharType="separate"/>
      </w:r>
      <w:r>
        <w:rPr>
          <w:rFonts w:ascii="Arial" w:hAnsi="Arial" w:eastAsia="Arial" w:cs="Arial"/>
          <w:i w:val="0"/>
        </w:rPr>
        <w:t>4.3.5 Grad-CAM interpretability</w:t>
      </w:r>
      <w:r>
        <w:tab/>
      </w:r>
      <w:r>
        <w:fldChar w:fldCharType="begin"/>
      </w:r>
      <w:r>
        <w:instrText xml:space="preserve"> PAGEREF _Toc1417592867 \h </w:instrText>
      </w:r>
      <w:r>
        <w:fldChar w:fldCharType="separate"/>
      </w:r>
      <w:r>
        <w:t>30</w:t>
      </w:r>
      <w:r>
        <w:fldChar w:fldCharType="end"/>
      </w:r>
      <w:r>
        <w:rPr>
          <w:rFonts w:ascii="Arial" w:hAnsi="Arial" w:eastAsia="Arial" w:cs="Arial"/>
          <w:i/>
          <w:color w:val="000000"/>
        </w:rPr>
        <w:fldChar w:fldCharType="end"/>
      </w:r>
    </w:p>
    <w:p w14:paraId="2BB487C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_Toc1299735851 </w:instrText>
      </w:r>
      <w:r>
        <w:rPr>
          <w:rFonts w:ascii="Arial" w:hAnsi="Arial" w:eastAsia="Arial" w:cs="Arial"/>
          <w:i/>
        </w:rPr>
        <w:fldChar w:fldCharType="separate"/>
      </w:r>
      <w:r>
        <w:rPr>
          <w:rFonts w:ascii="Arial" w:hAnsi="Arial" w:eastAsia="Arial" w:cs="Arial"/>
          <w:i w:val="0"/>
        </w:rPr>
        <w:t>4.4 Transfer learning: training and final evaluation</w:t>
      </w:r>
      <w:r>
        <w:tab/>
      </w:r>
      <w:r>
        <w:fldChar w:fldCharType="begin"/>
      </w:r>
      <w:r>
        <w:instrText xml:space="preserve"> PAGEREF _Toc1299735851 \h </w:instrText>
      </w:r>
      <w:r>
        <w:fldChar w:fldCharType="separate"/>
      </w:r>
      <w:r>
        <w:t>31</w:t>
      </w:r>
      <w:r>
        <w:fldChar w:fldCharType="end"/>
      </w:r>
      <w:r>
        <w:rPr>
          <w:rFonts w:ascii="Arial" w:hAnsi="Arial" w:eastAsia="Arial" w:cs="Arial"/>
          <w:i/>
          <w:color w:val="000000"/>
        </w:rPr>
        <w:fldChar w:fldCharType="end"/>
      </w:r>
    </w:p>
    <w:p w14:paraId="33663CA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_Toc456790473 </w:instrText>
      </w:r>
      <w:r>
        <w:rPr>
          <w:rFonts w:ascii="Arial" w:hAnsi="Arial" w:eastAsia="Arial" w:cs="Arial"/>
          <w:i/>
        </w:rPr>
        <w:fldChar w:fldCharType="separate"/>
      </w:r>
      <w:r>
        <w:rPr>
          <w:rFonts w:ascii="Arial" w:hAnsi="Arial" w:eastAsia="Arial" w:cs="Arial"/>
          <w:i w:val="0"/>
        </w:rPr>
        <w:t>4.4.1 Per-model HP search outcomes</w:t>
      </w:r>
      <w:r>
        <w:tab/>
      </w:r>
      <w:r>
        <w:fldChar w:fldCharType="begin"/>
      </w:r>
      <w:r>
        <w:instrText xml:space="preserve"> PAGEREF _Toc456790473 \h </w:instrText>
      </w:r>
      <w:r>
        <w:fldChar w:fldCharType="separate"/>
      </w:r>
      <w:r>
        <w:t>31</w:t>
      </w:r>
      <w:r>
        <w:fldChar w:fldCharType="end"/>
      </w:r>
      <w:r>
        <w:rPr>
          <w:rFonts w:ascii="Arial" w:hAnsi="Arial" w:eastAsia="Arial" w:cs="Arial"/>
          <w:i/>
          <w:color w:val="000000"/>
        </w:rPr>
        <w:fldChar w:fldCharType="end"/>
      </w:r>
    </w:p>
    <w:p w14:paraId="7D82350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_Toc23441686 </w:instrText>
      </w:r>
      <w:r>
        <w:rPr>
          <w:rFonts w:ascii="Arial" w:hAnsi="Arial" w:eastAsia="Arial" w:cs="Arial"/>
          <w:i/>
        </w:rPr>
        <w:fldChar w:fldCharType="separate"/>
      </w:r>
      <w:r>
        <w:rPr>
          <w:rFonts w:ascii="Arial" w:hAnsi="Arial" w:eastAsia="Arial" w:cs="Arial"/>
          <w:i w:val="0"/>
        </w:rPr>
        <w:t>4.4.2 Final test performance per model</w:t>
      </w:r>
      <w:r>
        <w:tab/>
      </w:r>
      <w:r>
        <w:fldChar w:fldCharType="begin"/>
      </w:r>
      <w:r>
        <w:instrText xml:space="preserve"> PAGEREF _Toc23441686 \h </w:instrText>
      </w:r>
      <w:r>
        <w:fldChar w:fldCharType="separate"/>
      </w:r>
      <w:r>
        <w:t>31</w:t>
      </w:r>
      <w:r>
        <w:fldChar w:fldCharType="end"/>
      </w:r>
      <w:r>
        <w:rPr>
          <w:rFonts w:ascii="Arial" w:hAnsi="Arial" w:eastAsia="Arial" w:cs="Arial"/>
          <w:i/>
          <w:color w:val="000000"/>
        </w:rPr>
        <w:fldChar w:fldCharType="end"/>
      </w:r>
    </w:p>
    <w:p w14:paraId="1C64174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_Toc994909201 </w:instrText>
      </w:r>
      <w:r>
        <w:rPr>
          <w:rFonts w:ascii="Arial" w:hAnsi="Arial" w:eastAsia="Arial" w:cs="Arial"/>
          <w:i/>
        </w:rPr>
        <w:fldChar w:fldCharType="separate"/>
      </w:r>
      <w:r>
        <w:rPr>
          <w:rFonts w:ascii="Arial" w:hAnsi="Arial" w:eastAsia="Arial" w:cs="Arial"/>
          <w:i w:val="0"/>
        </w:rPr>
        <w:t>4.4.3 Confusion matrices</w:t>
      </w:r>
      <w:r>
        <w:tab/>
      </w:r>
      <w:r>
        <w:fldChar w:fldCharType="begin"/>
      </w:r>
      <w:r>
        <w:instrText xml:space="preserve"> PAGEREF _Toc994909201 \h </w:instrText>
      </w:r>
      <w:r>
        <w:fldChar w:fldCharType="separate"/>
      </w:r>
      <w:r>
        <w:t>31</w:t>
      </w:r>
      <w:r>
        <w:fldChar w:fldCharType="end"/>
      </w:r>
      <w:r>
        <w:rPr>
          <w:rFonts w:ascii="Arial" w:hAnsi="Arial" w:eastAsia="Arial" w:cs="Arial"/>
          <w:i/>
          <w:color w:val="000000"/>
        </w:rPr>
        <w:fldChar w:fldCharType="end"/>
      </w:r>
    </w:p>
    <w:p w14:paraId="7457C0F4">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_Toc1131265665 </w:instrText>
      </w:r>
      <w:r>
        <w:rPr>
          <w:rFonts w:ascii="Arial" w:hAnsi="Arial" w:eastAsia="Arial" w:cs="Arial"/>
          <w:i/>
        </w:rPr>
        <w:fldChar w:fldCharType="separate"/>
      </w:r>
      <w:r>
        <w:rPr>
          <w:rFonts w:ascii="Arial" w:hAnsi="Arial" w:eastAsia="Arial" w:cs="Arial"/>
          <w:i w:val="0"/>
        </w:rPr>
        <w:t>4.4.4 Grad-CAM comparison</w:t>
      </w:r>
      <w:r>
        <w:tab/>
      </w:r>
      <w:r>
        <w:fldChar w:fldCharType="begin"/>
      </w:r>
      <w:r>
        <w:instrText xml:space="preserve"> PAGEREF _Toc1131265665 \h </w:instrText>
      </w:r>
      <w:r>
        <w:fldChar w:fldCharType="separate"/>
      </w:r>
      <w:r>
        <w:t>32</w:t>
      </w:r>
      <w:r>
        <w:fldChar w:fldCharType="end"/>
      </w:r>
      <w:r>
        <w:rPr>
          <w:rFonts w:ascii="Arial" w:hAnsi="Arial" w:eastAsia="Arial" w:cs="Arial"/>
          <w:i/>
          <w:color w:val="000000"/>
        </w:rPr>
        <w:fldChar w:fldCharType="end"/>
      </w:r>
    </w:p>
    <w:p w14:paraId="0F8CF18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_Toc1509304764 </w:instrText>
      </w:r>
      <w:r>
        <w:rPr>
          <w:rFonts w:ascii="Arial" w:hAnsi="Arial" w:eastAsia="Arial" w:cs="Arial"/>
          <w:i/>
        </w:rPr>
        <w:fldChar w:fldCharType="separate"/>
      </w:r>
      <w:r>
        <w:rPr>
          <w:rFonts w:ascii="Arial" w:hAnsi="Arial" w:eastAsia="Arial" w:cs="Arial"/>
          <w:i w:val="0"/>
        </w:rPr>
        <w:t>4.5 YOLOv8 detection and counting</w:t>
      </w:r>
      <w:r>
        <w:tab/>
      </w:r>
      <w:r>
        <w:fldChar w:fldCharType="begin"/>
      </w:r>
      <w:r>
        <w:instrText xml:space="preserve"> PAGEREF _Toc1509304764 \h </w:instrText>
      </w:r>
      <w:r>
        <w:fldChar w:fldCharType="separate"/>
      </w:r>
      <w:r>
        <w:t>33</w:t>
      </w:r>
      <w:r>
        <w:fldChar w:fldCharType="end"/>
      </w:r>
      <w:r>
        <w:rPr>
          <w:rFonts w:ascii="Arial" w:hAnsi="Arial" w:eastAsia="Arial" w:cs="Arial"/>
          <w:i/>
          <w:color w:val="000000"/>
        </w:rPr>
        <w:fldChar w:fldCharType="end"/>
      </w:r>
    </w:p>
    <w:p w14:paraId="539C177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_Toc808330184 </w:instrText>
      </w:r>
      <w:r>
        <w:rPr>
          <w:rFonts w:ascii="Arial" w:hAnsi="Arial" w:eastAsia="Arial" w:cs="Arial"/>
          <w:i/>
        </w:rPr>
        <w:fldChar w:fldCharType="separate"/>
      </w:r>
      <w:r>
        <w:rPr>
          <w:rFonts w:ascii="Arial" w:hAnsi="Arial" w:eastAsia="Arial" w:cs="Arial"/>
          <w:i w:val="0"/>
        </w:rPr>
        <w:t>4.5.1 Training trajectory and per-class detection metrics</w:t>
      </w:r>
      <w:r>
        <w:tab/>
      </w:r>
      <w:r>
        <w:fldChar w:fldCharType="begin"/>
      </w:r>
      <w:r>
        <w:instrText xml:space="preserve"> PAGEREF _Toc808330184 \h </w:instrText>
      </w:r>
      <w:r>
        <w:fldChar w:fldCharType="separate"/>
      </w:r>
      <w:r>
        <w:t>33</w:t>
      </w:r>
      <w:r>
        <w:fldChar w:fldCharType="end"/>
      </w:r>
      <w:r>
        <w:rPr>
          <w:rFonts w:ascii="Arial" w:hAnsi="Arial" w:eastAsia="Arial" w:cs="Arial"/>
          <w:i/>
          <w:color w:val="000000"/>
        </w:rPr>
        <w:fldChar w:fldCharType="end"/>
      </w:r>
    </w:p>
    <w:p w14:paraId="42C5034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_Toc623851566 </w:instrText>
      </w:r>
      <w:r>
        <w:rPr>
          <w:rFonts w:ascii="Arial" w:hAnsi="Arial" w:eastAsia="Arial" w:cs="Arial"/>
          <w:i/>
        </w:rPr>
        <w:fldChar w:fldCharType="separate"/>
      </w:r>
      <w:r>
        <w:rPr>
          <w:rFonts w:ascii="Arial" w:hAnsi="Arial" w:eastAsia="Arial" w:cs="Arial"/>
          <w:i w:val="0"/>
        </w:rPr>
        <w:t>4.5.2 Counting performance</w:t>
      </w:r>
      <w:r>
        <w:tab/>
      </w:r>
      <w:r>
        <w:fldChar w:fldCharType="begin"/>
      </w:r>
      <w:r>
        <w:instrText xml:space="preserve"> PAGEREF _Toc623851566 \h </w:instrText>
      </w:r>
      <w:r>
        <w:fldChar w:fldCharType="separate"/>
      </w:r>
      <w:r>
        <w:t>34</w:t>
      </w:r>
      <w:r>
        <w:fldChar w:fldCharType="end"/>
      </w:r>
      <w:r>
        <w:rPr>
          <w:rFonts w:ascii="Arial" w:hAnsi="Arial" w:eastAsia="Arial" w:cs="Arial"/>
          <w:i/>
          <w:color w:val="000000"/>
        </w:rPr>
        <w:fldChar w:fldCharType="end"/>
      </w:r>
    </w:p>
    <w:p w14:paraId="3CFE7BB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_Toc1058105108 </w:instrText>
      </w:r>
      <w:r>
        <w:rPr>
          <w:rFonts w:ascii="Arial" w:hAnsi="Arial" w:eastAsia="Arial" w:cs="Arial"/>
          <w:i/>
        </w:rPr>
        <w:fldChar w:fldCharType="separate"/>
      </w:r>
      <w:r>
        <w:rPr>
          <w:rFonts w:ascii="Arial" w:hAnsi="Arial" w:eastAsia="Arial" w:cs="Arial"/>
          <w:i w:val="0"/>
        </w:rPr>
        <w:t>4.5.3 Detection examples</w:t>
      </w:r>
      <w:r>
        <w:tab/>
      </w:r>
      <w:r>
        <w:fldChar w:fldCharType="begin"/>
      </w:r>
      <w:r>
        <w:instrText xml:space="preserve"> PAGEREF _Toc1058105108 \h </w:instrText>
      </w:r>
      <w:r>
        <w:fldChar w:fldCharType="separate"/>
      </w:r>
      <w:r>
        <w:t>34</w:t>
      </w:r>
      <w:r>
        <w:fldChar w:fldCharType="end"/>
      </w:r>
      <w:r>
        <w:rPr>
          <w:rFonts w:ascii="Arial" w:hAnsi="Arial" w:eastAsia="Arial" w:cs="Arial"/>
          <w:i/>
          <w:color w:val="000000"/>
        </w:rPr>
        <w:fldChar w:fldCharType="end"/>
      </w:r>
    </w:p>
    <w:p w14:paraId="33F5D92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_Toc260469349 </w:instrText>
      </w:r>
      <w:r>
        <w:rPr>
          <w:rFonts w:ascii="Arial" w:hAnsi="Arial" w:eastAsia="Arial" w:cs="Arial"/>
          <w:i/>
        </w:rPr>
        <w:fldChar w:fldCharType="separate"/>
      </w:r>
      <w:r>
        <w:rPr>
          <w:rFonts w:ascii="Arial" w:hAnsi="Arial" w:eastAsia="Arial" w:cs="Arial"/>
          <w:i w:val="0"/>
        </w:rPr>
        <w:t>4.6 Statistical comparison via McNemar test</w:t>
      </w:r>
      <w:r>
        <w:tab/>
      </w:r>
      <w:r>
        <w:fldChar w:fldCharType="begin"/>
      </w:r>
      <w:r>
        <w:instrText xml:space="preserve"> PAGEREF _Toc260469349 \h </w:instrText>
      </w:r>
      <w:r>
        <w:fldChar w:fldCharType="separate"/>
      </w:r>
      <w:r>
        <w:t>36</w:t>
      </w:r>
      <w:r>
        <w:fldChar w:fldCharType="end"/>
      </w:r>
      <w:r>
        <w:rPr>
          <w:rFonts w:ascii="Arial" w:hAnsi="Arial" w:eastAsia="Arial" w:cs="Arial"/>
          <w:i/>
          <w:color w:val="000000"/>
        </w:rPr>
        <w:fldChar w:fldCharType="end"/>
      </w:r>
    </w:p>
    <w:p w14:paraId="33715B1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_Toc1136676057 </w:instrText>
      </w:r>
      <w:r>
        <w:rPr>
          <w:rFonts w:ascii="Arial" w:hAnsi="Arial" w:eastAsia="Arial" w:cs="Arial"/>
          <w:i/>
        </w:rPr>
        <w:fldChar w:fldCharType="separate"/>
      </w:r>
      <w:r>
        <w:rPr>
          <w:rFonts w:ascii="Arial" w:hAnsi="Arial" w:eastAsia="Arial" w:cs="Arial"/>
          <w:i w:val="0"/>
        </w:rPr>
        <w:t>4.7 Per-subgroup analysis</w:t>
      </w:r>
      <w:r>
        <w:tab/>
      </w:r>
      <w:r>
        <w:fldChar w:fldCharType="begin"/>
      </w:r>
      <w:r>
        <w:instrText xml:space="preserve"> PAGEREF _Toc1136676057 \h </w:instrText>
      </w:r>
      <w:r>
        <w:fldChar w:fldCharType="separate"/>
      </w:r>
      <w:r>
        <w:t>36</w:t>
      </w:r>
      <w:r>
        <w:fldChar w:fldCharType="end"/>
      </w:r>
      <w:r>
        <w:rPr>
          <w:rFonts w:ascii="Arial" w:hAnsi="Arial" w:eastAsia="Arial" w:cs="Arial"/>
          <w:i/>
          <w:color w:val="000000"/>
        </w:rPr>
        <w:fldChar w:fldCharType="end"/>
      </w:r>
    </w:p>
    <w:p w14:paraId="1D9C8F1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_Toc99966287 </w:instrText>
      </w:r>
      <w:r>
        <w:rPr>
          <w:rFonts w:ascii="Arial" w:hAnsi="Arial" w:eastAsia="Arial" w:cs="Arial"/>
          <w:i/>
        </w:rPr>
        <w:fldChar w:fldCharType="separate"/>
      </w:r>
      <w:r>
        <w:rPr>
          <w:rFonts w:ascii="Arial" w:hAnsi="Arial" w:eastAsia="Arial" w:cs="Arial"/>
          <w:i w:val="0"/>
        </w:rPr>
        <w:t>4.7.1 Lighting by model accuracy</w:t>
      </w:r>
      <w:r>
        <w:tab/>
      </w:r>
      <w:r>
        <w:fldChar w:fldCharType="begin"/>
      </w:r>
      <w:r>
        <w:instrText xml:space="preserve"> PAGEREF _Toc99966287 \h </w:instrText>
      </w:r>
      <w:r>
        <w:fldChar w:fldCharType="separate"/>
      </w:r>
      <w:r>
        <w:t>36</w:t>
      </w:r>
      <w:r>
        <w:fldChar w:fldCharType="end"/>
      </w:r>
      <w:r>
        <w:rPr>
          <w:rFonts w:ascii="Arial" w:hAnsi="Arial" w:eastAsia="Arial" w:cs="Arial"/>
          <w:i/>
          <w:color w:val="000000"/>
        </w:rPr>
        <w:fldChar w:fldCharType="end"/>
      </w:r>
    </w:p>
    <w:p w14:paraId="5CE7EA2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_Toc801173655 </w:instrText>
      </w:r>
      <w:r>
        <w:rPr>
          <w:rFonts w:ascii="Arial" w:hAnsi="Arial" w:eastAsia="Arial" w:cs="Arial"/>
          <w:i/>
        </w:rPr>
        <w:fldChar w:fldCharType="separate"/>
      </w:r>
      <w:r>
        <w:rPr>
          <w:rFonts w:ascii="Arial" w:hAnsi="Arial" w:eastAsia="Arial" w:cs="Arial"/>
          <w:i w:val="0"/>
        </w:rPr>
        <w:t>4.7.2 Occlusion by model accuracy</w:t>
      </w:r>
      <w:r>
        <w:tab/>
      </w:r>
      <w:r>
        <w:fldChar w:fldCharType="begin"/>
      </w:r>
      <w:r>
        <w:instrText xml:space="preserve"> PAGEREF _Toc801173655 \h </w:instrText>
      </w:r>
      <w:r>
        <w:fldChar w:fldCharType="separate"/>
      </w:r>
      <w:r>
        <w:t>37</w:t>
      </w:r>
      <w:r>
        <w:fldChar w:fldCharType="end"/>
      </w:r>
      <w:r>
        <w:rPr>
          <w:rFonts w:ascii="Arial" w:hAnsi="Arial" w:eastAsia="Arial" w:cs="Arial"/>
          <w:i/>
          <w:color w:val="000000"/>
        </w:rPr>
        <w:fldChar w:fldCharType="end"/>
      </w:r>
    </w:p>
    <w:p w14:paraId="127D6AA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_Toc603152895 </w:instrText>
      </w:r>
      <w:r>
        <w:rPr>
          <w:rFonts w:ascii="Arial" w:hAnsi="Arial" w:eastAsia="Arial" w:cs="Arial"/>
          <w:i/>
        </w:rPr>
        <w:fldChar w:fldCharType="separate"/>
      </w:r>
      <w:r>
        <w:rPr>
          <w:rFonts w:ascii="Arial" w:hAnsi="Arial" w:eastAsia="Arial" w:cs="Arial"/>
          <w:i w:val="0"/>
        </w:rPr>
        <w:t>4.7.3 YOLO counting MAE by subgroup</w:t>
      </w:r>
      <w:r>
        <w:tab/>
      </w:r>
      <w:r>
        <w:fldChar w:fldCharType="begin"/>
      </w:r>
      <w:r>
        <w:instrText xml:space="preserve"> PAGEREF _Toc603152895 \h </w:instrText>
      </w:r>
      <w:r>
        <w:fldChar w:fldCharType="separate"/>
      </w:r>
      <w:r>
        <w:t>37</w:t>
      </w:r>
      <w:r>
        <w:fldChar w:fldCharType="end"/>
      </w:r>
      <w:r>
        <w:rPr>
          <w:rFonts w:ascii="Arial" w:hAnsi="Arial" w:eastAsia="Arial" w:cs="Arial"/>
          <w:i/>
          <w:color w:val="000000"/>
        </w:rPr>
        <w:fldChar w:fldCharType="end"/>
      </w:r>
    </w:p>
    <w:p w14:paraId="678DCF65">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_Toc1067892425 </w:instrText>
      </w:r>
      <w:r>
        <w:rPr>
          <w:rFonts w:ascii="Arial" w:hAnsi="Arial" w:eastAsia="Arial" w:cs="Arial"/>
          <w:i/>
        </w:rPr>
        <w:fldChar w:fldCharType="separate"/>
      </w:r>
      <w:r>
        <w:rPr>
          <w:rFonts w:ascii="Arial" w:hAnsi="Arial" w:eastAsia="Arial" w:cs="Arial"/>
          <w:i w:val="0"/>
        </w:rPr>
        <w:t>4.8 Hypothesis testing summary</w:t>
      </w:r>
      <w:r>
        <w:tab/>
      </w:r>
      <w:r>
        <w:fldChar w:fldCharType="begin"/>
      </w:r>
      <w:r>
        <w:instrText xml:space="preserve"> PAGEREF _Toc1067892425 \h </w:instrText>
      </w:r>
      <w:r>
        <w:fldChar w:fldCharType="separate"/>
      </w:r>
      <w:r>
        <w:t>39</w:t>
      </w:r>
      <w:r>
        <w:fldChar w:fldCharType="end"/>
      </w:r>
      <w:r>
        <w:rPr>
          <w:rFonts w:ascii="Arial" w:hAnsi="Arial" w:eastAsia="Arial" w:cs="Arial"/>
          <w:i/>
          <w:color w:val="000000"/>
        </w:rPr>
        <w:fldChar w:fldCharType="end"/>
      </w:r>
    </w:p>
    <w:p w14:paraId="51CB1E89">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_Toc1547148996 </w:instrText>
      </w:r>
      <w:r>
        <w:rPr>
          <w:rFonts w:ascii="Arial" w:hAnsi="Arial" w:eastAsia="Arial" w:cs="Arial"/>
          <w:i/>
        </w:rPr>
        <w:fldChar w:fldCharType="separate"/>
      </w:r>
      <w:r>
        <w:rPr>
          <w:rFonts w:ascii="Arial" w:hAnsi="Arial" w:eastAsia="Arial" w:cs="Arial"/>
          <w:i w:val="0"/>
        </w:rPr>
        <w:t>5. Discussion</w:t>
      </w:r>
      <w:r>
        <w:tab/>
      </w:r>
      <w:r>
        <w:fldChar w:fldCharType="begin"/>
      </w:r>
      <w:r>
        <w:instrText xml:space="preserve"> PAGEREF _Toc1547148996 \h </w:instrText>
      </w:r>
      <w:r>
        <w:fldChar w:fldCharType="separate"/>
      </w:r>
      <w:r>
        <w:t>40</w:t>
      </w:r>
      <w:r>
        <w:fldChar w:fldCharType="end"/>
      </w:r>
      <w:r>
        <w:rPr>
          <w:rFonts w:ascii="Arial" w:hAnsi="Arial" w:eastAsia="Arial" w:cs="Arial"/>
          <w:i/>
          <w:color w:val="000000"/>
        </w:rPr>
        <w:fldChar w:fldCharType="end"/>
      </w:r>
    </w:p>
    <w:p w14:paraId="2E214D7D">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_Toc1201177896 </w:instrText>
      </w:r>
      <w:r>
        <w:rPr>
          <w:rFonts w:ascii="Arial" w:hAnsi="Arial" w:eastAsia="Arial" w:cs="Arial"/>
          <w:i/>
        </w:rPr>
        <w:fldChar w:fldCharType="separate"/>
      </w:r>
      <w:r>
        <w:rPr>
          <w:rFonts w:ascii="Arial" w:hAnsi="Arial" w:eastAsia="Arial" w:cs="Arial"/>
          <w:i w:val="0"/>
        </w:rPr>
        <w:t>5.1 Interpretation of main findings</w:t>
      </w:r>
      <w:r>
        <w:tab/>
      </w:r>
      <w:r>
        <w:fldChar w:fldCharType="begin"/>
      </w:r>
      <w:r>
        <w:instrText xml:space="preserve"> PAGEREF _Toc1201177896 \h </w:instrText>
      </w:r>
      <w:r>
        <w:fldChar w:fldCharType="separate"/>
      </w:r>
      <w:r>
        <w:t>40</w:t>
      </w:r>
      <w:r>
        <w:fldChar w:fldCharType="end"/>
      </w:r>
      <w:r>
        <w:rPr>
          <w:rFonts w:ascii="Arial" w:hAnsi="Arial" w:eastAsia="Arial" w:cs="Arial"/>
          <w:i/>
          <w:color w:val="000000"/>
        </w:rPr>
        <w:fldChar w:fldCharType="end"/>
      </w:r>
    </w:p>
    <w:p w14:paraId="0BE467B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_Toc1850616272 </w:instrText>
      </w:r>
      <w:r>
        <w:rPr>
          <w:rFonts w:ascii="Arial" w:hAnsi="Arial" w:eastAsia="Arial" w:cs="Arial"/>
          <w:i/>
        </w:rPr>
        <w:fldChar w:fldCharType="separate"/>
      </w:r>
      <w:r>
        <w:rPr>
          <w:rFonts w:ascii="Arial" w:hAnsi="Arial" w:eastAsia="Arial" w:cs="Arial"/>
          <w:i w:val="0"/>
        </w:rPr>
        <w:t>5.2 H1 verdict: ImageNet is not a universal foundation</w:t>
      </w:r>
      <w:r>
        <w:tab/>
      </w:r>
      <w:r>
        <w:fldChar w:fldCharType="begin"/>
      </w:r>
      <w:r>
        <w:instrText xml:space="preserve"> PAGEREF _Toc1850616272 \h </w:instrText>
      </w:r>
      <w:r>
        <w:fldChar w:fldCharType="separate"/>
      </w:r>
      <w:r>
        <w:t>40</w:t>
      </w:r>
      <w:r>
        <w:fldChar w:fldCharType="end"/>
      </w:r>
      <w:r>
        <w:rPr>
          <w:rFonts w:ascii="Arial" w:hAnsi="Arial" w:eastAsia="Arial" w:cs="Arial"/>
          <w:i/>
          <w:color w:val="000000"/>
        </w:rPr>
        <w:fldChar w:fldCharType="end"/>
      </w:r>
    </w:p>
    <w:p w14:paraId="31EDE095">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_Toc1302024003 </w:instrText>
      </w:r>
      <w:r>
        <w:rPr>
          <w:rFonts w:ascii="Arial" w:hAnsi="Arial" w:eastAsia="Arial" w:cs="Arial"/>
          <w:i/>
        </w:rPr>
        <w:fldChar w:fldCharType="separate"/>
      </w:r>
      <w:r>
        <w:rPr>
          <w:rFonts w:ascii="Arial" w:hAnsi="Arial" w:eastAsia="Arial" w:cs="Arial"/>
          <w:i w:val="0"/>
        </w:rPr>
        <w:t>5.3 H2 verdict: augmentation gives a small but real lift</w:t>
      </w:r>
      <w:r>
        <w:tab/>
      </w:r>
      <w:r>
        <w:fldChar w:fldCharType="begin"/>
      </w:r>
      <w:r>
        <w:instrText xml:space="preserve"> PAGEREF _Toc1302024003 \h </w:instrText>
      </w:r>
      <w:r>
        <w:fldChar w:fldCharType="separate"/>
      </w:r>
      <w:r>
        <w:t>40</w:t>
      </w:r>
      <w:r>
        <w:fldChar w:fldCharType="end"/>
      </w:r>
      <w:r>
        <w:rPr>
          <w:rFonts w:ascii="Arial" w:hAnsi="Arial" w:eastAsia="Arial" w:cs="Arial"/>
          <w:i/>
          <w:color w:val="000000"/>
        </w:rPr>
        <w:fldChar w:fldCharType="end"/>
      </w:r>
    </w:p>
    <w:p w14:paraId="4628F357">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_Toc259055491 </w:instrText>
      </w:r>
      <w:r>
        <w:rPr>
          <w:rFonts w:ascii="Arial" w:hAnsi="Arial" w:eastAsia="Arial" w:cs="Arial"/>
          <w:i/>
        </w:rPr>
        <w:fldChar w:fldCharType="separate"/>
      </w:r>
      <w:r>
        <w:rPr>
          <w:rFonts w:ascii="Arial" w:hAnsi="Arial" w:eastAsia="Arial" w:cs="Arial"/>
          <w:i w:val="0"/>
        </w:rPr>
        <w:t>5.4 H3 verdict: occlusion is the dominant environmental factor</w:t>
      </w:r>
      <w:r>
        <w:tab/>
      </w:r>
      <w:r>
        <w:fldChar w:fldCharType="begin"/>
      </w:r>
      <w:r>
        <w:instrText xml:space="preserve"> PAGEREF _Toc259055491 \h </w:instrText>
      </w:r>
      <w:r>
        <w:fldChar w:fldCharType="separate"/>
      </w:r>
      <w:r>
        <w:t>41</w:t>
      </w:r>
      <w:r>
        <w:fldChar w:fldCharType="end"/>
      </w:r>
      <w:r>
        <w:rPr>
          <w:rFonts w:ascii="Arial" w:hAnsi="Arial" w:eastAsia="Arial" w:cs="Arial"/>
          <w:i/>
          <w:color w:val="000000"/>
        </w:rPr>
        <w:fldChar w:fldCharType="end"/>
      </w:r>
    </w:p>
    <w:p w14:paraId="5FABD63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_Toc996284768 </w:instrText>
      </w:r>
      <w:r>
        <w:rPr>
          <w:rFonts w:ascii="Arial" w:hAnsi="Arial" w:eastAsia="Arial" w:cs="Arial"/>
          <w:i/>
        </w:rPr>
        <w:fldChar w:fldCharType="separate"/>
      </w:r>
      <w:r>
        <w:rPr>
          <w:rFonts w:ascii="Arial" w:hAnsi="Arial" w:eastAsia="Arial" w:cs="Arial"/>
          <w:i w:val="0"/>
        </w:rPr>
        <w:t>5.5 Statistical robustness</w:t>
      </w:r>
      <w:r>
        <w:tab/>
      </w:r>
      <w:r>
        <w:fldChar w:fldCharType="begin"/>
      </w:r>
      <w:r>
        <w:instrText xml:space="preserve"> PAGEREF _Toc996284768 \h </w:instrText>
      </w:r>
      <w:r>
        <w:fldChar w:fldCharType="separate"/>
      </w:r>
      <w:r>
        <w:t>41</w:t>
      </w:r>
      <w:r>
        <w:fldChar w:fldCharType="end"/>
      </w:r>
      <w:r>
        <w:rPr>
          <w:rFonts w:ascii="Arial" w:hAnsi="Arial" w:eastAsia="Arial" w:cs="Arial"/>
          <w:i/>
          <w:color w:val="000000"/>
        </w:rPr>
        <w:fldChar w:fldCharType="end"/>
      </w:r>
    </w:p>
    <w:p w14:paraId="70802F18">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_Toc628100117 </w:instrText>
      </w:r>
      <w:r>
        <w:rPr>
          <w:rFonts w:ascii="Arial" w:hAnsi="Arial" w:eastAsia="Arial" w:cs="Arial"/>
          <w:i/>
        </w:rPr>
        <w:fldChar w:fldCharType="separate"/>
      </w:r>
      <w:r>
        <w:rPr>
          <w:rFonts w:ascii="Arial" w:hAnsi="Arial" w:eastAsia="Arial" w:cs="Arial"/>
          <w:i w:val="0"/>
        </w:rPr>
        <w:t>5.6 Practical feasibility</w:t>
      </w:r>
      <w:r>
        <w:tab/>
      </w:r>
      <w:r>
        <w:fldChar w:fldCharType="begin"/>
      </w:r>
      <w:r>
        <w:instrText xml:space="preserve"> PAGEREF _Toc628100117 \h </w:instrText>
      </w:r>
      <w:r>
        <w:fldChar w:fldCharType="separate"/>
      </w:r>
      <w:r>
        <w:t>41</w:t>
      </w:r>
      <w:r>
        <w:fldChar w:fldCharType="end"/>
      </w:r>
      <w:r>
        <w:rPr>
          <w:rFonts w:ascii="Arial" w:hAnsi="Arial" w:eastAsia="Arial" w:cs="Arial"/>
          <w:i/>
          <w:color w:val="000000"/>
        </w:rPr>
        <w:fldChar w:fldCharType="end"/>
      </w:r>
    </w:p>
    <w:p w14:paraId="242C4A4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_Toc1596541414 </w:instrText>
      </w:r>
      <w:r>
        <w:rPr>
          <w:rFonts w:ascii="Arial" w:hAnsi="Arial" w:eastAsia="Arial" w:cs="Arial"/>
          <w:i/>
        </w:rPr>
        <w:fldChar w:fldCharType="separate"/>
      </w:r>
      <w:r>
        <w:rPr>
          <w:rFonts w:ascii="Arial" w:hAnsi="Arial" w:eastAsia="Arial" w:cs="Arial"/>
          <w:i w:val="0"/>
        </w:rPr>
        <w:t>5.7 Comparison with prior work</w:t>
      </w:r>
      <w:r>
        <w:tab/>
      </w:r>
      <w:r>
        <w:fldChar w:fldCharType="begin"/>
      </w:r>
      <w:r>
        <w:instrText xml:space="preserve"> PAGEREF _Toc1596541414 \h </w:instrText>
      </w:r>
      <w:r>
        <w:fldChar w:fldCharType="separate"/>
      </w:r>
      <w:r>
        <w:t>41</w:t>
      </w:r>
      <w:r>
        <w:fldChar w:fldCharType="end"/>
      </w:r>
      <w:r>
        <w:rPr>
          <w:rFonts w:ascii="Arial" w:hAnsi="Arial" w:eastAsia="Arial" w:cs="Arial"/>
          <w:i/>
          <w:color w:val="000000"/>
        </w:rPr>
        <w:fldChar w:fldCharType="end"/>
      </w:r>
    </w:p>
    <w:p w14:paraId="6ECCF7F2">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_Toc263375833 </w:instrText>
      </w:r>
      <w:r>
        <w:rPr>
          <w:rFonts w:ascii="Arial" w:hAnsi="Arial" w:eastAsia="Arial" w:cs="Arial"/>
          <w:i/>
        </w:rPr>
        <w:fldChar w:fldCharType="separate"/>
      </w:r>
      <w:r>
        <w:rPr>
          <w:rFonts w:ascii="Arial" w:hAnsi="Arial" w:eastAsia="Arial" w:cs="Arial"/>
          <w:i w:val="0"/>
        </w:rPr>
        <w:t>5.8 Limitations</w:t>
      </w:r>
      <w:r>
        <w:tab/>
      </w:r>
      <w:r>
        <w:fldChar w:fldCharType="begin"/>
      </w:r>
      <w:r>
        <w:instrText xml:space="preserve"> PAGEREF _Toc263375833 \h </w:instrText>
      </w:r>
      <w:r>
        <w:fldChar w:fldCharType="separate"/>
      </w:r>
      <w:r>
        <w:t>44</w:t>
      </w:r>
      <w:r>
        <w:fldChar w:fldCharType="end"/>
      </w:r>
      <w:r>
        <w:rPr>
          <w:rFonts w:ascii="Arial" w:hAnsi="Arial" w:eastAsia="Arial" w:cs="Arial"/>
          <w:i/>
          <w:color w:val="000000"/>
        </w:rPr>
        <w:fldChar w:fldCharType="end"/>
      </w:r>
    </w:p>
    <w:p w14:paraId="5729074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_Toc593828764 </w:instrText>
      </w:r>
      <w:r>
        <w:rPr>
          <w:rFonts w:ascii="Arial" w:hAnsi="Arial" w:eastAsia="Arial" w:cs="Arial"/>
          <w:i/>
        </w:rPr>
        <w:fldChar w:fldCharType="separate"/>
      </w:r>
      <w:r>
        <w:rPr>
          <w:rFonts w:ascii="Arial" w:hAnsi="Arial" w:eastAsia="Arial" w:cs="Arial"/>
          <w:i w:val="0"/>
        </w:rPr>
        <w:t>5.9 Reflection on methodology</w:t>
      </w:r>
      <w:r>
        <w:tab/>
      </w:r>
      <w:r>
        <w:fldChar w:fldCharType="begin"/>
      </w:r>
      <w:r>
        <w:instrText xml:space="preserve"> PAGEREF _Toc593828764 \h </w:instrText>
      </w:r>
      <w:r>
        <w:fldChar w:fldCharType="separate"/>
      </w:r>
      <w:r>
        <w:t>45</w:t>
      </w:r>
      <w:r>
        <w:fldChar w:fldCharType="end"/>
      </w:r>
      <w:r>
        <w:rPr>
          <w:rFonts w:ascii="Arial" w:hAnsi="Arial" w:eastAsia="Arial" w:cs="Arial"/>
          <w:i/>
          <w:color w:val="000000"/>
        </w:rPr>
        <w:fldChar w:fldCharType="end"/>
      </w:r>
    </w:p>
    <w:p w14:paraId="5DF8EF9F">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_Toc1123528939 </w:instrText>
      </w:r>
      <w:r>
        <w:rPr>
          <w:rFonts w:ascii="Arial" w:hAnsi="Arial" w:eastAsia="Arial" w:cs="Arial"/>
          <w:i/>
        </w:rPr>
        <w:fldChar w:fldCharType="separate"/>
      </w:r>
      <w:r>
        <w:rPr>
          <w:rFonts w:ascii="Arial" w:hAnsi="Arial" w:eastAsia="Arial" w:cs="Arial"/>
          <w:i w:val="0"/>
        </w:rPr>
        <w:t>6. Conclusion and Recommendations</w:t>
      </w:r>
      <w:r>
        <w:tab/>
      </w:r>
      <w:r>
        <w:fldChar w:fldCharType="begin"/>
      </w:r>
      <w:r>
        <w:instrText xml:space="preserve"> PAGEREF _Toc1123528939 \h </w:instrText>
      </w:r>
      <w:r>
        <w:fldChar w:fldCharType="separate"/>
      </w:r>
      <w:r>
        <w:t>49</w:t>
      </w:r>
      <w:r>
        <w:fldChar w:fldCharType="end"/>
      </w:r>
      <w:r>
        <w:rPr>
          <w:rFonts w:ascii="Arial" w:hAnsi="Arial" w:eastAsia="Arial" w:cs="Arial"/>
          <w:i/>
          <w:color w:val="000000"/>
        </w:rPr>
        <w:fldChar w:fldCharType="end"/>
      </w:r>
    </w:p>
    <w:p w14:paraId="4408D14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_Toc327169702 </w:instrText>
      </w:r>
      <w:r>
        <w:rPr>
          <w:rFonts w:ascii="Arial" w:hAnsi="Arial" w:eastAsia="Arial" w:cs="Arial"/>
          <w:i/>
        </w:rPr>
        <w:fldChar w:fldCharType="separate"/>
      </w:r>
      <w:r>
        <w:rPr>
          <w:rFonts w:ascii="Arial" w:hAnsi="Arial" w:eastAsia="Arial" w:cs="Arial"/>
          <w:i w:val="0"/>
        </w:rPr>
        <w:t>6.1 Summary of findings</w:t>
      </w:r>
      <w:r>
        <w:tab/>
      </w:r>
      <w:r>
        <w:fldChar w:fldCharType="begin"/>
      </w:r>
      <w:r>
        <w:instrText xml:space="preserve"> PAGEREF _Toc327169702 \h </w:instrText>
      </w:r>
      <w:r>
        <w:fldChar w:fldCharType="separate"/>
      </w:r>
      <w:r>
        <w:t>49</w:t>
      </w:r>
      <w:r>
        <w:fldChar w:fldCharType="end"/>
      </w:r>
      <w:r>
        <w:rPr>
          <w:rFonts w:ascii="Arial" w:hAnsi="Arial" w:eastAsia="Arial" w:cs="Arial"/>
          <w:i/>
          <w:color w:val="000000"/>
        </w:rPr>
        <w:fldChar w:fldCharType="end"/>
      </w:r>
    </w:p>
    <w:p w14:paraId="687D565E">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_Toc1183045194 </w:instrText>
      </w:r>
      <w:r>
        <w:rPr>
          <w:rFonts w:ascii="Arial" w:hAnsi="Arial" w:eastAsia="Arial" w:cs="Arial"/>
          <w:i/>
        </w:rPr>
        <w:fldChar w:fldCharType="separate"/>
      </w:r>
      <w:r>
        <w:rPr>
          <w:rFonts w:ascii="Arial" w:hAnsi="Arial" w:eastAsia="Arial" w:cs="Arial"/>
          <w:i w:val="0"/>
        </w:rPr>
        <w:t>6.2 Answers to research questions</w:t>
      </w:r>
      <w:r>
        <w:tab/>
      </w:r>
      <w:r>
        <w:fldChar w:fldCharType="begin"/>
      </w:r>
      <w:r>
        <w:instrText xml:space="preserve"> PAGEREF _Toc1183045194 \h </w:instrText>
      </w:r>
      <w:r>
        <w:fldChar w:fldCharType="separate"/>
      </w:r>
      <w:r>
        <w:t>49</w:t>
      </w:r>
      <w:r>
        <w:fldChar w:fldCharType="end"/>
      </w:r>
      <w:r>
        <w:rPr>
          <w:rFonts w:ascii="Arial" w:hAnsi="Arial" w:eastAsia="Arial" w:cs="Arial"/>
          <w:i/>
          <w:color w:val="000000"/>
        </w:rPr>
        <w:fldChar w:fldCharType="end"/>
      </w:r>
    </w:p>
    <w:p w14:paraId="6B23FF97">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_Toc2036971632 </w:instrText>
      </w:r>
      <w:r>
        <w:rPr>
          <w:rFonts w:ascii="Arial" w:hAnsi="Arial" w:eastAsia="Arial" w:cs="Arial"/>
          <w:i/>
        </w:rPr>
        <w:fldChar w:fldCharType="separate"/>
      </w:r>
      <w:r>
        <w:rPr>
          <w:rFonts w:ascii="Arial" w:hAnsi="Arial" w:eastAsia="Arial" w:cs="Arial"/>
          <w:i w:val="0"/>
        </w:rPr>
        <w:t>6.3 Practical recommendations</w:t>
      </w:r>
      <w:r>
        <w:tab/>
      </w:r>
      <w:r>
        <w:fldChar w:fldCharType="begin"/>
      </w:r>
      <w:r>
        <w:instrText xml:space="preserve"> PAGEREF _Toc2036971632 \h </w:instrText>
      </w:r>
      <w:r>
        <w:fldChar w:fldCharType="separate"/>
      </w:r>
      <w:r>
        <w:t>50</w:t>
      </w:r>
      <w:r>
        <w:fldChar w:fldCharType="end"/>
      </w:r>
      <w:r>
        <w:rPr>
          <w:rFonts w:ascii="Arial" w:hAnsi="Arial" w:eastAsia="Arial" w:cs="Arial"/>
          <w:i/>
          <w:color w:val="000000"/>
        </w:rPr>
        <w:fldChar w:fldCharType="end"/>
      </w:r>
    </w:p>
    <w:p w14:paraId="6655368E">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_Toc197918550 </w:instrText>
      </w:r>
      <w:r>
        <w:rPr>
          <w:rFonts w:ascii="Arial" w:hAnsi="Arial" w:eastAsia="Arial" w:cs="Arial"/>
          <w:i/>
        </w:rPr>
        <w:fldChar w:fldCharType="separate"/>
      </w:r>
      <w:r>
        <w:rPr>
          <w:rFonts w:ascii="Arial" w:hAnsi="Arial" w:eastAsia="Arial" w:cs="Arial"/>
          <w:i w:val="0"/>
        </w:rPr>
        <w:t>6.4 Theoretical contributions</w:t>
      </w:r>
      <w:r>
        <w:tab/>
      </w:r>
      <w:r>
        <w:fldChar w:fldCharType="begin"/>
      </w:r>
      <w:r>
        <w:instrText xml:space="preserve"> PAGEREF _Toc197918550 \h </w:instrText>
      </w:r>
      <w:r>
        <w:fldChar w:fldCharType="separate"/>
      </w:r>
      <w:r>
        <w:t>51</w:t>
      </w:r>
      <w:r>
        <w:fldChar w:fldCharType="end"/>
      </w:r>
      <w:r>
        <w:rPr>
          <w:rFonts w:ascii="Arial" w:hAnsi="Arial" w:eastAsia="Arial" w:cs="Arial"/>
          <w:i/>
          <w:color w:val="000000"/>
        </w:rPr>
        <w:fldChar w:fldCharType="end"/>
      </w:r>
    </w:p>
    <w:p w14:paraId="6885C37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_Toc2112384294 </w:instrText>
      </w:r>
      <w:r>
        <w:rPr>
          <w:rFonts w:ascii="Arial" w:hAnsi="Arial" w:eastAsia="Arial" w:cs="Arial"/>
          <w:i/>
        </w:rPr>
        <w:fldChar w:fldCharType="separate"/>
      </w:r>
      <w:r>
        <w:rPr>
          <w:rFonts w:ascii="Arial" w:hAnsi="Arial" w:eastAsia="Arial" w:cs="Arial"/>
          <w:i w:val="0"/>
        </w:rPr>
        <w:t>6.5 Future work</w:t>
      </w:r>
      <w:r>
        <w:tab/>
      </w:r>
      <w:r>
        <w:fldChar w:fldCharType="begin"/>
      </w:r>
      <w:r>
        <w:instrText xml:space="preserve"> PAGEREF _Toc2112384294 \h </w:instrText>
      </w:r>
      <w:r>
        <w:fldChar w:fldCharType="separate"/>
      </w:r>
      <w:r>
        <w:t>51</w:t>
      </w:r>
      <w:r>
        <w:fldChar w:fldCharType="end"/>
      </w:r>
      <w:r>
        <w:rPr>
          <w:rFonts w:ascii="Arial" w:hAnsi="Arial" w:eastAsia="Arial" w:cs="Arial"/>
          <w:i/>
          <w:color w:val="000000"/>
        </w:rPr>
        <w:fldChar w:fldCharType="end"/>
      </w:r>
    </w:p>
    <w:p w14:paraId="418C4E2B">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_Toc643177054 </w:instrText>
      </w:r>
      <w:r>
        <w:rPr>
          <w:rFonts w:ascii="Arial" w:hAnsi="Arial" w:eastAsia="Arial" w:cs="Arial"/>
          <w:i/>
        </w:rPr>
        <w:fldChar w:fldCharType="separate"/>
      </w:r>
      <w:r>
        <w:rPr>
          <w:rFonts w:ascii="Arial" w:hAnsi="Arial" w:eastAsia="Arial" w:cs="Arial"/>
          <w:i w:val="0"/>
        </w:rPr>
        <w:t>6.6 Closing remarks</w:t>
      </w:r>
      <w:r>
        <w:tab/>
      </w:r>
      <w:r>
        <w:fldChar w:fldCharType="begin"/>
      </w:r>
      <w:r>
        <w:instrText xml:space="preserve"> PAGEREF _Toc643177054 \h </w:instrText>
      </w:r>
      <w:r>
        <w:fldChar w:fldCharType="separate"/>
      </w:r>
      <w:r>
        <w:t>52</w:t>
      </w:r>
      <w:r>
        <w:fldChar w:fldCharType="end"/>
      </w:r>
      <w:r>
        <w:rPr>
          <w:rFonts w:ascii="Arial" w:hAnsi="Arial" w:eastAsia="Arial" w:cs="Arial"/>
          <w:i/>
          <w:color w:val="000000"/>
        </w:rPr>
        <w:fldChar w:fldCharType="end"/>
      </w:r>
    </w:p>
    <w:p w14:paraId="4F1FE901">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_Toc1591551227 </w:instrText>
      </w:r>
      <w:r>
        <w:rPr>
          <w:rFonts w:ascii="Arial" w:hAnsi="Arial" w:eastAsia="Arial" w:cs="Arial"/>
          <w:i/>
        </w:rPr>
        <w:fldChar w:fldCharType="separate"/>
      </w:r>
      <w:r>
        <w:rPr>
          <w:rFonts w:ascii="Arial" w:hAnsi="Arial" w:eastAsia="Arial" w:cs="Arial"/>
          <w:i w:val="0"/>
        </w:rPr>
        <w:t>References</w:t>
      </w:r>
      <w:r>
        <w:tab/>
      </w:r>
      <w:r>
        <w:fldChar w:fldCharType="begin"/>
      </w:r>
      <w:r>
        <w:instrText xml:space="preserve"> PAGEREF _Toc1591551227 \h </w:instrText>
      </w:r>
      <w:r>
        <w:fldChar w:fldCharType="separate"/>
      </w:r>
      <w:r>
        <w:t>54</w:t>
      </w:r>
      <w:r>
        <w:fldChar w:fldCharType="end"/>
      </w:r>
      <w:r>
        <w:rPr>
          <w:rFonts w:ascii="Arial" w:hAnsi="Arial" w:eastAsia="Arial" w:cs="Arial"/>
          <w:i/>
          <w:color w:val="000000"/>
        </w:rPr>
        <w:fldChar w:fldCharType="end"/>
      </w:r>
    </w:p>
    <w:p w14:paraId="12C6CEA7">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_Toc145165157 </w:instrText>
      </w:r>
      <w:r>
        <w:rPr>
          <w:rFonts w:ascii="Arial" w:hAnsi="Arial" w:eastAsia="Arial" w:cs="Arial"/>
          <w:i/>
        </w:rPr>
        <w:fldChar w:fldCharType="separate"/>
      </w:r>
      <w:r>
        <w:rPr>
          <w:rFonts w:ascii="Arial" w:hAnsi="Arial" w:eastAsia="Arial" w:cs="Arial"/>
          <w:i w:val="0"/>
        </w:rPr>
        <w:t>Appendix A. Reproducibility and Code Availability</w:t>
      </w:r>
      <w:r>
        <w:tab/>
      </w:r>
      <w:r>
        <w:fldChar w:fldCharType="begin"/>
      </w:r>
      <w:r>
        <w:instrText xml:space="preserve"> PAGEREF _Toc145165157 \h </w:instrText>
      </w:r>
      <w:r>
        <w:fldChar w:fldCharType="separate"/>
      </w:r>
      <w:r>
        <w:t>57</w:t>
      </w:r>
      <w:r>
        <w:fldChar w:fldCharType="end"/>
      </w:r>
      <w:r>
        <w:rPr>
          <w:rFonts w:ascii="Arial" w:hAnsi="Arial" w:eastAsia="Arial" w:cs="Arial"/>
          <w:i/>
          <w:color w:val="000000"/>
        </w:rPr>
        <w:fldChar w:fldCharType="end"/>
      </w:r>
    </w:p>
    <w:p w14:paraId="7A8191E4">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_Toc249370707 </w:instrText>
      </w:r>
      <w:r>
        <w:rPr>
          <w:rFonts w:ascii="Arial" w:hAnsi="Arial" w:eastAsia="Arial" w:cs="Arial"/>
          <w:i/>
        </w:rPr>
        <w:fldChar w:fldCharType="separate"/>
      </w:r>
      <w:r>
        <w:rPr>
          <w:rFonts w:ascii="Arial" w:hAnsi="Arial" w:eastAsia="Arial" w:cs="Arial"/>
          <w:i w:val="0"/>
        </w:rPr>
        <w:t>Appendix B. Dataset Licences and Terms of Use</w:t>
      </w:r>
      <w:r>
        <w:tab/>
      </w:r>
      <w:r>
        <w:fldChar w:fldCharType="begin"/>
      </w:r>
      <w:r>
        <w:instrText xml:space="preserve"> PAGEREF _Toc249370707 \h </w:instrText>
      </w:r>
      <w:r>
        <w:fldChar w:fldCharType="separate"/>
      </w:r>
      <w:r>
        <w:t>58</w:t>
      </w:r>
      <w:r>
        <w:fldChar w:fldCharType="end"/>
      </w:r>
      <w:r>
        <w:rPr>
          <w:rFonts w:ascii="Arial" w:hAnsi="Arial" w:eastAsia="Arial" w:cs="Arial"/>
          <w:i/>
          <w:color w:val="000000"/>
        </w:rPr>
        <w:fldChar w:fldCharType="end"/>
      </w:r>
    </w:p>
    <w:p w14:paraId="47112FE8">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_Toc1432877252 </w:instrText>
      </w:r>
      <w:r>
        <w:rPr>
          <w:rFonts w:ascii="Arial" w:hAnsi="Arial" w:eastAsia="Arial" w:cs="Arial"/>
          <w:i/>
        </w:rPr>
        <w:fldChar w:fldCharType="separate"/>
      </w:r>
      <w:r>
        <w:rPr>
          <w:rFonts w:ascii="Arial" w:hAnsi="Arial" w:eastAsia="Arial" w:cs="Arial"/>
          <w:i w:val="0"/>
        </w:rPr>
        <w:t>Appendix C. Hyperparameter Search Spaces</w:t>
      </w:r>
      <w:r>
        <w:tab/>
      </w:r>
      <w:r>
        <w:fldChar w:fldCharType="begin"/>
      </w:r>
      <w:r>
        <w:instrText xml:space="preserve"> PAGEREF _Toc1432877252 \h </w:instrText>
      </w:r>
      <w:r>
        <w:fldChar w:fldCharType="separate"/>
      </w:r>
      <w:r>
        <w:t>59</w:t>
      </w:r>
      <w:r>
        <w:fldChar w:fldCharType="end"/>
      </w:r>
      <w:r>
        <w:rPr>
          <w:rFonts w:ascii="Arial" w:hAnsi="Arial" w:eastAsia="Arial" w:cs="Arial"/>
          <w:i/>
          <w:color w:val="000000"/>
        </w:rPr>
        <w:fldChar w:fldCharType="end"/>
      </w:r>
    </w:p>
    <w:p w14:paraId="4BB9F6BE">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_Toc486356906 </w:instrText>
      </w:r>
      <w:r>
        <w:rPr>
          <w:rFonts w:ascii="Arial" w:hAnsi="Arial" w:eastAsia="Arial" w:cs="Arial"/>
          <w:i/>
        </w:rPr>
        <w:fldChar w:fldCharType="separate"/>
      </w:r>
      <w:r>
        <w:rPr>
          <w:rFonts w:ascii="Arial" w:hAnsi="Arial" w:eastAsia="Arial" w:cs="Arial"/>
          <w:i w:val="0"/>
        </w:rPr>
        <w:t>Appendix D. Per-Notebook Output Summary</w:t>
      </w:r>
      <w:r>
        <w:tab/>
      </w:r>
      <w:r>
        <w:fldChar w:fldCharType="begin"/>
      </w:r>
      <w:r>
        <w:instrText xml:space="preserve"> PAGEREF _Toc486356906 \h </w:instrText>
      </w:r>
      <w:r>
        <w:fldChar w:fldCharType="separate"/>
      </w:r>
      <w:r>
        <w:t>61</w:t>
      </w:r>
      <w:r>
        <w:fldChar w:fldCharType="end"/>
      </w:r>
      <w:r>
        <w:rPr>
          <w:rFonts w:ascii="Arial" w:hAnsi="Arial" w:eastAsia="Arial" w:cs="Arial"/>
          <w:i/>
          <w:color w:val="000000"/>
        </w:rPr>
        <w:fldChar w:fldCharType="end"/>
      </w:r>
    </w:p>
    <w:p w14:paraId="3062B5EB">
      <w:pPr>
        <w:spacing w:after="120"/>
      </w:pPr>
      <w:r>
        <w:rPr>
          <w:rFonts w:ascii="Arial" w:hAnsi="Arial" w:eastAsia="Arial" w:cs="Arial"/>
          <w:i/>
          <w:color w:val="000000"/>
        </w:rPr>
        <w:fldChar w:fldCharType="end"/>
      </w:r>
      <w:bookmarkStart w:id="135" w:name="_GoBack"/>
      <w:bookmarkEnd w:id="135"/>
    </w:p>
    <w:p w14:paraId="0498D328">
      <w:pPr>
        <w:pStyle w:val="2"/>
        <w:keepNext/>
        <w:pageBreakBefore/>
        <w:spacing w:before="360" w:after="240" w:line="276" w:lineRule="auto"/>
        <w:jc w:val="left"/>
      </w:pPr>
      <w:bookmarkStart w:id="1" w:name="_Toc843748072"/>
      <w:r>
        <w:rPr>
          <w:rFonts w:ascii="Arial" w:hAnsi="Arial" w:eastAsia="Arial" w:cs="Arial"/>
          <w:b/>
          <w:i w:val="0"/>
          <w:color w:val="000000"/>
          <w:sz w:val="32"/>
        </w:rPr>
        <w:t>List of Figures</w:t>
      </w:r>
      <w:bookmarkEnd w:id="1"/>
    </w:p>
    <w:p w14:paraId="2BE042F4">
      <w:pPr>
        <w:spacing w:before="0" w:after="40" w:line="276" w:lineRule="auto"/>
        <w:ind w:left="0"/>
        <w:jc w:val="left"/>
      </w:pPr>
      <w:r>
        <w:rPr>
          <w:sz w:val="22"/>
        </w:rPr>
        <w:t>Figure 1: Class distribution and bounding-box counts across WAID and COCO before filtering</w:t>
      </w:r>
    </w:p>
    <w:p w14:paraId="58A5DF4F">
      <w:pPr>
        <w:spacing w:before="0" w:after="40" w:line="276" w:lineRule="auto"/>
        <w:ind w:left="0"/>
        <w:jc w:val="left"/>
      </w:pPr>
      <w:r>
        <w:rPr>
          <w:sz w:val="22"/>
        </w:rPr>
        <w:t>Figure 2: Sample grid of cattle images from WAID</w:t>
      </w:r>
    </w:p>
    <w:p w14:paraId="619C892B">
      <w:pPr>
        <w:spacing w:before="0" w:after="40" w:line="276" w:lineRule="auto"/>
        <w:ind w:left="0"/>
        <w:jc w:val="left"/>
      </w:pPr>
      <w:r>
        <w:rPr>
          <w:sz w:val="22"/>
        </w:rPr>
        <w:t>Figure 3: Augmentation demonstration grid (3 by 3)</w:t>
      </w:r>
    </w:p>
    <w:p w14:paraId="399A0A91">
      <w:pPr>
        <w:spacing w:before="0" w:after="40" w:line="276" w:lineRule="auto"/>
        <w:ind w:left="0"/>
        <w:jc w:val="left"/>
      </w:pPr>
      <w:r>
        <w:rPr>
          <w:sz w:val="22"/>
        </w:rPr>
        <w:t>Figure 4: Optuna hyperparameter importance for the custom CNN</w:t>
      </w:r>
    </w:p>
    <w:p w14:paraId="1F9EC60F">
      <w:pPr>
        <w:spacing w:before="0" w:after="40" w:line="276" w:lineRule="auto"/>
        <w:ind w:left="0"/>
        <w:jc w:val="left"/>
      </w:pPr>
      <w:r>
        <w:rPr>
          <w:sz w:val="22"/>
        </w:rPr>
        <w:t>Figure 5: Custom CNN training curves</w:t>
      </w:r>
    </w:p>
    <w:p w14:paraId="37B68511">
      <w:pPr>
        <w:spacing w:before="0" w:after="40" w:line="276" w:lineRule="auto"/>
        <w:ind w:left="0"/>
        <w:jc w:val="left"/>
      </w:pPr>
      <w:r>
        <w:rPr>
          <w:sz w:val="22"/>
        </w:rPr>
        <w:t>Figure 6: Custom CNN test confusion matrix</w:t>
      </w:r>
    </w:p>
    <w:p w14:paraId="1044E0EF">
      <w:pPr>
        <w:spacing w:before="0" w:after="40" w:line="276" w:lineRule="auto"/>
        <w:ind w:left="0"/>
        <w:jc w:val="left"/>
      </w:pPr>
      <w:r>
        <w:rPr>
          <w:sz w:val="22"/>
        </w:rPr>
        <w:t>Figure 7: Custom CNN Grad-CAM grid</w:t>
      </w:r>
    </w:p>
    <w:p w14:paraId="61052FA9">
      <w:pPr>
        <w:spacing w:before="0" w:after="40" w:line="276" w:lineRule="auto"/>
        <w:ind w:left="0"/>
        <w:jc w:val="left"/>
      </w:pPr>
      <w:r>
        <w:rPr>
          <w:sz w:val="22"/>
        </w:rPr>
        <w:t>Figure 8: Confusion matrices for all four classifiers</w:t>
      </w:r>
    </w:p>
    <w:p w14:paraId="3FB6107D">
      <w:pPr>
        <w:spacing w:before="0" w:after="40" w:line="276" w:lineRule="auto"/>
        <w:ind w:left="0"/>
        <w:jc w:val="left"/>
      </w:pPr>
      <w:r>
        <w:rPr>
          <w:sz w:val="22"/>
        </w:rPr>
        <w:t>Figure 9: Grad-CAM grid across transfer models and the custom CNN</w:t>
      </w:r>
    </w:p>
    <w:p w14:paraId="215A1167">
      <w:pPr>
        <w:spacing w:before="0" w:after="40" w:line="276" w:lineRule="auto"/>
        <w:ind w:left="0"/>
        <w:jc w:val="left"/>
      </w:pPr>
      <w:r>
        <w:rPr>
          <w:sz w:val="22"/>
        </w:rPr>
        <w:t>Figure 10: YOLOv8 counting scatter and error histogram</w:t>
      </w:r>
    </w:p>
    <w:p w14:paraId="59F524A6">
      <w:pPr>
        <w:spacing w:before="0" w:after="40" w:line="276" w:lineRule="auto"/>
        <w:ind w:left="0"/>
        <w:jc w:val="left"/>
      </w:pPr>
      <w:r>
        <w:rPr>
          <w:sz w:val="22"/>
        </w:rPr>
        <w:t>Figure 11: YOLOv8 detection examples (2 by 3 grid)</w:t>
      </w:r>
    </w:p>
    <w:p w14:paraId="048C2019">
      <w:pPr>
        <w:spacing w:before="0" w:after="40" w:line="276" w:lineRule="auto"/>
        <w:ind w:left="0"/>
        <w:jc w:val="left"/>
      </w:pPr>
      <w:r>
        <w:rPr>
          <w:sz w:val="22"/>
        </w:rPr>
        <w:t>Figure 12: Per-subgroup classification accuracy heatmaps</w:t>
      </w:r>
    </w:p>
    <w:p w14:paraId="7DE11C1F">
      <w:pPr>
        <w:spacing w:before="0" w:after="40" w:line="276" w:lineRule="auto"/>
        <w:ind w:left="0"/>
        <w:jc w:val="left"/>
      </w:pPr>
      <w:r>
        <w:rPr>
          <w:sz w:val="22"/>
        </w:rPr>
        <w:t>Figure 13: YOLOv8 counting MAE by subgroup</w:t>
      </w:r>
    </w:p>
    <w:p w14:paraId="580766FF">
      <w:pPr>
        <w:pStyle w:val="2"/>
        <w:keepNext/>
        <w:pageBreakBefore/>
        <w:spacing w:before="360" w:after="240" w:line="276" w:lineRule="auto"/>
        <w:jc w:val="left"/>
      </w:pPr>
      <w:bookmarkStart w:id="2" w:name="_Toc1039324963"/>
      <w:r>
        <w:rPr>
          <w:rFonts w:ascii="Arial" w:hAnsi="Arial" w:eastAsia="Arial" w:cs="Arial"/>
          <w:b/>
          <w:i w:val="0"/>
          <w:color w:val="000000"/>
          <w:sz w:val="32"/>
        </w:rPr>
        <w:t>List of Tables</w:t>
      </w:r>
      <w:bookmarkEnd w:id="2"/>
    </w:p>
    <w:p w14:paraId="2684D5CA">
      <w:pPr>
        <w:spacing w:before="0" w:after="40" w:line="276" w:lineRule="auto"/>
        <w:jc w:val="left"/>
      </w:pPr>
      <w:r>
        <w:rPr>
          <w:sz w:val="22"/>
        </w:rPr>
        <w:t>Table 1: Hyperparameter search space, best values, and Optuna importance for the custom CNN</w:t>
      </w:r>
    </w:p>
    <w:p w14:paraId="359C6F6C">
      <w:pPr>
        <w:spacing w:before="0" w:after="40" w:line="276" w:lineRule="auto"/>
        <w:jc w:val="left"/>
      </w:pPr>
      <w:r>
        <w:rPr>
          <w:sz w:val="22"/>
        </w:rPr>
        <w:t>Table 2: Parameter counts, best hyperparameters, and Optuna validation accuracy across the four classifiers</w:t>
      </w:r>
    </w:p>
    <w:p w14:paraId="42B5A3CF">
      <w:pPr>
        <w:spacing w:before="0" w:after="40" w:line="276" w:lineRule="auto"/>
        <w:jc w:val="left"/>
      </w:pPr>
      <w:r>
        <w:rPr>
          <w:sz w:val="22"/>
        </w:rPr>
        <w:t>Table 3: Pixel-intensity statistics and Shapiro-Wilk normality test</w:t>
      </w:r>
    </w:p>
    <w:p w14:paraId="582DEAD0">
      <w:pPr>
        <w:spacing w:before="0" w:after="40" w:line="276" w:lineRule="auto"/>
        <w:jc w:val="left"/>
      </w:pPr>
      <w:r>
        <w:rPr>
          <w:sz w:val="22"/>
        </w:rPr>
        <w:t>Table 4: Image-level dataset split</w:t>
      </w:r>
    </w:p>
    <w:p w14:paraId="166D14C8">
      <w:pPr>
        <w:spacing w:before="0" w:after="40" w:line="276" w:lineRule="auto"/>
        <w:jc w:val="left"/>
      </w:pPr>
      <w:r>
        <w:rPr>
          <w:sz w:val="22"/>
        </w:rPr>
        <w:t>Table 5: Crop-level dataset split</w:t>
      </w:r>
    </w:p>
    <w:p w14:paraId="4E0BA51D">
      <w:pPr>
        <w:spacing w:before="0" w:after="40" w:line="276" w:lineRule="auto"/>
        <w:jc w:val="left"/>
      </w:pPr>
      <w:r>
        <w:rPr>
          <w:sz w:val="22"/>
        </w:rPr>
        <w:t>Table 6: Final test metrics across the four classifiers</w:t>
      </w:r>
    </w:p>
    <w:p w14:paraId="427F2EF9">
      <w:pPr>
        <w:spacing w:before="0" w:after="40" w:line="276" w:lineRule="auto"/>
        <w:jc w:val="left"/>
      </w:pPr>
      <w:r>
        <w:rPr>
          <w:sz w:val="22"/>
        </w:rPr>
        <w:t>Table 7: YOLOv8n detection metrics on the held-out test set</w:t>
      </w:r>
    </w:p>
    <w:p w14:paraId="4B611C2B">
      <w:pPr>
        <w:spacing w:before="0" w:after="40" w:line="276" w:lineRule="auto"/>
        <w:jc w:val="left"/>
      </w:pPr>
      <w:r>
        <w:rPr>
          <w:sz w:val="22"/>
        </w:rPr>
        <w:t>Table 8: McNemar pairwise comparisons across the four classifiers</w:t>
      </w:r>
    </w:p>
    <w:p w14:paraId="58257754">
      <w:pPr>
        <w:spacing w:before="0" w:after="40" w:line="276" w:lineRule="auto"/>
        <w:jc w:val="left"/>
      </w:pPr>
      <w:r>
        <w:rPr>
          <w:sz w:val="22"/>
        </w:rPr>
        <w:t>Table 9: Per-classifier accuracy by lighting subgroup</w:t>
      </w:r>
    </w:p>
    <w:p w14:paraId="61A0EBD6">
      <w:pPr>
        <w:spacing w:before="0" w:after="40" w:line="276" w:lineRule="auto"/>
        <w:jc w:val="left"/>
      </w:pPr>
      <w:r>
        <w:rPr>
          <w:sz w:val="22"/>
        </w:rPr>
        <w:t>Table 10: Per-classifier accuracy by occlusion subgroup</w:t>
      </w:r>
    </w:p>
    <w:p w14:paraId="30E9D148">
      <w:pPr>
        <w:spacing w:before="0" w:after="40" w:line="276" w:lineRule="auto"/>
        <w:jc w:val="left"/>
      </w:pPr>
      <w:r>
        <w:rPr>
          <w:sz w:val="22"/>
        </w:rPr>
        <w:t>Table 11: YOLOv8 counting MAE by lighting and occlusion subgroup</w:t>
      </w:r>
    </w:p>
    <w:p w14:paraId="109A558B">
      <w:pPr>
        <w:spacing w:before="0" w:after="40" w:line="276" w:lineRule="auto"/>
        <w:jc w:val="left"/>
      </w:pPr>
      <w:r>
        <w:rPr>
          <w:sz w:val="22"/>
        </w:rPr>
        <w:t>Table 12: Final verdicts on the four hypotheses</w:t>
      </w:r>
    </w:p>
    <w:p w14:paraId="2D268784">
      <w:pPr>
        <w:spacing w:before="0" w:after="40" w:line="276" w:lineRule="auto"/>
        <w:jc w:val="left"/>
      </w:pPr>
      <w:r>
        <w:rPr>
          <w:sz w:val="22"/>
        </w:rPr>
        <w:t>Table 13: Comparison with prior livestock vision studies</w:t>
      </w:r>
    </w:p>
    <w:p w14:paraId="1AE9B75D">
      <w:pPr>
        <w:pStyle w:val="2"/>
        <w:keepNext/>
        <w:pageBreakBefore/>
        <w:spacing w:before="360" w:after="240" w:line="276" w:lineRule="auto"/>
        <w:jc w:val="left"/>
      </w:pPr>
      <w:bookmarkStart w:id="3" w:name="_Toc302668443"/>
      <w:r>
        <w:rPr>
          <w:rFonts w:ascii="Arial" w:hAnsi="Arial" w:eastAsia="Arial" w:cs="Arial"/>
          <w:b/>
          <w:i w:val="0"/>
          <w:color w:val="000000"/>
          <w:sz w:val="32"/>
        </w:rPr>
        <w:t>Abstract</w:t>
      </w:r>
      <w:bookmarkEnd w:id="3"/>
    </w:p>
    <w:p w14:paraId="1A539657">
      <w:pPr>
        <w:spacing w:before="0" w:after="120" w:line="360" w:lineRule="auto"/>
        <w:jc w:val="both"/>
      </w:pPr>
      <w:r>
        <w:rPr>
          <w:rFonts w:ascii="Arial" w:hAnsi="Arial" w:eastAsia="Arial" w:cs="Arial"/>
          <w:b w:val="0"/>
          <w:i w:val="0"/>
          <w:color w:val="000000"/>
          <w:sz w:val="22"/>
        </w:rPr>
        <w:t>Manual livestock counting on Irish farms still relies on visual inspection by stockpersons walking through paddocks or counting at gates. The practice is slow, prone to error in mixed herds, and stressful for the animals when repeated frequently. Aerial photography from low-cost drones now offers a different starting point, but the imagery itself does not solve the underlying recognition problem: cattle and sheep often share the same field, appear at very different scales, and are seen against grass, mud, fences, and shadow. This dissertation investigates whether off-the-shelf computer vision models can carry out reliable cattle versus sheep differentiation under such conditions, or whether a domain-specific design is required.</w:t>
      </w:r>
    </w:p>
    <w:p w14:paraId="2ED81046">
      <w:pPr>
        <w:spacing w:before="0" w:after="120" w:line="360" w:lineRule="auto"/>
        <w:jc w:val="both"/>
      </w:pPr>
      <w:r>
        <w:rPr>
          <w:rFonts w:ascii="Arial" w:hAnsi="Arial" w:eastAsia="Arial" w:cs="Arial"/>
          <w:b w:val="0"/>
          <w:i w:val="0"/>
          <w:color w:val="000000"/>
          <w:sz w:val="22"/>
        </w:rPr>
        <w:t>The study assembles a working dataset of 17,759 images by combining the WAID drone collection with the cattle and sheep subsets of COCO. After cleaning and filtering for usable annotations, 12,232 images remained, from which 51,320 single-animal crops were produced and divided 70/15/15 with stratified sampling. Four classifiers were trained: a custom CNN of 8.76 million parameters tuned with Optuna, plus three ImageNet pretrained networks (ResNet50, VGG16, MobileNetV2) used as fixed feature extractors with a trainable classifier head. A YOLOv8 detector was then trained on the same imagery for the counting task and benchmarked against two naive baselines.</w:t>
      </w:r>
    </w:p>
    <w:p w14:paraId="0A430B78">
      <w:pPr>
        <w:spacing w:before="0" w:after="120" w:line="360" w:lineRule="auto"/>
        <w:jc w:val="both"/>
      </w:pPr>
      <w:r>
        <w:rPr>
          <w:rFonts w:ascii="Arial" w:hAnsi="Arial" w:eastAsia="Arial" w:cs="Arial"/>
          <w:b w:val="0"/>
          <w:i w:val="0"/>
          <w:color w:val="000000"/>
          <w:sz w:val="22"/>
        </w:rPr>
        <w:t>VGG16 reached the highest test accuracy at 0.9738, followed by the custom CNN at 0.9610, ResNet50 at 0.9570, and MobileNetV2 at 0.9498. YOLOv8 achieved mAP@50 of 0.9478 and a counting MAE of 1.576 with R squared of 0.9749. Only one of the three pretrained networks beat the custom baseline, so H1 is partially supported. Augmentation simulating farm conditions added 0.62 percentage points to mean accuracy, supporting H2. YOLOv8 was 5.5 times less accurate under heavy occlusion than under clear conditions, and VGG16 proved most stable across lighting subgroups.</w:t>
      </w:r>
    </w:p>
    <w:p w14:paraId="761ED5B9">
      <w:pPr>
        <w:spacing w:before="0" w:after="120" w:line="360" w:lineRule="auto"/>
        <w:jc w:val="both"/>
        <w:sectPr>
          <w:footerReference r:id="rId5" w:type="default"/>
          <w:pgSz w:w="11906" w:h="16838"/>
          <w:pgMar w:top="1440" w:right="1440" w:bottom="1440" w:left="1440" w:header="720" w:footer="720" w:gutter="0"/>
          <w:pgNumType w:fmt="lowerRoman" w:start="1"/>
          <w:cols w:space="720" w:num="1"/>
          <w:titlePg/>
          <w:docGrid w:linePitch="360" w:charSpace="0"/>
        </w:sectPr>
      </w:pPr>
      <w:r>
        <w:rPr>
          <w:rFonts w:ascii="Arial" w:hAnsi="Arial" w:eastAsia="Arial" w:cs="Arial"/>
          <w:b w:val="0"/>
          <w:i w:val="0"/>
          <w:color w:val="000000"/>
          <w:sz w:val="22"/>
        </w:rPr>
        <w:t>Keywords: livestock counting, computer vision, deep learning, transfer learning, YOLOv8, precision agriculture.</w:t>
      </w:r>
    </w:p>
    <w:p w14:paraId="62D31EB6">
      <w:pPr>
        <w:pStyle w:val="2"/>
        <w:keepNext/>
        <w:pageBreakBefore/>
        <w:spacing w:before="360" w:after="240" w:line="276" w:lineRule="auto"/>
        <w:jc w:val="left"/>
      </w:pPr>
      <w:bookmarkStart w:id="4" w:name="_Toc1707245405"/>
      <w:r>
        <w:rPr>
          <w:rFonts w:ascii="Arial" w:hAnsi="Arial" w:eastAsia="Arial" w:cs="Arial"/>
          <w:b/>
          <w:i w:val="0"/>
          <w:color w:val="000000"/>
          <w:sz w:val="32"/>
        </w:rPr>
        <w:t>1. Introduction</w:t>
      </w:r>
      <w:bookmarkEnd w:id="4"/>
    </w:p>
    <w:p w14:paraId="41836666">
      <w:pPr>
        <w:pStyle w:val="3"/>
        <w:keepNext/>
        <w:spacing w:before="240" w:after="120" w:line="276" w:lineRule="auto"/>
        <w:jc w:val="left"/>
      </w:pPr>
      <w:bookmarkStart w:id="5" w:name="_Toc1144514268"/>
      <w:r>
        <w:rPr>
          <w:rFonts w:ascii="Arial" w:hAnsi="Arial" w:eastAsia="Arial" w:cs="Arial"/>
          <w:b/>
          <w:i w:val="0"/>
          <w:color w:val="000000"/>
          <w:sz w:val="26"/>
        </w:rPr>
        <w:t>1.1 Background and context</w:t>
      </w:r>
      <w:bookmarkEnd w:id="5"/>
    </w:p>
    <w:p w14:paraId="2FB832CF">
      <w:pPr>
        <w:spacing w:before="0" w:after="120" w:line="360" w:lineRule="auto"/>
        <w:jc w:val="both"/>
      </w:pPr>
      <w:r>
        <w:rPr>
          <w:rFonts w:ascii="Arial" w:hAnsi="Arial" w:eastAsia="Arial" w:cs="Arial"/>
          <w:b w:val="0"/>
          <w:i w:val="0"/>
          <w:color w:val="000000"/>
          <w:sz w:val="22"/>
        </w:rPr>
        <w:t>Irish agriculture sits in an unusual position. The country exports roughly ninety per cent of its dairy and beef output, sheep numbers in the national flock have hovered above three and a half million for over a decade, and the sector is asked to reconcile high productivity with traceability rules that go down to the level of the individual animal. In that environment, knowing how many animals are in a paddock on a given morning is not an academic question. It feeds into bovine viral diarrhoea eradication paperwork, into Department of Agriculture inspections, into private insurance claims after storms or theft, and into the simple operational question of whether the herd has come back from outfield grazing intact.</w:t>
      </w:r>
    </w:p>
    <w:p w14:paraId="35D68D47">
      <w:pPr>
        <w:spacing w:before="0" w:after="120" w:line="360" w:lineRule="auto"/>
        <w:jc w:val="both"/>
      </w:pPr>
      <w:r>
        <w:rPr>
          <w:rFonts w:ascii="Arial" w:hAnsi="Arial" w:eastAsia="Arial" w:cs="Arial"/>
          <w:b w:val="0"/>
          <w:i w:val="0"/>
          <w:color w:val="000000"/>
          <w:sz w:val="22"/>
        </w:rPr>
        <w:t>The work of counting, however, is still done in a way that would be familiar to a farmer fifty years ago. Stockpersons walk fields, count at gates, or push animals through races. Errors are common when groups exceed roughly thirty head, and the stress imposed on pregnant ewes or freshly calved cows by repeated mustering is itself a welfare cost (Berckmans, 2017). Mixed herds make the situation worse: when sheep and cattle share enclosures, as they often do on smaller western Irish holdings practising rotational grazing, a single visual sweep has to separate species before counting begins.</w:t>
      </w:r>
    </w:p>
    <w:p w14:paraId="3831A7BD">
      <w:pPr>
        <w:spacing w:before="0" w:after="120" w:line="360" w:lineRule="auto"/>
        <w:jc w:val="both"/>
      </w:pPr>
      <w:r>
        <w:t>Drone photography has changed the cost calculus. Consumer-grade quadcopters now produce orthorectified imagery at a fraction of the price of fixed-wing aerial surveys a decade ago, and the imagery can be repeated weekly without disturbing stock (Wang et al., 2019). Precision livestock farming, as the broader movement is termed, has accumulated a strong evidence base for sensor-driven monitoring of individual animals (Berckmans, 2017; Norouzzadeh et al., 2018), yet the specific subproblem of mixed-species visual counting has seen comparatively little attention. Most published systems either assume a single species in frame or treat species identification as a downstream filter rather than as the primary classification task.</w:t>
      </w:r>
    </w:p>
    <w:p w14:paraId="7CBEC81B">
      <w:pPr>
        <w:pStyle w:val="3"/>
        <w:keepNext/>
        <w:spacing w:before="240" w:after="120" w:line="276" w:lineRule="auto"/>
        <w:jc w:val="left"/>
      </w:pPr>
      <w:bookmarkStart w:id="6" w:name="_Toc840276097"/>
      <w:r>
        <w:rPr>
          <w:rFonts w:ascii="Arial" w:hAnsi="Arial" w:eastAsia="Arial" w:cs="Arial"/>
          <w:b/>
          <w:i w:val="0"/>
          <w:color w:val="000000"/>
          <w:sz w:val="26"/>
        </w:rPr>
        <w:t>1.2 Problem statement</w:t>
      </w:r>
      <w:bookmarkEnd w:id="6"/>
    </w:p>
    <w:p w14:paraId="69454A46">
      <w:pPr>
        <w:spacing w:before="0" w:after="120" w:line="360" w:lineRule="auto"/>
        <w:jc w:val="both"/>
      </w:pPr>
      <w:r>
        <w:rPr>
          <w:rFonts w:ascii="Arial" w:hAnsi="Arial" w:eastAsia="Arial" w:cs="Arial"/>
          <w:b w:val="0"/>
          <w:i w:val="0"/>
          <w:color w:val="000000"/>
          <w:sz w:val="22"/>
        </w:rPr>
        <w:t>The technical problem this dissertation addresses is narrower than general livestock detection. It is the differentiation of cattle from sheep within imagery that mixes drone-altitude top-down views and ground-level side-on photographs of the same two species. There are two reasons that gap matters. First, almost all open-source models that claim to recognise farm animals were trained on COCO, ImageNet, or Open Images, none of which were assembled with mixed-herd Irish farm imagery in mind. Their cattle examples skew toward European Holstein-Friesian dairy stock photographed from human eye-level, and their sheep examples lean heavily on heavily wooled merino-type animals on dry pasture (Lin et al., 2014). Second, drone and ground-level imagery differ in almost every respect that matters to a convolutional network: the visible body parts, the scale ratio of animal to background, the dominant texture cues, and the lighting geometry. A model that performs well on one view often fails on the other, even when the underlying species are the same.</w:t>
      </w:r>
    </w:p>
    <w:p w14:paraId="767330E3">
      <w:pPr>
        <w:spacing w:before="0" w:after="120" w:line="360" w:lineRule="auto"/>
        <w:jc w:val="both"/>
      </w:pPr>
      <w:r>
        <w:rPr>
          <w:rFonts w:ascii="Arial" w:hAnsi="Arial" w:eastAsia="Arial" w:cs="Arial"/>
          <w:b w:val="0"/>
          <w:i w:val="0"/>
          <w:color w:val="000000"/>
          <w:sz w:val="22"/>
        </w:rPr>
        <w:t>The practical question that follows is whether a researcher building a new livestock counter for the Irish context should reach for a pretrained ImageNet backbone, accept the domain gap, and fine-tune, or invest the effort of training a smaller custom architecture on the available agricultural data. The answer is not obvious in advance. Pretrained features are known to transfer well to related visual tasks (Yosinski et al., 2014), but the gap between web-scraped natural imagery and aerial farm photographs is larger than is sometimes acknowledged in the agricultural computer vision literature.</w:t>
      </w:r>
    </w:p>
    <w:p w14:paraId="6794EFC9">
      <w:pPr>
        <w:pStyle w:val="3"/>
        <w:keepNext/>
        <w:spacing w:before="240" w:after="120" w:line="276" w:lineRule="auto"/>
        <w:jc w:val="left"/>
      </w:pPr>
      <w:bookmarkStart w:id="7" w:name="_Toc667899607"/>
      <w:r>
        <w:rPr>
          <w:rFonts w:ascii="Arial" w:hAnsi="Arial" w:eastAsia="Arial" w:cs="Arial"/>
          <w:b/>
          <w:i w:val="0"/>
          <w:color w:val="000000"/>
          <w:sz w:val="26"/>
        </w:rPr>
        <w:t>1.3 Research aim</w:t>
      </w:r>
      <w:bookmarkEnd w:id="7"/>
    </w:p>
    <w:p w14:paraId="05042EAB">
      <w:pPr>
        <w:spacing w:before="0" w:after="120" w:line="360" w:lineRule="auto"/>
        <w:jc w:val="both"/>
      </w:pPr>
      <w:r>
        <w:rPr>
          <w:rFonts w:ascii="Arial" w:hAnsi="Arial" w:eastAsia="Arial" w:cs="Arial"/>
          <w:b w:val="0"/>
          <w:i w:val="0"/>
          <w:color w:val="000000"/>
          <w:sz w:val="22"/>
        </w:rPr>
        <w:t>The aim of this study is to design, implement, and evaluate a computer vision framework for multi-species livestock counting that can accurately differentiate between cattle and sheep in mixed-herd imagery and remain robust under realistic environmental conditions.</w:t>
      </w:r>
    </w:p>
    <w:p w14:paraId="115556F8">
      <w:pPr>
        <w:pStyle w:val="3"/>
        <w:keepNext/>
        <w:spacing w:before="240" w:after="120" w:line="276" w:lineRule="auto"/>
        <w:jc w:val="left"/>
      </w:pPr>
      <w:bookmarkStart w:id="8" w:name="_Toc491671980"/>
      <w:r>
        <w:rPr>
          <w:rFonts w:ascii="Arial" w:hAnsi="Arial" w:eastAsia="Arial" w:cs="Arial"/>
          <w:b/>
          <w:i w:val="0"/>
          <w:color w:val="000000"/>
          <w:sz w:val="26"/>
        </w:rPr>
        <w:t>1.4 Research questions</w:t>
      </w:r>
      <w:bookmarkEnd w:id="8"/>
    </w:p>
    <w:p w14:paraId="09BC4A14">
      <w:pPr>
        <w:spacing w:before="0" w:after="120" w:line="360" w:lineRule="auto"/>
        <w:jc w:val="both"/>
      </w:pPr>
      <w:r>
        <w:rPr>
          <w:rFonts w:ascii="Arial" w:hAnsi="Arial" w:eastAsia="Arial" w:cs="Arial"/>
          <w:b w:val="0"/>
          <w:i w:val="0"/>
          <w:color w:val="000000"/>
          <w:sz w:val="22"/>
        </w:rPr>
        <w:t>1. How effectively can image-based machine learning methods differentiate between cattle and sheep in mixed-herd settings?</w:t>
      </w:r>
    </w:p>
    <w:p w14:paraId="338D171C">
      <w:pPr>
        <w:spacing w:before="0" w:after="120" w:line="360" w:lineRule="auto"/>
        <w:jc w:val="both"/>
      </w:pPr>
      <w:r>
        <w:rPr>
          <w:rFonts w:ascii="Arial" w:hAnsi="Arial" w:eastAsia="Arial" w:cs="Arial"/>
          <w:b w:val="0"/>
          <w:i w:val="0"/>
          <w:color w:val="000000"/>
          <w:sz w:val="22"/>
        </w:rPr>
        <w:t>2. Do advanced deep learning models significantly outperform simpler baseline methods for this task?</w:t>
      </w:r>
    </w:p>
    <w:p w14:paraId="36C1BFF6">
      <w:pPr>
        <w:spacing w:before="0" w:after="120" w:line="360" w:lineRule="auto"/>
        <w:jc w:val="both"/>
      </w:pPr>
      <w:r>
        <w:rPr>
          <w:rFonts w:ascii="Arial" w:hAnsi="Arial" w:eastAsia="Arial" w:cs="Arial"/>
          <w:b w:val="0"/>
          <w:i w:val="0"/>
          <w:color w:val="000000"/>
          <w:sz w:val="22"/>
        </w:rPr>
        <w:t>3. Which environmental conditions most strongly affect classification and counting accuracy?</w:t>
      </w:r>
    </w:p>
    <w:p w14:paraId="299A8525">
      <w:pPr>
        <w:spacing w:before="0" w:after="120" w:line="360" w:lineRule="auto"/>
        <w:jc w:val="both"/>
      </w:pPr>
      <w:r>
        <w:rPr>
          <w:rFonts w:ascii="Arial" w:hAnsi="Arial" w:eastAsia="Arial" w:cs="Arial"/>
          <w:b w:val="0"/>
          <w:i w:val="0"/>
          <w:color w:val="000000"/>
          <w:sz w:val="22"/>
        </w:rPr>
        <w:t>4. Which modelling approach offers the most suitable balance between predictive performance and practical feasibility?</w:t>
      </w:r>
    </w:p>
    <w:p w14:paraId="082D7CE9">
      <w:pPr>
        <w:pStyle w:val="3"/>
        <w:keepNext/>
        <w:spacing w:before="240" w:after="120" w:line="276" w:lineRule="auto"/>
        <w:jc w:val="left"/>
      </w:pPr>
      <w:bookmarkStart w:id="9" w:name="_Toc1591652752"/>
      <w:r>
        <w:rPr>
          <w:rFonts w:ascii="Arial" w:hAnsi="Arial" w:eastAsia="Arial" w:cs="Arial"/>
          <w:b/>
          <w:i w:val="0"/>
          <w:color w:val="000000"/>
          <w:sz w:val="26"/>
        </w:rPr>
        <w:t>1.5 Hypotheses</w:t>
      </w:r>
      <w:bookmarkEnd w:id="9"/>
    </w:p>
    <w:p w14:paraId="3CF82EC7">
      <w:pPr>
        <w:spacing w:before="0" w:after="120" w:line="360" w:lineRule="auto"/>
        <w:jc w:val="both"/>
      </w:pPr>
      <w:r>
        <w:rPr>
          <w:rFonts w:ascii="Arial" w:hAnsi="Arial" w:eastAsia="Arial" w:cs="Arial"/>
          <w:b w:val="0"/>
          <w:i w:val="0"/>
          <w:color w:val="000000"/>
          <w:sz w:val="22"/>
        </w:rPr>
        <w:t>H1: Advanced deep learning architectures will outperform baseline methods in the differentiation of cattle and sheep in mixed-herd imagery.</w:t>
      </w:r>
    </w:p>
    <w:p w14:paraId="4AF2E989">
      <w:pPr>
        <w:spacing w:before="0" w:after="120" w:line="360" w:lineRule="auto"/>
        <w:jc w:val="both"/>
      </w:pPr>
      <w:r>
        <w:rPr>
          <w:rFonts w:ascii="Arial" w:hAnsi="Arial" w:eastAsia="Arial" w:cs="Arial"/>
          <w:b w:val="0"/>
          <w:i w:val="0"/>
          <w:color w:val="000000"/>
          <w:sz w:val="22"/>
        </w:rPr>
        <w:t>H2: Data augmentation designed to simulate realistic farm conditions will improve the robustness of model performance.</w:t>
      </w:r>
    </w:p>
    <w:p w14:paraId="00A2BA65">
      <w:pPr>
        <w:spacing w:before="0" w:after="120" w:line="360" w:lineRule="auto"/>
        <w:jc w:val="both"/>
      </w:pPr>
      <w:r>
        <w:rPr>
          <w:rFonts w:ascii="Arial" w:hAnsi="Arial" w:eastAsia="Arial" w:cs="Arial"/>
          <w:b w:val="0"/>
          <w:i w:val="0"/>
          <w:color w:val="000000"/>
          <w:sz w:val="22"/>
        </w:rPr>
        <w:t>H3: Environmental factors such as occlusion and lighting variation will significantly affect the accuracy of livestock species differentiation.</w:t>
      </w:r>
    </w:p>
    <w:p w14:paraId="73022267">
      <w:pPr>
        <w:spacing w:before="0" w:after="120" w:line="360" w:lineRule="auto"/>
        <w:jc w:val="both"/>
      </w:pPr>
      <w:r>
        <w:rPr>
          <w:rFonts w:ascii="Arial" w:hAnsi="Arial" w:eastAsia="Arial" w:cs="Arial"/>
          <w:b w:val="0"/>
          <w:i w:val="0"/>
          <w:color w:val="000000"/>
          <w:sz w:val="22"/>
        </w:rPr>
        <w:t>H0: There will be no statistically significant difference between baseline methods and advanced deep learning methods for the proposed task.</w:t>
      </w:r>
    </w:p>
    <w:p w14:paraId="08730B8B">
      <w:pPr>
        <w:pStyle w:val="3"/>
        <w:keepNext/>
        <w:spacing w:before="240" w:after="120" w:line="276" w:lineRule="auto"/>
        <w:jc w:val="left"/>
      </w:pPr>
      <w:bookmarkStart w:id="10" w:name="_Toc1851495832"/>
      <w:r>
        <w:rPr>
          <w:rFonts w:ascii="Arial" w:hAnsi="Arial" w:eastAsia="Arial" w:cs="Arial"/>
          <w:b/>
          <w:i w:val="0"/>
          <w:color w:val="000000"/>
          <w:sz w:val="26"/>
        </w:rPr>
        <w:t>1.6 Contributions</w:t>
      </w:r>
      <w:bookmarkEnd w:id="10"/>
    </w:p>
    <w:p w14:paraId="5B221269">
      <w:pPr>
        <w:spacing w:before="0" w:after="120" w:line="360" w:lineRule="auto"/>
        <w:jc w:val="both"/>
      </w:pPr>
      <w:r>
        <w:rPr>
          <w:rFonts w:ascii="Arial" w:hAnsi="Arial" w:eastAsia="Arial" w:cs="Arial"/>
          <w:b w:val="0"/>
          <w:i w:val="0"/>
          <w:color w:val="000000"/>
          <w:sz w:val="22"/>
        </w:rPr>
        <w:t>This dissertation makes five contributions. It frames cattle versus sheep differentiation as a binary classification problem on imagery that deliberately mixes drone and ground-level views, rather than treating each viewpoint separately. It introduces a custom CNN of 8.76 million parameters whose hyperparameters were selected through Optuna with a Tree-structured Parzen Estimator sampler (Akiba et al., 2019), giving a competitive baseline that is not derived from ImageNet weights. It compares this baseline against three widely used pretrained networks (ResNet50, VGG16, MobileNetV2) under identical preprocessing, training schedule, and evaluation protocol. It extends the analysis from classification to detection-based counting using YOLOv8 (Jocher et al., 2023) and reports per-subgroup behaviour broken down by lighting condition and occlusion level. Finally, it offers a critical reading of when and why ImageNet pretraining helps for agricultural imagery and when it does not, drawing on Grad-CAM visualisations to show what each model attends to.</w:t>
      </w:r>
    </w:p>
    <w:p w14:paraId="5FC8B759">
      <w:pPr>
        <w:pStyle w:val="3"/>
        <w:keepNext/>
        <w:spacing w:before="240" w:after="120" w:line="276" w:lineRule="auto"/>
        <w:jc w:val="left"/>
      </w:pPr>
      <w:bookmarkStart w:id="11" w:name="_Toc1052403394"/>
      <w:r>
        <w:rPr>
          <w:rFonts w:ascii="Arial" w:hAnsi="Arial" w:eastAsia="Arial" w:cs="Arial"/>
          <w:b/>
          <w:i w:val="0"/>
          <w:color w:val="000000"/>
          <w:sz w:val="26"/>
        </w:rPr>
        <w:t>1.7 Thesis structure</w:t>
      </w:r>
      <w:bookmarkEnd w:id="11"/>
    </w:p>
    <w:p w14:paraId="256F13B4">
      <w:pPr>
        <w:spacing w:before="0" w:after="120" w:line="360" w:lineRule="auto"/>
        <w:jc w:val="both"/>
      </w:pPr>
      <w:r>
        <w:rPr>
          <w:rFonts w:ascii="Arial" w:hAnsi="Arial" w:eastAsia="Arial" w:cs="Arial"/>
          <w:b w:val="0"/>
          <w:i w:val="0"/>
          <w:color w:val="000000"/>
          <w:sz w:val="22"/>
        </w:rPr>
        <w:t>Chapter 2 reviews the literature on precision livestock farming, convolutional architectures, transfer learning, object detection, and the datasets and evaluation methods used in agricultural computer vision. It also identifies the specific gaps that this work addresses.</w:t>
      </w:r>
    </w:p>
    <w:p w14:paraId="104FCFF6">
      <w:pPr>
        <w:spacing w:before="0" w:after="120" w:line="360" w:lineRule="auto"/>
        <w:jc w:val="both"/>
      </w:pPr>
      <w:r>
        <w:rPr>
          <w:rFonts w:ascii="Arial" w:hAnsi="Arial" w:eastAsia="Arial" w:cs="Arial"/>
          <w:b w:val="0"/>
          <w:i w:val="0"/>
          <w:color w:val="000000"/>
          <w:sz w:val="22"/>
        </w:rPr>
        <w:t>Chapter 3 sets out the methodology. It describes how the WAID and COCO subsets were combined, how cropping and stratified splitting were performed, the training protocol for the four classifiers and the YOLOv8 detector, and the statistical procedures used to compare them.</w:t>
      </w:r>
    </w:p>
    <w:p w14:paraId="098CFDB0">
      <w:pPr>
        <w:spacing w:before="0" w:after="120" w:line="360" w:lineRule="auto"/>
        <w:jc w:val="both"/>
      </w:pPr>
      <w:r>
        <w:rPr>
          <w:rFonts w:ascii="Arial" w:hAnsi="Arial" w:eastAsia="Arial" w:cs="Arial"/>
          <w:b w:val="0"/>
          <w:i w:val="0"/>
          <w:color w:val="000000"/>
          <w:sz w:val="22"/>
        </w:rPr>
        <w:t>Chapter 4 presents results. It reports headline accuracies, confusion matrices, McNemar comparisons, counting error against ground truth, and per-subgroup behaviour for lighting and occlusion. Grad-CAM examples are included where they illustrate model behaviour.</w:t>
      </w:r>
    </w:p>
    <w:p w14:paraId="4CAD1C2C">
      <w:pPr>
        <w:spacing w:before="0" w:after="120" w:line="360" w:lineRule="auto"/>
        <w:jc w:val="both"/>
      </w:pPr>
      <w:r>
        <w:rPr>
          <w:rFonts w:ascii="Arial" w:hAnsi="Arial" w:eastAsia="Arial" w:cs="Arial"/>
          <w:b w:val="0"/>
          <w:i w:val="0"/>
          <w:color w:val="000000"/>
          <w:sz w:val="22"/>
        </w:rPr>
        <w:t>Chapter 5 discusses what the results mean for each research question and hypothesis, and considers the practical implications for an Irish farm deploying such a system.</w:t>
      </w:r>
    </w:p>
    <w:p w14:paraId="0EB3F31E">
      <w:pPr>
        <w:spacing w:before="0" w:after="120" w:line="360" w:lineRule="auto"/>
        <w:jc w:val="both"/>
      </w:pPr>
      <w:r>
        <w:rPr>
          <w:rFonts w:ascii="Arial" w:hAnsi="Arial" w:eastAsia="Arial" w:cs="Arial"/>
          <w:b w:val="0"/>
          <w:i w:val="0"/>
          <w:color w:val="000000"/>
          <w:sz w:val="22"/>
        </w:rPr>
        <w:t>Chapter 7 concludes, lists limitations, and proposes specific lines of further work, including extension to additional species and integration with on-farm video streams.</w:t>
      </w:r>
    </w:p>
    <w:p w14:paraId="5AFF7648">
      <w:pPr>
        <w:pStyle w:val="2"/>
        <w:keepNext/>
        <w:pageBreakBefore/>
        <w:spacing w:before="360" w:after="240" w:line="276" w:lineRule="auto"/>
        <w:jc w:val="left"/>
      </w:pPr>
      <w:bookmarkStart w:id="12" w:name="_Toc1068526266"/>
      <w:r>
        <w:rPr>
          <w:rFonts w:ascii="Arial" w:hAnsi="Arial" w:eastAsia="Arial" w:cs="Arial"/>
          <w:b/>
          <w:i w:val="0"/>
          <w:color w:val="000000"/>
          <w:sz w:val="32"/>
        </w:rPr>
        <w:t>2. Literature Review</w:t>
      </w:r>
      <w:bookmarkEnd w:id="12"/>
    </w:p>
    <w:p w14:paraId="54D6DFDC">
      <w:pPr>
        <w:pStyle w:val="3"/>
        <w:keepNext/>
        <w:spacing w:before="240" w:after="120" w:line="276" w:lineRule="auto"/>
        <w:jc w:val="left"/>
      </w:pPr>
      <w:bookmarkStart w:id="13" w:name="_Toc1462696448"/>
      <w:r>
        <w:rPr>
          <w:rFonts w:ascii="Arial" w:hAnsi="Arial" w:eastAsia="Arial" w:cs="Arial"/>
          <w:b/>
          <w:i w:val="0"/>
          <w:color w:val="000000"/>
          <w:sz w:val="26"/>
        </w:rPr>
        <w:t>2.1 Introduction to the review</w:t>
      </w:r>
      <w:bookmarkEnd w:id="13"/>
    </w:p>
    <w:p w14:paraId="284324D4">
      <w:pPr>
        <w:spacing w:before="0" w:after="120" w:line="360" w:lineRule="auto"/>
        <w:jc w:val="both"/>
      </w:pPr>
      <w:r>
        <w:rPr>
          <w:rFonts w:ascii="Arial" w:hAnsi="Arial" w:eastAsia="Arial" w:cs="Arial"/>
          <w:b w:val="0"/>
          <w:i w:val="0"/>
          <w:color w:val="000000"/>
          <w:sz w:val="22"/>
        </w:rPr>
        <w:t>This chapter surveys the body of work that informs cattle and sheep differentiation from imagery. The scope was set deliberately wide at first, then narrowed. Searches were carried out on Google Scholar, Scopus, ACM Digital Library, and arXiv between September 2025 and February 2026, using combinations of the terms livestock counting, cattle detection, sheep detection, drone imagery, UAV agriculture, transfer learning, YOLO, and convolutional neural network. The time window was 2014 to 2025, with two earlier landmark works retained because they remain methodologically relevant: McNemar (1947) for paired classifier comparison, and Krizhevsky et al. (2012) for the inception of modern deep learning in computer vision.</w:t>
      </w:r>
    </w:p>
    <w:p w14:paraId="43DFB9DA">
      <w:pPr>
        <w:spacing w:before="0" w:after="120" w:line="360" w:lineRule="auto"/>
        <w:jc w:val="both"/>
      </w:pPr>
      <w:r>
        <w:rPr>
          <w:rFonts w:ascii="Arial" w:hAnsi="Arial" w:eastAsia="Arial" w:cs="Arial"/>
          <w:b w:val="0"/>
          <w:i w:val="0"/>
          <w:color w:val="000000"/>
          <w:sz w:val="22"/>
        </w:rPr>
        <w:t>The chapter starts from the agricultural problem and works toward the technical solutions, rather than the other way around. Section 2.2 establishes why automated livestock monitoring is needed at all. Sections 2.3 to 2.6 cover the visual recognition machinery, moving from early traditional methods through CNNs to object detection and counting. Section 2.7 looks at the datasets the field has accumulated. Sections 2.8 and 2.9 address methodological choices that strongly affect reported numbers but are often glossed over: hyperparameter search and data augmentation. Section 2.10 considers interpretability, section 2.11 statistical comparison, and section 2.12 environmental robustness. Sections 2.13 and 2.14 close with ethics and a statement of the gap this thesis addresses.</w:t>
      </w:r>
    </w:p>
    <w:p w14:paraId="07182E4B">
      <w:pPr>
        <w:pStyle w:val="3"/>
        <w:keepNext/>
        <w:spacing w:before="240" w:after="120" w:line="276" w:lineRule="auto"/>
        <w:jc w:val="left"/>
      </w:pPr>
      <w:bookmarkStart w:id="14" w:name="_Toc1293894327"/>
      <w:r>
        <w:rPr>
          <w:rFonts w:ascii="Arial" w:hAnsi="Arial" w:eastAsia="Arial" w:cs="Arial"/>
          <w:b/>
          <w:i w:val="0"/>
          <w:color w:val="000000"/>
          <w:sz w:val="26"/>
        </w:rPr>
        <w:t>2.2 Precision agriculture and the need for automated livestock monitoring</w:t>
      </w:r>
      <w:bookmarkEnd w:id="14"/>
    </w:p>
    <w:p w14:paraId="1BE05617">
      <w:pPr>
        <w:spacing w:before="0" w:after="120" w:line="360" w:lineRule="auto"/>
        <w:jc w:val="both"/>
      </w:pPr>
      <w:r>
        <w:rPr>
          <w:rFonts w:ascii="Arial" w:hAnsi="Arial" w:eastAsia="Arial" w:cs="Arial"/>
          <w:b w:val="0"/>
          <w:i w:val="0"/>
          <w:color w:val="000000"/>
          <w:sz w:val="22"/>
        </w:rPr>
        <w:t>The phrase precision livestock farming entered general use around 2003, but the underlying impulse goes back further (Berckmans, 2017). The argument is straightforward: if dairy and meat production is to remain economically viable in high-cost economies such as Ireland or the Netherlands, individual animal monitoring needs to scale beyond what a stockperson can manage on foot. Berckmans (2017) frames the field as the application of process engineering to living animals, and the framing has held up well as wearable sensors, in-parlour weighing, and visual systems have become cheaper.</w:t>
      </w:r>
    </w:p>
    <w:p w14:paraId="67FC4900">
      <w:pPr>
        <w:spacing w:before="0" w:after="120" w:line="360" w:lineRule="auto"/>
        <w:jc w:val="both"/>
      </w:pPr>
      <w:r>
        <w:t>Counting sits at the foundational layer of this hierarchy. It is the simplest operation that nonetheless underpins many downstream tasks: stocking density estimation, mortality monitoring, theft detection, and statutory record keeping. In the Irish context, the Animal Identification and Movement system requires every bovine animal to be tagged and its movements logged within seven days, and the Sheep Identification System imposes similar though slightly looser obligations on flocks. Compliance audits assume that recorded numbers match physical counts. Where they diverge, the discrepancy must be explained, and explanations cost time. Wang et al. (2019) note that the manual count error rate on extensive grazing systems can exceed five per cent for groups of more than fifty animals, which is the same order of magnitude as typical lamb mortality rates, making it difficult to attribute losses correctly.</w:t>
      </w:r>
    </w:p>
    <w:p w14:paraId="355F9DA1">
      <w:pPr>
        <w:spacing w:before="0" w:after="120" w:line="360" w:lineRule="auto"/>
        <w:jc w:val="both"/>
      </w:pPr>
      <w:r>
        <w:t>The case for automation is strengthened by welfare considerations. Repeated mustering for counting causes measurable cortisol elevation in cattle and reduced rumination time, and the effect is larger in pregnant animals (Berckmans, 2017). A passive visual count from a drone or fixed camera removes that handling. Whether the visual count is accurate enough to replace handling entirely is the open question that the present study addresses, and that several recent works including Sarwar et al. (2021) and Xu et al. (2020) have tried to answer in the affirmative for single-species settings.</w:t>
      </w:r>
    </w:p>
    <w:p w14:paraId="2A3DA1F0">
      <w:pPr>
        <w:pStyle w:val="3"/>
        <w:keepNext/>
        <w:spacing w:before="240" w:after="120" w:line="276" w:lineRule="auto"/>
        <w:jc w:val="left"/>
      </w:pPr>
      <w:bookmarkStart w:id="15" w:name="_Toc1062544367"/>
      <w:r>
        <w:rPr>
          <w:rFonts w:ascii="Arial" w:hAnsi="Arial" w:eastAsia="Arial" w:cs="Arial"/>
          <w:b/>
          <w:i w:val="0"/>
          <w:color w:val="000000"/>
          <w:sz w:val="26"/>
        </w:rPr>
        <w:t>2.3 Computer vision for livestock and wildlife</w:t>
      </w:r>
      <w:bookmarkEnd w:id="15"/>
    </w:p>
    <w:p w14:paraId="4991EBFE">
      <w:pPr>
        <w:pStyle w:val="4"/>
        <w:keepNext/>
        <w:spacing w:before="160" w:after="80" w:line="276" w:lineRule="auto"/>
        <w:jc w:val="left"/>
      </w:pPr>
      <w:bookmarkStart w:id="16" w:name="_Toc1856651364"/>
      <w:r>
        <w:rPr>
          <w:rFonts w:ascii="Arial" w:hAnsi="Arial" w:eastAsia="Arial" w:cs="Arial"/>
          <w:b/>
          <w:i w:val="0"/>
          <w:color w:val="000000"/>
          <w:sz w:val="24"/>
        </w:rPr>
        <w:t>2.3.1 Early work and traditional methods</w:t>
      </w:r>
      <w:bookmarkEnd w:id="16"/>
    </w:p>
    <w:p w14:paraId="05DD2C07">
      <w:pPr>
        <w:spacing w:before="0" w:after="120" w:line="360" w:lineRule="auto"/>
        <w:jc w:val="both"/>
      </w:pPr>
      <w:r>
        <w:t>Before convolutional networks took hold, livestock and wildlife recognition relied on hand-engineered features. Histogram of Oriented Gradients (HOG), Scale-Invariant Feature Transform (SIFT), and local binary patterns were applied with sliding-window classifiers, typically a Support Vector Machine. The approach worked on tightly controlled imagery, for instance side-on photographs of dairy cows in a milking parlour with consistent backgrounds. It struggled badly with the kinds of variation that characterise outdoor farm imagery: changes in pose, partial occlusion by other animals or fences, and lighting shifts between morning and evening. Zhang et al. (2019) compare a HOG plus SVM pipeline to an early CNN on a cattle dataset and report a more than fifteen-point accuracy gap in favour of the CNN, with the largest portion of the gap arising on samples with partial occlusion.</w:t>
      </w:r>
    </w:p>
    <w:p w14:paraId="78349892">
      <w:pPr>
        <w:spacing w:before="0" w:after="120" w:line="360" w:lineRule="auto"/>
        <w:jc w:val="both"/>
      </w:pPr>
      <w:r>
        <w:rPr>
          <w:rFonts w:ascii="Arial" w:hAnsi="Arial" w:eastAsia="Arial" w:cs="Arial"/>
          <w:b w:val="0"/>
          <w:i w:val="0"/>
          <w:color w:val="000000"/>
          <w:sz w:val="22"/>
        </w:rPr>
        <w:t>The limitation was not unique to agriculture. The broader computer vision community had accepted by the early 2010s that hand-engineered features were close to a ceiling, and the question was what would replace them.</w:t>
      </w:r>
    </w:p>
    <w:p w14:paraId="2DB02C1B">
      <w:pPr>
        <w:pStyle w:val="4"/>
        <w:keepNext/>
        <w:spacing w:before="160" w:after="80" w:line="276" w:lineRule="auto"/>
        <w:jc w:val="left"/>
      </w:pPr>
      <w:bookmarkStart w:id="17" w:name="_Toc1802083838"/>
      <w:r>
        <w:rPr>
          <w:rFonts w:ascii="Arial" w:hAnsi="Arial" w:eastAsia="Arial" w:cs="Arial"/>
          <w:b/>
          <w:i w:val="0"/>
          <w:color w:val="000000"/>
          <w:sz w:val="24"/>
        </w:rPr>
        <w:t>2.3.2 The deep learning shift</w:t>
      </w:r>
      <w:bookmarkEnd w:id="17"/>
    </w:p>
    <w:p w14:paraId="74497770">
      <w:pPr>
        <w:spacing w:before="0" w:after="120" w:line="360" w:lineRule="auto"/>
        <w:jc w:val="both"/>
      </w:pPr>
      <w:r>
        <w:rPr>
          <w:rFonts w:ascii="Arial" w:hAnsi="Arial" w:eastAsia="Arial" w:cs="Arial"/>
          <w:b w:val="0"/>
          <w:i w:val="0"/>
          <w:color w:val="000000"/>
          <w:sz w:val="22"/>
        </w:rPr>
        <w:t>The answer arrived in the form of AlexNet (Krizhevsky et al., 2012), trained on the ImageNet Large Scale Visual Recognition Challenge dataset. The architecture was not radically novel in its components, but the combination of ReLU activations, dropout, GPU training, and a then-unprecedented network depth halved the previous best top-five error on ImageNet. The result triggered a wave of architectural experimentation that produced VGG (Simonyan and Zisserman, 2014), Inception, and eventually residual learning (He et al., 2016). For agricultural computer vision, the shift took several years to filter through, partly because the available datasets were small and partly because GPU access was uneven outside the major laboratories.</w:t>
      </w:r>
    </w:p>
    <w:p w14:paraId="13745B62">
      <w:pPr>
        <w:spacing w:before="0" w:after="120" w:line="360" w:lineRule="auto"/>
        <w:jc w:val="both"/>
      </w:pPr>
      <w:r>
        <w:rPr>
          <w:rFonts w:ascii="Arial" w:hAnsi="Arial" w:eastAsia="Arial" w:cs="Arial"/>
          <w:b w:val="0"/>
          <w:i w:val="0"/>
          <w:color w:val="000000"/>
          <w:sz w:val="22"/>
        </w:rPr>
        <w:t>By the late 2010s, however, CNN-based pipelines had become the default. Norouzzadeh et al. (2018) trained a deep network on more than three million camera-trap images of African wildlife and reported automated species identification accuracy comparable to crowdsourced human annotation. Their work is often cited as the moment when ecological monitoring began to treat deep learning as a routine tool rather than a research curiosity.</w:t>
      </w:r>
    </w:p>
    <w:p w14:paraId="4FB5E631">
      <w:pPr>
        <w:pStyle w:val="4"/>
        <w:keepNext/>
        <w:spacing w:before="160" w:after="80" w:line="276" w:lineRule="auto"/>
        <w:jc w:val="left"/>
      </w:pPr>
      <w:bookmarkStart w:id="18" w:name="_Toc1661191625"/>
      <w:r>
        <w:rPr>
          <w:rFonts w:ascii="Arial" w:hAnsi="Arial" w:eastAsia="Arial" w:cs="Arial"/>
          <w:b/>
          <w:i w:val="0"/>
          <w:color w:val="000000"/>
          <w:sz w:val="24"/>
        </w:rPr>
        <w:t>2.3.3 Animal-specific applications</w:t>
      </w:r>
      <w:bookmarkEnd w:id="18"/>
    </w:p>
    <w:p w14:paraId="634E715C">
      <w:pPr>
        <w:spacing w:before="0" w:after="120" w:line="360" w:lineRule="auto"/>
        <w:jc w:val="both"/>
      </w:pPr>
      <w:r>
        <w:t>A distinct sub-literature has developed around individual animal identification, which is technically harder than species classification because the visual differences between, say, two Holstein-Friesian cows are subtle. Andrew et al. (2017) showed that the black-and-white coat pattern of Holstein-Friesian cattle is sufficiently unique to support reliable individual recognition with a CNN, achieving 86.1 per cent identification accuracy on a herd of forty-six cows. Qiao et al. (2019) extended this line of work using a deeper backbone and obtained over ninety-three per cent on a similar task, while also showing that the model degraded sharply when animals were photographed from angles not represented in training.</w:t>
      </w:r>
    </w:p>
    <w:p w14:paraId="0AF82654">
      <w:pPr>
        <w:spacing w:before="0" w:after="120" w:line="360" w:lineRule="auto"/>
        <w:jc w:val="both"/>
      </w:pPr>
      <w:r>
        <w:t>Sheep identification has proved more difficult. Sarwar et al. (2018) report face-recognition results on a small sheep dataset, but accuracies remain well below those for cattle, in part because sheep faces present less variation in colour and pattern. Real-time detection in agricultural and remote environments has also received attention: Sadgrove et al. (2018) propose the multiple-expert colour feature extreme learning machine (MEC-ELM) and demonstrate fast object detection on agricultural imagery without the computational cost of deep convolutional networks. Together, these works establish that animal-specific computer vision is feasible at fine granularity, but they almost always operate within a single species. The cross-species differentiation problem is conspicuous by its absence.</w:t>
      </w:r>
    </w:p>
    <w:p w14:paraId="6A2026B1">
      <w:pPr>
        <w:pStyle w:val="3"/>
        <w:keepNext/>
        <w:spacing w:before="240" w:after="120" w:line="276" w:lineRule="auto"/>
        <w:jc w:val="left"/>
      </w:pPr>
      <w:bookmarkStart w:id="19" w:name="_Toc212746728"/>
      <w:r>
        <w:rPr>
          <w:rFonts w:ascii="Arial" w:hAnsi="Arial" w:eastAsia="Arial" w:cs="Arial"/>
          <w:b/>
          <w:i w:val="0"/>
          <w:color w:val="000000"/>
          <w:sz w:val="26"/>
        </w:rPr>
        <w:t>2.4 Convolutional neural networks for image classification</w:t>
      </w:r>
      <w:bookmarkEnd w:id="19"/>
    </w:p>
    <w:p w14:paraId="651BBA35">
      <w:pPr>
        <w:pStyle w:val="4"/>
        <w:keepNext/>
        <w:spacing w:before="160" w:after="80" w:line="276" w:lineRule="auto"/>
        <w:jc w:val="left"/>
      </w:pPr>
      <w:bookmarkStart w:id="20" w:name="_Toc73985241"/>
      <w:r>
        <w:rPr>
          <w:rFonts w:ascii="Arial" w:hAnsi="Arial" w:eastAsia="Arial" w:cs="Arial"/>
          <w:b/>
          <w:i w:val="0"/>
          <w:color w:val="000000"/>
          <w:sz w:val="24"/>
        </w:rPr>
        <w:t>2.4.1 Building blocks</w:t>
      </w:r>
      <w:bookmarkEnd w:id="20"/>
    </w:p>
    <w:p w14:paraId="24310550">
      <w:pPr>
        <w:spacing w:before="0" w:after="120" w:line="360" w:lineRule="auto"/>
        <w:jc w:val="both"/>
      </w:pPr>
      <w:r>
        <w:rPr>
          <w:rFonts w:ascii="Arial" w:hAnsi="Arial" w:eastAsia="Arial" w:cs="Arial"/>
          <w:b w:val="0"/>
          <w:i w:val="0"/>
          <w:color w:val="000000"/>
          <w:sz w:val="22"/>
        </w:rPr>
        <w:t>A modern CNN is built from a small number of operations repeated in different configurations. Convolutional layers slide learned filters across the input to extract local patterns. Pooling layers summarise neighbourhoods, reducing spatial resolution and providing some translation invariance. Batch normalisation, introduced as a remedy for internal covariate shift, stabilises training and allows higher learning rates. Dropout removes a random subset of units during training and acts as a regulariser. Activation functions, most commonly the Rectified Linear Unit, introduce non-linearity. Goodfellow et al. (2016) provide what remains the canonical textbook treatment of these elements, and the formulations used in this dissertation follow their notation.</w:t>
      </w:r>
    </w:p>
    <w:p w14:paraId="4B5EC34A">
      <w:pPr>
        <w:spacing w:before="0" w:after="120" w:line="360" w:lineRule="auto"/>
        <w:jc w:val="both"/>
      </w:pPr>
      <w:r>
        <w:rPr>
          <w:rFonts w:ascii="Arial" w:hAnsi="Arial" w:eastAsia="Arial" w:cs="Arial"/>
          <w:b w:val="0"/>
          <w:i w:val="0"/>
          <w:color w:val="000000"/>
          <w:sz w:val="22"/>
        </w:rPr>
        <w:t>The interaction between these blocks is not always intuitive. Adding more dropout, for instance, does not monotonically improve generalisation, and over-regularised networks underfit even on large datasets. Batch normalisation behaves differently on small batches, which becomes relevant when GPU memory limits batch size on high-resolution agricultural imagery.</w:t>
      </w:r>
    </w:p>
    <w:p w14:paraId="02F49888">
      <w:pPr>
        <w:pStyle w:val="4"/>
        <w:keepNext/>
        <w:spacing w:before="160" w:after="80" w:line="276" w:lineRule="auto"/>
        <w:jc w:val="left"/>
      </w:pPr>
      <w:bookmarkStart w:id="21" w:name="_Toc76913874"/>
      <w:r>
        <w:rPr>
          <w:rFonts w:ascii="Arial" w:hAnsi="Arial" w:eastAsia="Arial" w:cs="Arial"/>
          <w:b/>
          <w:i w:val="0"/>
          <w:color w:val="000000"/>
          <w:sz w:val="24"/>
        </w:rPr>
        <w:t>2.4.2 Architectures: VGG, ResNet, MobileNet, EfficientNet</w:t>
      </w:r>
      <w:bookmarkEnd w:id="21"/>
    </w:p>
    <w:p w14:paraId="0CA8BBCF">
      <w:pPr>
        <w:spacing w:before="0" w:after="120" w:line="360" w:lineRule="auto"/>
        <w:jc w:val="both"/>
      </w:pPr>
      <w:r>
        <w:rPr>
          <w:rFonts w:ascii="Arial" w:hAnsi="Arial" w:eastAsia="Arial" w:cs="Arial"/>
          <w:b w:val="0"/>
          <w:i w:val="0"/>
          <w:color w:val="000000"/>
          <w:sz w:val="22"/>
        </w:rPr>
        <w:t>VGG (Simonyan and Zisserman, 2014) was a deliberate exercise in architectural simplicity: stacked three-by-three convolutions, max pooling, and three fully connected layers at the head. The design has aged well as a feature extractor despite being computationally heavy, with VGG16 carrying around 138 million parameters. ResNet (He et al., 2016) introduced the residual or skip connection, which allows gradients to flow directly through deep networks and made it practical to train models of fifty, one hundred, and even more than a thousand layers. The skip connection turned out to be one of the most influential ideas in deep learning, reappearing across most subsequent architectures.</w:t>
      </w:r>
    </w:p>
    <w:p w14:paraId="276A3A77">
      <w:pPr>
        <w:spacing w:before="0" w:after="120" w:line="360" w:lineRule="auto"/>
        <w:jc w:val="both"/>
      </w:pPr>
      <w:r>
        <w:rPr>
          <w:rFonts w:ascii="Arial" w:hAnsi="Arial" w:eastAsia="Arial" w:cs="Arial"/>
          <w:b w:val="0"/>
          <w:i w:val="0"/>
          <w:color w:val="000000"/>
          <w:sz w:val="22"/>
        </w:rPr>
        <w:t>MobileNet, in its first (Howard et al., 2017) and second (Sandler et al., 2018) versions, addresses a different concern: deployment on devices with limited compute. Depthwise separable convolutions cut parameter count by an order of magnitude relative to a comparable VGG, with only modest accuracy loss on ImageNet. MobileNetV2 added inverted residual blocks with linear bottlenecks. EfficientNet (Tan and Le, 2019) extended the line of thinking by using neural architecture search and compound scaling of depth, width, and resolution, reporting state-of-the-art accuracy at substantially lower parameter budgets than ResNet for several years after publication.</w:t>
      </w:r>
    </w:p>
    <w:p w14:paraId="04457805">
      <w:pPr>
        <w:spacing w:before="0" w:after="120" w:line="360" w:lineRule="auto"/>
        <w:jc w:val="both"/>
      </w:pPr>
      <w:r>
        <w:rPr>
          <w:rFonts w:ascii="Arial" w:hAnsi="Arial" w:eastAsia="Arial" w:cs="Arial"/>
          <w:b w:val="0"/>
          <w:i w:val="0"/>
          <w:color w:val="000000"/>
          <w:sz w:val="22"/>
        </w:rPr>
        <w:t>For an agricultural application, the choice between these is rarely settled by ImageNet accuracy alone. Field conditions, the size of the available training set, and the device that will run inference all matter.</w:t>
      </w:r>
    </w:p>
    <w:p w14:paraId="1D06B2A8">
      <w:pPr>
        <w:pStyle w:val="4"/>
        <w:keepNext/>
        <w:spacing w:before="160" w:after="80" w:line="276" w:lineRule="auto"/>
        <w:jc w:val="left"/>
      </w:pPr>
      <w:bookmarkStart w:id="22" w:name="_Toc2053808471"/>
      <w:r>
        <w:rPr>
          <w:rFonts w:ascii="Arial" w:hAnsi="Arial" w:eastAsia="Arial" w:cs="Arial"/>
          <w:b/>
          <w:i w:val="0"/>
          <w:color w:val="000000"/>
          <w:sz w:val="24"/>
        </w:rPr>
        <w:t>2.4.3 Why architecture choice matters for domain adaptation</w:t>
      </w:r>
      <w:bookmarkEnd w:id="22"/>
    </w:p>
    <w:p w14:paraId="2B7792F3">
      <w:pPr>
        <w:spacing w:before="0" w:after="120" w:line="360" w:lineRule="auto"/>
        <w:jc w:val="both"/>
      </w:pPr>
      <w:r>
        <w:rPr>
          <w:rFonts w:ascii="Arial" w:hAnsi="Arial" w:eastAsia="Arial" w:cs="Arial"/>
          <w:b w:val="0"/>
          <w:i w:val="0"/>
          <w:color w:val="000000"/>
          <w:sz w:val="22"/>
        </w:rPr>
        <w:t>The architectures above were all developed against the benchmark of ImageNet classification, which contains a large but stylistically narrow slice of internet imagery. When the target domain differs, as it does for top-down drone photographs of livestock, the inductive biases of the architecture interact with the domain gap. Yosinski et al. (2014) argue that early convolutional layers learn generic features such as edges and colour blobs that transfer well, while deeper layers become increasingly specialised to the source domain. The consequence is that the right cut-point for fine-tuning depends on how far the target imagery sits from ImageNet. There is no generic answer.</w:t>
      </w:r>
    </w:p>
    <w:p w14:paraId="6DD78A54">
      <w:pPr>
        <w:pStyle w:val="3"/>
        <w:keepNext/>
        <w:spacing w:before="240" w:after="120" w:line="276" w:lineRule="auto"/>
        <w:jc w:val="left"/>
      </w:pPr>
      <w:bookmarkStart w:id="23" w:name="_Toc1854313866"/>
      <w:r>
        <w:rPr>
          <w:rFonts w:ascii="Arial" w:hAnsi="Arial" w:eastAsia="Arial" w:cs="Arial"/>
          <w:b/>
          <w:i w:val="0"/>
          <w:color w:val="000000"/>
          <w:sz w:val="26"/>
        </w:rPr>
        <w:t>2.5 Transfer learning and domain shift</w:t>
      </w:r>
      <w:bookmarkEnd w:id="23"/>
    </w:p>
    <w:p w14:paraId="061E6040">
      <w:pPr>
        <w:pStyle w:val="4"/>
        <w:keepNext/>
        <w:spacing w:before="160" w:after="80" w:line="276" w:lineRule="auto"/>
        <w:jc w:val="left"/>
      </w:pPr>
      <w:bookmarkStart w:id="24" w:name="_Toc1170460598"/>
      <w:r>
        <w:rPr>
          <w:rFonts w:ascii="Arial" w:hAnsi="Arial" w:eastAsia="Arial" w:cs="Arial"/>
          <w:b/>
          <w:i w:val="0"/>
          <w:color w:val="000000"/>
          <w:sz w:val="24"/>
        </w:rPr>
        <w:t>2.5.1 Theoretical grounding</w:t>
      </w:r>
      <w:bookmarkEnd w:id="24"/>
    </w:p>
    <w:p w14:paraId="14BD4FE7">
      <w:pPr>
        <w:spacing w:before="0" w:after="120" w:line="360" w:lineRule="auto"/>
        <w:jc w:val="both"/>
      </w:pPr>
      <w:r>
        <w:rPr>
          <w:rFonts w:ascii="Arial" w:hAnsi="Arial" w:eastAsia="Arial" w:cs="Arial"/>
          <w:b w:val="0"/>
          <w:i w:val="0"/>
          <w:color w:val="000000"/>
          <w:sz w:val="22"/>
        </w:rPr>
        <w:t>Transfer learning, in the sense used in modern deep learning practice, was systematised by Yosinski et al. (2014). Their experiments showed that features extracted from networks pretrained on ImageNet remain useful for related tasks, and that the degree of transferability decreases monotonically with the depth of the layer in question. They also reported the surprising finding that fine-tuning, even on a small target dataset, often beats fixed feature extraction when enough samples are available, because it allows the deeper layers to adapt to the new distribution.</w:t>
      </w:r>
    </w:p>
    <w:p w14:paraId="5D058441">
      <w:pPr>
        <w:pStyle w:val="4"/>
        <w:keepNext/>
        <w:spacing w:before="160" w:after="80" w:line="276" w:lineRule="auto"/>
        <w:jc w:val="left"/>
      </w:pPr>
      <w:bookmarkStart w:id="25" w:name="_Toc981064066"/>
      <w:r>
        <w:rPr>
          <w:rFonts w:ascii="Arial" w:hAnsi="Arial" w:eastAsia="Arial" w:cs="Arial"/>
          <w:b/>
          <w:i w:val="0"/>
          <w:color w:val="000000"/>
          <w:sz w:val="24"/>
        </w:rPr>
        <w:t>2.5.2 Feature extraction vs fine-tuning</w:t>
      </w:r>
      <w:bookmarkEnd w:id="25"/>
    </w:p>
    <w:p w14:paraId="3E30E249">
      <w:pPr>
        <w:spacing w:before="0" w:after="120" w:line="360" w:lineRule="auto"/>
        <w:jc w:val="both"/>
      </w:pPr>
      <w:r>
        <w:rPr>
          <w:rFonts w:ascii="Arial" w:hAnsi="Arial" w:eastAsia="Arial" w:cs="Arial"/>
          <w:b w:val="0"/>
          <w:i w:val="0"/>
          <w:color w:val="000000"/>
          <w:sz w:val="22"/>
        </w:rPr>
        <w:t>In agricultural computer vision the choice between freezing the backbone and fine-tuning is a recurring methodological decision. With small target datasets of fewer than a thousand images per class, fine-tuning the entire network risks catastrophic forgetting and overfitting, and freezing the backbone with a new classifier head is usually safer. Once the dataset reaches the order of tens of thousands of samples per class, partial fine-tuning of the last block or two of the backbone tends to outperform either extreme. The dataset assembled for the current study sits in this middle range, which guides the design choices in chapter 3.</w:t>
      </w:r>
    </w:p>
    <w:p w14:paraId="64009B5F">
      <w:pPr>
        <w:pStyle w:val="4"/>
        <w:keepNext/>
        <w:spacing w:before="160" w:after="80" w:line="276" w:lineRule="auto"/>
        <w:jc w:val="left"/>
      </w:pPr>
      <w:bookmarkStart w:id="26" w:name="_Toc364315596"/>
      <w:r>
        <w:rPr>
          <w:rFonts w:ascii="Arial" w:hAnsi="Arial" w:eastAsia="Arial" w:cs="Arial"/>
          <w:b/>
          <w:i w:val="0"/>
          <w:color w:val="000000"/>
          <w:sz w:val="24"/>
        </w:rPr>
        <w:t>2.5.3 Evidence from agricultural computer vision</w:t>
      </w:r>
      <w:bookmarkEnd w:id="26"/>
    </w:p>
    <w:p w14:paraId="7E1DD24E">
      <w:pPr>
        <w:spacing w:before="0" w:after="120" w:line="360" w:lineRule="auto"/>
        <w:jc w:val="both"/>
      </w:pPr>
      <w:r>
        <w:t>Tian et al. (2019) report YOLOv3 results on apple detection in orchard imagery, fine-tuning from COCO weights, and reach mean average precision figures above ninety per cent on a few thousand annotated images. Xu et al. (2020) apply YOLOv3 fine-tuned from COCO to UAV cattle detection, with similar success. Sarwar et al. (2021) extend this approach to high-density aerial imagery, combining detection with explicit localisation of individual sheep, and report counting errors that remain low even when flocks are densely packed in the frame. The pattern that emerges is that pretrained detectors transfer well to agriculture when the target objects are visually similar to those represented in COCO. Cattle and sheep are two of the eighty COCO classes, which is a piece of luck the field tends to take for granted.</w:t>
      </w:r>
    </w:p>
    <w:p w14:paraId="7C6DBEB2">
      <w:pPr>
        <w:pStyle w:val="4"/>
        <w:keepNext/>
        <w:spacing w:before="160" w:after="80" w:line="276" w:lineRule="auto"/>
        <w:jc w:val="left"/>
      </w:pPr>
      <w:bookmarkStart w:id="27" w:name="_Toc576344375"/>
      <w:r>
        <w:rPr>
          <w:rFonts w:ascii="Arial" w:hAnsi="Arial" w:eastAsia="Arial" w:cs="Arial"/>
          <w:b/>
          <w:i w:val="0"/>
          <w:color w:val="000000"/>
          <w:sz w:val="24"/>
        </w:rPr>
        <w:t>2.5.4 Critical perspective: ImageNet is not a universal feature extractor</w:t>
      </w:r>
      <w:bookmarkEnd w:id="27"/>
    </w:p>
    <w:p w14:paraId="77523CBC">
      <w:pPr>
        <w:spacing w:before="0" w:after="120" w:line="360" w:lineRule="auto"/>
        <w:jc w:val="both"/>
      </w:pPr>
      <w:r>
        <w:rPr>
          <w:rFonts w:ascii="Arial" w:hAnsi="Arial" w:eastAsia="Arial" w:cs="Arial"/>
          <w:b w:val="0"/>
          <w:i w:val="0"/>
          <w:color w:val="000000"/>
          <w:sz w:val="22"/>
        </w:rPr>
        <w:t>The risk in this success story is to assume that pretraining always helps. Several authors have pushed back against the assumption. The argument is that ImageNet imagery is photographer-curated, well-lit, centred, and seen from human eye-level. Agricultural imagery from drones is none of those things. Features that disambiguate, say, a Persian cat from a Siamese cat are unlikely to be the same features that disambiguate a black sheep from a black calf seen from above. The custom baseline trained from random initialisation in this dissertation is intended in part as an honest test of that argument.</w:t>
      </w:r>
    </w:p>
    <w:p w14:paraId="6567925D">
      <w:pPr>
        <w:pStyle w:val="3"/>
        <w:keepNext/>
        <w:spacing w:before="240" w:after="120" w:line="276" w:lineRule="auto"/>
        <w:jc w:val="left"/>
      </w:pPr>
      <w:bookmarkStart w:id="28" w:name="_Toc1468662655"/>
      <w:r>
        <w:rPr>
          <w:rFonts w:ascii="Arial" w:hAnsi="Arial" w:eastAsia="Arial" w:cs="Arial"/>
          <w:b/>
          <w:i w:val="0"/>
          <w:color w:val="000000"/>
          <w:sz w:val="26"/>
        </w:rPr>
        <w:t>2.6 Object detection and counting</w:t>
      </w:r>
      <w:bookmarkEnd w:id="28"/>
    </w:p>
    <w:p w14:paraId="54BFE90F">
      <w:pPr>
        <w:pStyle w:val="4"/>
        <w:keepNext/>
        <w:spacing w:before="160" w:after="80" w:line="276" w:lineRule="auto"/>
        <w:jc w:val="left"/>
      </w:pPr>
      <w:bookmarkStart w:id="29" w:name="_Toc636203967"/>
      <w:r>
        <w:rPr>
          <w:rFonts w:ascii="Arial" w:hAnsi="Arial" w:eastAsia="Arial" w:cs="Arial"/>
          <w:b/>
          <w:i w:val="0"/>
          <w:color w:val="000000"/>
          <w:sz w:val="24"/>
        </w:rPr>
        <w:t>2.6.1 Two-stage and single-stage detectors</w:t>
      </w:r>
      <w:bookmarkEnd w:id="29"/>
    </w:p>
    <w:p w14:paraId="04A1F18C">
      <w:pPr>
        <w:spacing w:before="0" w:after="120" w:line="360" w:lineRule="auto"/>
        <w:jc w:val="both"/>
      </w:pPr>
      <w:r>
        <w:rPr>
          <w:rFonts w:ascii="Arial" w:hAnsi="Arial" w:eastAsia="Arial" w:cs="Arial"/>
          <w:b w:val="0"/>
          <w:i w:val="0"/>
          <w:color w:val="000000"/>
          <w:sz w:val="22"/>
        </w:rPr>
        <w:t>Object detection systems split historically into two camps. Two-stage detectors, exemplified by R-CNN, Fast R-CNN, and Faster R-CNN, first generate region proposals and then classify them. They tend to be accurate but slow. Single-stage detectors, of which YOLO is the canonical example, frame detection as a single regression problem over a fixed grid (Redmon et al., 2016). They are faster, often by an order of magnitude, and have closed most of the accuracy gap over the past several years. SSD occupies an intermediate position. For an agricultural counting task that may eventually be deployed on a tractor-mounted device or a tablet at the gate, single-stage detection is the natural choice.</w:t>
      </w:r>
    </w:p>
    <w:p w14:paraId="3B89B4B1">
      <w:pPr>
        <w:pStyle w:val="4"/>
        <w:keepNext/>
        <w:spacing w:before="160" w:after="80" w:line="276" w:lineRule="auto"/>
        <w:jc w:val="left"/>
      </w:pPr>
      <w:bookmarkStart w:id="30" w:name="_Toc358994956"/>
      <w:r>
        <w:rPr>
          <w:rFonts w:ascii="Arial" w:hAnsi="Arial" w:eastAsia="Arial" w:cs="Arial"/>
          <w:b/>
          <w:i w:val="0"/>
          <w:color w:val="000000"/>
          <w:sz w:val="24"/>
        </w:rPr>
        <w:t>2.6.2 The YOLO family evolution from v1 to v8</w:t>
      </w:r>
      <w:bookmarkEnd w:id="30"/>
    </w:p>
    <w:p w14:paraId="4F28034C">
      <w:pPr>
        <w:spacing w:before="0" w:after="120" w:line="360" w:lineRule="auto"/>
        <w:jc w:val="both"/>
      </w:pPr>
      <w:r>
        <w:rPr>
          <w:rFonts w:ascii="Arial" w:hAnsi="Arial" w:eastAsia="Arial" w:cs="Arial"/>
          <w:b w:val="0"/>
          <w:i w:val="0"/>
          <w:color w:val="000000"/>
          <w:sz w:val="22"/>
        </w:rPr>
        <w:t>The YOLO line has gone through more revisions than almost any other detector family. YOLOv1 (Redmon et al., 2016) introduced the grid-based regression formulation. YOLOv3 (Redmon and Farhadi, 2018) added multi-scale prediction with three output heads, which substantially improved small-object detection. YOLOv4 (Bochkovskiy et al., 2020) consolidated a large set of training tricks (mosaic augmentation, CIoU loss, self-adversarial training) into a single, freely usable system. YOLOv5 was released by Ultralytics outside the original Redmon line and gained traction because of its PyTorch implementation and ease of fine-tuning. YOLOv8 (Jocher et al., 2023) introduced an anchor-free head, a new C2f backbone block, and unified support for detection, segmentation, and classification within one framework. For livestock counting, the anchor-free formulation is appealing because cattle and sheep vary in apparent size by a factor of three or more across a single drone image, and predefined anchor boxes were always an awkward fit.</w:t>
      </w:r>
    </w:p>
    <w:p w14:paraId="28349B68">
      <w:pPr>
        <w:pStyle w:val="4"/>
        <w:keepNext/>
        <w:spacing w:before="160" w:after="80" w:line="276" w:lineRule="auto"/>
        <w:jc w:val="left"/>
      </w:pPr>
      <w:bookmarkStart w:id="31" w:name="_Toc1346661069"/>
      <w:r>
        <w:rPr>
          <w:rFonts w:ascii="Arial" w:hAnsi="Arial" w:eastAsia="Arial" w:cs="Arial"/>
          <w:b/>
          <w:i w:val="0"/>
          <w:color w:val="000000"/>
          <w:sz w:val="24"/>
        </w:rPr>
        <w:t>2.6.3 Counting from detection: limitations under high occlusion</w:t>
      </w:r>
      <w:bookmarkEnd w:id="31"/>
    </w:p>
    <w:p w14:paraId="46F47642">
      <w:pPr>
        <w:spacing w:before="0" w:after="120" w:line="360" w:lineRule="auto"/>
        <w:jc w:val="both"/>
      </w:pPr>
      <w:r>
        <w:t>A detector produces bounding boxes; counting them is, in the simple case, a matter of cardinality. The simple case breaks down when animals overlap. Wang et al. (2019) report that counting accuracy from drone imagery of grazing cattle drops sharply once herd density exceeds roughly one animal per ten square metres of ground area. Similar effects appear in sheep counting (Sarwar et al., 2021). The reason is that non-maximum suppression, which removes overlapping detections, cannot distinguish between two boxes that overlap because they describe the same animal and two boxes that overlap because two animals are physically pressed together.</w:t>
      </w:r>
    </w:p>
    <w:p w14:paraId="38F49767">
      <w:pPr>
        <w:pStyle w:val="4"/>
        <w:keepNext/>
        <w:spacing w:before="160" w:after="80" w:line="276" w:lineRule="auto"/>
        <w:jc w:val="left"/>
      </w:pPr>
      <w:bookmarkStart w:id="32" w:name="_Toc1002430950"/>
      <w:r>
        <w:rPr>
          <w:rFonts w:ascii="Arial" w:hAnsi="Arial" w:eastAsia="Arial" w:cs="Arial"/>
          <w:b/>
          <w:i w:val="0"/>
          <w:color w:val="000000"/>
          <w:sz w:val="24"/>
        </w:rPr>
        <w:t>2.6.4 Density-based counting as alternative</w:t>
      </w:r>
      <w:bookmarkEnd w:id="32"/>
    </w:p>
    <w:p w14:paraId="7A6AF21D">
      <w:pPr>
        <w:spacing w:before="0" w:after="120" w:line="360" w:lineRule="auto"/>
        <w:jc w:val="both"/>
      </w:pPr>
      <w:r>
        <w:t>Where occlusion is severe, an alternative is to abandon detection entirely and predict a density map whose integral gives the count. CSRNet and MCNN are the canonical examples in the crowd counting literature. An orthogonal direction is to keep detection but optimise it for real-time agricultural use: Sadgrove et al. (2018) report that lightweight feature extractors such as MEC-ELM can match deeper networks on small agricultural datasets while running an order of magnitude faster on commodity hardware. Density-based methods avoid the non-maximum suppression problem, but they do not give per-animal localisation, which makes downstream tasks such as health monitoring more difficult. The present study stays with detection-based counting because per-animal information is part of the eventual deployment scenario, while acknowledging the trade-off.</w:t>
      </w:r>
    </w:p>
    <w:p w14:paraId="7041EF58">
      <w:pPr>
        <w:pStyle w:val="3"/>
        <w:keepNext/>
        <w:spacing w:before="240" w:after="120" w:line="276" w:lineRule="auto"/>
        <w:jc w:val="left"/>
      </w:pPr>
      <w:bookmarkStart w:id="33" w:name="_Toc847765935"/>
      <w:r>
        <w:rPr>
          <w:rFonts w:ascii="Arial" w:hAnsi="Arial" w:eastAsia="Arial" w:cs="Arial"/>
          <w:b/>
          <w:i w:val="0"/>
          <w:color w:val="000000"/>
          <w:sz w:val="26"/>
        </w:rPr>
        <w:t>2.7 Datasets for livestock and wildlife</w:t>
      </w:r>
      <w:bookmarkEnd w:id="33"/>
    </w:p>
    <w:p w14:paraId="6D2BD9B4">
      <w:pPr>
        <w:spacing w:before="0" w:after="120" w:line="360" w:lineRule="auto"/>
        <w:jc w:val="both"/>
      </w:pPr>
      <w:r>
        <w:rPr>
          <w:rFonts w:ascii="Arial" w:hAnsi="Arial" w:eastAsia="Arial" w:cs="Arial"/>
          <w:b w:val="0"/>
          <w:i w:val="0"/>
          <w:color w:val="000000"/>
          <w:sz w:val="22"/>
        </w:rPr>
        <w:t>The COCO dataset (Lin et al., 2014) contains around 330,000 images annotated for eighty everyday object classes, including cow and sheep. The cow and sheep subsets together contain roughly 8,000 instances, predominantly photographed from human eye-level on European or North American pastures. The annotations are bounding boxes with segmentation masks. Licensing follows COCO terms, which permit research use.</w:t>
      </w:r>
    </w:p>
    <w:p w14:paraId="118C28FF">
      <w:pPr>
        <w:spacing w:before="0" w:after="120" w:line="360" w:lineRule="auto"/>
        <w:jc w:val="both"/>
      </w:pPr>
      <w:r>
        <w:rPr>
          <w:rFonts w:ascii="Arial" w:hAnsi="Arial" w:eastAsia="Arial" w:cs="Arial"/>
          <w:b w:val="0"/>
          <w:i w:val="0"/>
          <w:color w:val="000000"/>
          <w:sz w:val="22"/>
        </w:rPr>
        <w:t>The WAID collection (Mou et al., 2023) was assembled specifically for wildlife and livestock detection from UAV imagery. It contains six animal classes including cattle and sheep, photographed from drone altitudes between approximately twenty and one hundred metres. The aerial perspective is what COCO lacks, which is why combining the two is appealing for a system that needs to work across viewpoints.</w:t>
      </w:r>
    </w:p>
    <w:p w14:paraId="491CF2D5">
      <w:pPr>
        <w:spacing w:before="0" w:after="120" w:line="360" w:lineRule="auto"/>
        <w:jc w:val="both"/>
      </w:pPr>
      <w:r>
        <w:rPr>
          <w:rFonts w:ascii="Arial" w:hAnsi="Arial" w:eastAsia="Arial" w:cs="Arial"/>
          <w:b w:val="0"/>
          <w:i w:val="0"/>
          <w:color w:val="000000"/>
          <w:sz w:val="22"/>
        </w:rPr>
        <w:t>Other resources exist but were not used here. Open Images includes cattle and sheep but with inconsistent annotation quality. AnimalWeb is built around face-centred images and is not well-suited to counting. Roboflow Universe hosts a number of community-contributed cattle and sheep datasets under permissive licences (CC-BY in most cases), but their annotation quality varies and merging them adds complexity that was deemed not worth the marginal gain. The combination of COCO and WAID was chosen as the cleanest pair that covers both viewpoint regimes.</w:t>
      </w:r>
    </w:p>
    <w:p w14:paraId="3162C125">
      <w:pPr>
        <w:pStyle w:val="3"/>
        <w:keepNext/>
        <w:spacing w:before="240" w:after="120" w:line="276" w:lineRule="auto"/>
        <w:jc w:val="left"/>
      </w:pPr>
      <w:bookmarkStart w:id="34" w:name="_Toc1995555347"/>
      <w:r>
        <w:rPr>
          <w:rFonts w:ascii="Arial" w:hAnsi="Arial" w:eastAsia="Arial" w:cs="Arial"/>
          <w:b/>
          <w:i w:val="0"/>
          <w:color w:val="000000"/>
          <w:sz w:val="26"/>
        </w:rPr>
        <w:t>2.8 Hyperparameter optimisation in deep learning</w:t>
      </w:r>
      <w:bookmarkEnd w:id="34"/>
    </w:p>
    <w:p w14:paraId="0EFBC66A">
      <w:pPr>
        <w:spacing w:before="0" w:after="120" w:line="360" w:lineRule="auto"/>
        <w:jc w:val="both"/>
      </w:pPr>
      <w:r>
        <w:rPr>
          <w:rFonts w:ascii="Arial" w:hAnsi="Arial" w:eastAsia="Arial" w:cs="Arial"/>
          <w:b w:val="0"/>
          <w:i w:val="0"/>
          <w:color w:val="000000"/>
          <w:sz w:val="22"/>
        </w:rPr>
        <w:t>Hyperparameter choice has a larger effect on reported accuracy than is sometimes admitted, and unfair comparisons are common when baseline models are trained with default hyperparameters while the favoured model receives careful tuning. Bergstra and Bengio (2012) demonstrated that random search over hyperparameters typically outperforms grid search at equal computational cost, because most hyperparameters have low effective dimensionality and grid search wastes evaluations on irrelevant axes. The argument shifted the field away from grid search.</w:t>
      </w:r>
    </w:p>
    <w:p w14:paraId="20483075">
      <w:pPr>
        <w:spacing w:before="0" w:after="120" w:line="360" w:lineRule="auto"/>
        <w:jc w:val="both"/>
      </w:pPr>
      <w:r>
        <w:rPr>
          <w:rFonts w:ascii="Arial" w:hAnsi="Arial" w:eastAsia="Arial" w:cs="Arial"/>
          <w:b w:val="0"/>
          <w:i w:val="0"/>
          <w:color w:val="000000"/>
          <w:sz w:val="22"/>
        </w:rPr>
        <w:t>Bayesian optimisation, and in particular the Tree-structured Parzen Estimator implementation in Optuna (Akiba et al., 2019), has become the default for moderately sized search budgets. Optuna offers asynchronous parallel evaluation, define-by-run search spaces, and pruning of unpromising trials, which together make it practical to search over learning rate, dropout, optimiser choice, and architectural parameters within a few dozen GPU-hours. The current dissertation uses Optuna for the custom CNN, which guards against the criticism that the baseline was deliberately handicapped relative to the pretrained alternatives.</w:t>
      </w:r>
    </w:p>
    <w:p w14:paraId="724B6417">
      <w:pPr>
        <w:pStyle w:val="3"/>
        <w:keepNext/>
        <w:spacing w:before="240" w:after="120" w:line="276" w:lineRule="auto"/>
        <w:jc w:val="left"/>
      </w:pPr>
      <w:bookmarkStart w:id="35" w:name="_Toc2046601830"/>
      <w:r>
        <w:rPr>
          <w:rFonts w:ascii="Arial" w:hAnsi="Arial" w:eastAsia="Arial" w:cs="Arial"/>
          <w:b/>
          <w:i w:val="0"/>
          <w:color w:val="000000"/>
          <w:sz w:val="26"/>
        </w:rPr>
        <w:t>2.9 Data augmentation</w:t>
      </w:r>
      <w:bookmarkEnd w:id="35"/>
    </w:p>
    <w:p w14:paraId="77A990DD">
      <w:pPr>
        <w:spacing w:before="0" w:after="120" w:line="360" w:lineRule="auto"/>
        <w:jc w:val="both"/>
      </w:pPr>
      <w:r>
        <w:rPr>
          <w:rFonts w:ascii="Arial" w:hAnsi="Arial" w:eastAsia="Arial" w:cs="Arial"/>
          <w:b w:val="0"/>
          <w:i w:val="0"/>
          <w:color w:val="000000"/>
          <w:sz w:val="22"/>
        </w:rPr>
        <w:t>Augmentation has been part of CNN training since AlexNet, where random crops and horizontal flips alone added several points of accuracy on ImageNet (Krizhevsky et al., 2012). Shorten and Khoshgoftaar (2019) survey the field as it stood in the late 2010s, distinguishing geometric transformations, photometric transformations, kernel filters, and synthetic data generation through GANs. They report consistent gains from simple transformations on small datasets and diminishing returns as datasets grow.</w:t>
      </w:r>
    </w:p>
    <w:p w14:paraId="6C732EB8">
      <w:pPr>
        <w:spacing w:before="0" w:after="120" w:line="360" w:lineRule="auto"/>
        <w:jc w:val="both"/>
      </w:pPr>
      <w:r>
        <w:rPr>
          <w:rFonts w:ascii="Arial" w:hAnsi="Arial" w:eastAsia="Arial" w:cs="Arial"/>
          <w:b w:val="0"/>
          <w:i w:val="0"/>
          <w:color w:val="000000"/>
          <w:sz w:val="22"/>
        </w:rPr>
        <w:t>More recent strategies include Mixup, CutMix, and AutoAugment. Each can give measurable improvements, but they also add hyperparameters of their own and can interact with batch normalisation in unexpected ways. For livestock imagery, the augmentations that map most cleanly to real conditions are random brightness and contrast shifts (representing different times of day), random rotation and flipping (representing varying drone heading), and Gaussian blur (representing focus drift on cheap drone optics). The augmentation pipeline used in chapter 3 reflects this reasoning rather than reaching for the most elaborate available recipe.</w:t>
      </w:r>
    </w:p>
    <w:p w14:paraId="6CDC0B4B">
      <w:pPr>
        <w:spacing w:before="0" w:after="120" w:line="360" w:lineRule="auto"/>
        <w:jc w:val="both"/>
      </w:pPr>
      <w:r>
        <w:rPr>
          <w:rFonts w:ascii="Arial" w:hAnsi="Arial" w:eastAsia="Arial" w:cs="Arial"/>
          <w:b w:val="0"/>
          <w:i w:val="0"/>
          <w:color w:val="000000"/>
          <w:sz w:val="22"/>
        </w:rPr>
        <w:t>A recurring critique is that augmentation gains plateau once the dataset is sufficiently large. With more than fifty thousand crops, the marginal benefit per additional augmentation type may be smaller than the literature suggests. The ablation reported in chapter 4 tests whether this is the case here.</w:t>
      </w:r>
    </w:p>
    <w:p w14:paraId="436E2933">
      <w:pPr>
        <w:pStyle w:val="3"/>
        <w:keepNext/>
        <w:spacing w:before="240" w:after="120" w:line="276" w:lineRule="auto"/>
        <w:jc w:val="left"/>
      </w:pPr>
      <w:bookmarkStart w:id="36" w:name="_Toc991382811"/>
      <w:r>
        <w:rPr>
          <w:rFonts w:ascii="Arial" w:hAnsi="Arial" w:eastAsia="Arial" w:cs="Arial"/>
          <w:b/>
          <w:i w:val="0"/>
          <w:color w:val="000000"/>
          <w:sz w:val="26"/>
        </w:rPr>
        <w:t>2.10 Interpretability of CNN: Grad-CAM</w:t>
      </w:r>
      <w:bookmarkEnd w:id="36"/>
    </w:p>
    <w:p w14:paraId="1801CABC">
      <w:pPr>
        <w:spacing w:before="0" w:after="120" w:line="360" w:lineRule="auto"/>
        <w:jc w:val="both"/>
      </w:pPr>
      <w:r>
        <w:rPr>
          <w:rFonts w:ascii="Arial" w:hAnsi="Arial" w:eastAsia="Arial" w:cs="Arial"/>
          <w:b w:val="0"/>
          <w:i w:val="0"/>
          <w:color w:val="000000"/>
          <w:sz w:val="22"/>
        </w:rPr>
        <w:t>Gradient-weighted Class Activation Mapping, introduced by Selvaraju et al. (2017), produces a coarse heatmap of which regions of an input image most influenced a given classification decision. The technique works by taking the gradient of the predicted class score with respect to the activations of a chosen convolutional layer and weighting the activations by those gradients. The result is a visualisation that, while not a complete explanation, tells the practitioner whether the model is attending to plausibly relevant regions.</w:t>
      </w:r>
    </w:p>
    <w:p w14:paraId="04A678E9">
      <w:pPr>
        <w:spacing w:before="0" w:after="120" w:line="360" w:lineRule="auto"/>
        <w:jc w:val="both"/>
      </w:pPr>
      <w:r>
        <w:rPr>
          <w:rFonts w:ascii="Arial" w:hAnsi="Arial" w:eastAsia="Arial" w:cs="Arial"/>
          <w:b w:val="0"/>
          <w:i w:val="0"/>
          <w:color w:val="000000"/>
          <w:sz w:val="22"/>
        </w:rPr>
        <w:t>For agricultural applications, Grad-CAM is particularly useful for detecting shortcut learning. A network might learn to distinguish cattle from sheep not by attending to the animals themselves but by exploiting background cues, for example brown muddy ground around cattle versus dry grass around sheep. The shortcut yields high test accuracy on a dataset where the cue is present and collapses when the cue is absent. Grad-CAM exposes this kind of failure before deployment, which is why it is reported in chapter 4 alongside accuracy numbers.</w:t>
      </w:r>
    </w:p>
    <w:p w14:paraId="00F422B4">
      <w:pPr>
        <w:pStyle w:val="3"/>
        <w:keepNext/>
        <w:spacing w:before="240" w:after="120" w:line="276" w:lineRule="auto"/>
        <w:jc w:val="left"/>
      </w:pPr>
      <w:bookmarkStart w:id="37" w:name="_Toc1992771051"/>
      <w:r>
        <w:rPr>
          <w:rFonts w:ascii="Arial" w:hAnsi="Arial" w:eastAsia="Arial" w:cs="Arial"/>
          <w:b/>
          <w:i w:val="0"/>
          <w:color w:val="000000"/>
          <w:sz w:val="26"/>
        </w:rPr>
        <w:t>2.11 Statistical comparison of classifiers</w:t>
      </w:r>
      <w:bookmarkEnd w:id="37"/>
    </w:p>
    <w:p w14:paraId="599D2040">
      <w:pPr>
        <w:spacing w:before="0" w:after="120" w:line="360" w:lineRule="auto"/>
        <w:jc w:val="both"/>
      </w:pPr>
      <w:r>
        <w:rPr>
          <w:rFonts w:ascii="Arial" w:hAnsi="Arial" w:eastAsia="Arial" w:cs="Arial"/>
          <w:b w:val="0"/>
          <w:i w:val="0"/>
          <w:color w:val="000000"/>
          <w:sz w:val="22"/>
        </w:rPr>
        <w:t>Comparing two classifiers by their accuracy on the same test set is tempting but statistically dangerous. Even moderate differences can arise from sampling variation. McNemar (1947) introduced a paired test based on the contingency of correct and incorrect predictions of two classifiers on the same examples, which remains the standard for binary classification comparison. Dietterich (1998) reviews five tests for classifier comparison and concludes that the McNemar test, when applied correctly, has acceptable Type I error and good power, while several alternatives have inflated Type I error rates.</w:t>
      </w:r>
    </w:p>
    <w:p w14:paraId="26AFAEAA">
      <w:pPr>
        <w:spacing w:before="0" w:after="120" w:line="360" w:lineRule="auto"/>
        <w:jc w:val="both"/>
      </w:pPr>
      <w:r>
        <w:rPr>
          <w:rFonts w:ascii="Arial" w:hAnsi="Arial" w:eastAsia="Arial" w:cs="Arial"/>
          <w:b w:val="0"/>
          <w:i w:val="0"/>
          <w:color w:val="000000"/>
          <w:sz w:val="22"/>
        </w:rPr>
        <w:t>The McNemar formulation tests the null hypothesis that the off-diagonal cells of the contingency table (one classifier correct and the other wrong) have equal expected counts. It applies straightforwardly to the cattle versus sheep binary problem on the held-out test set. Confidence intervals on accuracy can additionally be obtained by bootstrap resampling, which the present study reports alongside the McNemar p-values to give a fuller picture than either method alone.</w:t>
      </w:r>
    </w:p>
    <w:p w14:paraId="01E47707">
      <w:pPr>
        <w:pStyle w:val="3"/>
        <w:keepNext/>
        <w:spacing w:before="240" w:after="120" w:line="276" w:lineRule="auto"/>
        <w:jc w:val="left"/>
      </w:pPr>
      <w:bookmarkStart w:id="38" w:name="_Toc348095545"/>
      <w:r>
        <w:rPr>
          <w:rFonts w:ascii="Arial" w:hAnsi="Arial" w:eastAsia="Arial" w:cs="Arial"/>
          <w:b/>
          <w:i w:val="0"/>
          <w:color w:val="000000"/>
          <w:sz w:val="26"/>
        </w:rPr>
        <w:t>2.12 Environmental robustness and subgroup analysis</w:t>
      </w:r>
      <w:bookmarkEnd w:id="38"/>
    </w:p>
    <w:p w14:paraId="1B6C171E">
      <w:pPr>
        <w:spacing w:before="0" w:after="120" w:line="360" w:lineRule="auto"/>
        <w:jc w:val="both"/>
      </w:pPr>
      <w:r>
        <w:rPr>
          <w:rFonts w:ascii="Arial" w:hAnsi="Arial" w:eastAsia="Arial" w:cs="Arial"/>
          <w:b w:val="0"/>
          <w:i w:val="0"/>
          <w:color w:val="000000"/>
          <w:sz w:val="22"/>
        </w:rPr>
        <w:t>Reporting a single accuracy number on a heterogeneous test set conceals the fact that performance can vary substantially across conditions. For livestock imagery, the conditions that matter most are lighting (bright sun, overcast, shadow, dusk), occlusion level (full body visible, partial occlusion, heavy occlusion by other animals or fences), distance from the camera, and background complexity (clean grass, mixed vegetation, mud, infrastructure). The drone imagery in WAID covers a wide range of these conditions, but the COCO subsets concentrate on bright daylight and simple backgrounds.</w:t>
      </w:r>
    </w:p>
    <w:p w14:paraId="713902A2">
      <w:pPr>
        <w:spacing w:before="0" w:after="120" w:line="360" w:lineRule="auto"/>
        <w:jc w:val="both"/>
      </w:pPr>
      <w:r>
        <w:t>Per-subgroup analysis is rare in livestock computer vision papers. Most published works report overall accuracy or mAP and leave subgroup behaviour to a discussion section. Wang et al. (2019) is one of the exceptions, breaking down counting error by herd density and reporting the dependence explicitly. The current study extends this practice by tagging each test image with lighting and occlusion labels and reporting per-subgroup metrics for both classifiers and the YOLOv8 detector.</w:t>
      </w:r>
    </w:p>
    <w:p w14:paraId="27A6A64D">
      <w:pPr>
        <w:pStyle w:val="3"/>
        <w:keepNext/>
        <w:spacing w:before="240" w:after="120" w:line="276" w:lineRule="auto"/>
        <w:jc w:val="left"/>
      </w:pPr>
      <w:bookmarkStart w:id="39" w:name="_Toc696370387"/>
      <w:r>
        <w:rPr>
          <w:rFonts w:ascii="Arial" w:hAnsi="Arial" w:eastAsia="Arial" w:cs="Arial"/>
          <w:b/>
          <w:i w:val="0"/>
          <w:color w:val="000000"/>
          <w:sz w:val="26"/>
        </w:rPr>
        <w:t>2.13 Ethical and legal context (overview)</w:t>
      </w:r>
      <w:bookmarkEnd w:id="39"/>
    </w:p>
    <w:p w14:paraId="183D36A6">
      <w:r>
        <w:t>Ethical and legal considerations relevant to this work are summarised in Chapter 6, which discusses data protection, dataset licensing, animal welfare and the absence of an institutional ethics review for the chosen secondary datasets.</w:t>
      </w:r>
    </w:p>
    <w:p w14:paraId="0EE7B87B">
      <w:pPr>
        <w:pStyle w:val="3"/>
        <w:keepNext/>
        <w:spacing w:before="240" w:after="120" w:line="276" w:lineRule="auto"/>
        <w:jc w:val="left"/>
      </w:pPr>
      <w:bookmarkStart w:id="40" w:name="_Toc111218159"/>
      <w:r>
        <w:rPr>
          <w:rFonts w:ascii="Arial" w:hAnsi="Arial" w:eastAsia="Arial" w:cs="Arial"/>
          <w:b/>
          <w:i w:val="0"/>
          <w:color w:val="000000"/>
          <w:sz w:val="26"/>
        </w:rPr>
        <w:t>2.14 Identified gaps in the literature and positioning of this study</w:t>
      </w:r>
      <w:bookmarkEnd w:id="40"/>
    </w:p>
    <w:p w14:paraId="295FD2FE">
      <w:pPr>
        <w:spacing w:before="0" w:after="120" w:line="360" w:lineRule="auto"/>
        <w:jc w:val="both"/>
      </w:pPr>
      <w:r>
        <w:rPr>
          <w:rFonts w:ascii="Arial" w:hAnsi="Arial" w:eastAsia="Arial" w:cs="Arial"/>
          <w:b w:val="0"/>
          <w:i w:val="0"/>
          <w:color w:val="000000"/>
          <w:sz w:val="22"/>
        </w:rPr>
        <w:t>Four specific gaps emerge from the review. First, the published literature on livestock computer vision is overwhelmingly single-species. Cattle work and sheep work proceed in parallel without much cross-pollination, and almost no published study trains a single model to differentiate the two on imagery where both species appear. Second, drone-altitude and ground-level imagery are usually treated separately, with claims of robustness rarely tested across viewpoints. Third, per-subgroup analysis on environmental conditions is uncommon in livestock work; lighting and occlusion are mentioned in discussion sections but rarely quantified. Fourth, papers that compare custom architectures against ImageNet-pretrained baselines under truly identical training conditions and hyperparameter budgets are scarce.</w:t>
      </w:r>
    </w:p>
    <w:p w14:paraId="1CB48B0F">
      <w:pPr>
        <w:spacing w:before="0" w:after="120" w:line="360" w:lineRule="auto"/>
        <w:jc w:val="both"/>
      </w:pPr>
      <w:r>
        <w:rPr>
          <w:rFonts w:ascii="Arial" w:hAnsi="Arial" w:eastAsia="Arial" w:cs="Arial"/>
          <w:b w:val="0"/>
          <w:i w:val="0"/>
          <w:color w:val="000000"/>
          <w:sz w:val="22"/>
        </w:rPr>
        <w:t>This dissertation is organised around addressing these four gaps. The dataset deliberately mixes WAID and COCO, the modelling pipeline sets a custom CNN against three pretrained networks under matched training conditions, the YOLOv8 counting evaluation reports per-subgroup behaviour, and the discussion in chapter 5 returns to each gap to assess what has been resolved and what remains open.</w:t>
      </w:r>
    </w:p>
    <w:p w14:paraId="54553656">
      <w:pPr>
        <w:pStyle w:val="2"/>
        <w:keepNext/>
        <w:pageBreakBefore/>
        <w:spacing w:before="360" w:after="240" w:line="276" w:lineRule="auto"/>
        <w:jc w:val="left"/>
      </w:pPr>
      <w:bookmarkStart w:id="41" w:name="_Toc932825423"/>
      <w:r>
        <w:rPr>
          <w:rFonts w:ascii="Arial" w:hAnsi="Arial" w:eastAsia="Arial" w:cs="Arial"/>
          <w:b/>
          <w:i w:val="0"/>
          <w:color w:val="000000"/>
          <w:sz w:val="32"/>
        </w:rPr>
        <w:t>3. Methodology</w:t>
      </w:r>
      <w:bookmarkEnd w:id="41"/>
    </w:p>
    <w:p w14:paraId="50348BBF">
      <w:pPr>
        <w:pStyle w:val="3"/>
        <w:keepNext/>
        <w:spacing w:before="240" w:after="120" w:line="276" w:lineRule="auto"/>
        <w:jc w:val="left"/>
      </w:pPr>
      <w:bookmarkStart w:id="42" w:name="_Toc1366261261"/>
      <w:r>
        <w:rPr>
          <w:rFonts w:ascii="Arial" w:hAnsi="Arial" w:eastAsia="Arial" w:cs="Arial"/>
          <w:b/>
          <w:i w:val="0"/>
          <w:color w:val="000000"/>
          <w:sz w:val="26"/>
        </w:rPr>
        <w:t>3.1 Research philosophy and approach</w:t>
      </w:r>
      <w:bookmarkEnd w:id="42"/>
    </w:p>
    <w:p w14:paraId="0483BCF3">
      <w:pPr>
        <w:spacing w:before="0" w:after="120" w:line="360" w:lineRule="auto"/>
        <w:jc w:val="both"/>
      </w:pPr>
      <w:r>
        <w:rPr>
          <w:rFonts w:ascii="Arial" w:hAnsi="Arial" w:eastAsia="Arial" w:cs="Arial"/>
          <w:b w:val="0"/>
          <w:i w:val="0"/>
          <w:color w:val="000000"/>
          <w:sz w:val="22"/>
        </w:rPr>
        <w:t>This work sits within a positivist research tradition. The questions I ask are empirical: does an ImageNet-pretrained classifier separate cattle from sheep more reliably than a network trained from scratch on the same crops, does augmentation actually shift test accuracy, and does a counting model degrade in a measurable way when occlusion increases. Each of these is testable with held-out data and statistical tests, which fits a positivist frame where knowledge claims rest on observable, repeatable measurements rather than interpretation of meaning.</w:t>
      </w:r>
    </w:p>
    <w:p w14:paraId="11409018">
      <w:pPr>
        <w:spacing w:before="0" w:after="120" w:line="360" w:lineRule="auto"/>
        <w:jc w:val="both"/>
      </w:pPr>
      <w:r>
        <w:rPr>
          <w:rFonts w:ascii="Arial" w:hAnsi="Arial" w:eastAsia="Arial" w:cs="Arial"/>
          <w:b w:val="0"/>
          <w:i w:val="0"/>
          <w:color w:val="000000"/>
          <w:sz w:val="22"/>
        </w:rPr>
        <w:t>The reasoning is deductive. I started from prior literature on transfer learning (Yosinski et al., 2014), formulated four hypotheses, and then built the experiments to confirm or reject them. I did not enter the data hoping a pattern would emerge; I entered it expecting specific patterns and willing to be wrong about them. The H1 result, where two of three pretrained models lost to my custom baseline, is exactly the kind of partial rejection a deductive design is supposed to surface.</w:t>
      </w:r>
    </w:p>
    <w:p w14:paraId="1425CBC5">
      <w:pPr>
        <w:spacing w:before="0" w:after="120" w:line="360" w:lineRule="auto"/>
        <w:jc w:val="both"/>
      </w:pPr>
      <w:r>
        <w:rPr>
          <w:rFonts w:ascii="Arial" w:hAnsi="Arial" w:eastAsia="Arial" w:cs="Arial"/>
          <w:b w:val="0"/>
          <w:i w:val="0"/>
          <w:color w:val="000000"/>
          <w:sz w:val="22"/>
        </w:rPr>
        <w:t>The approach is quantitative throughout. Every claim in Chapters 4 and 5 is anchored on a counted thing: number of crops, accuracy on a held-out test set, McNemar p-value, MAE on a counting task. I avoided qualitative judgements about image quality or animal pose except where those judgements were operationalised into the subgroup labels described later in this chapter.</w:t>
      </w:r>
    </w:p>
    <w:p w14:paraId="4683B385">
      <w:pPr>
        <w:pStyle w:val="3"/>
        <w:keepNext/>
        <w:spacing w:before="240" w:after="120" w:line="276" w:lineRule="auto"/>
        <w:jc w:val="left"/>
      </w:pPr>
      <w:bookmarkStart w:id="43" w:name="_Toc1857859903"/>
      <w:r>
        <w:rPr>
          <w:rFonts w:ascii="Arial" w:hAnsi="Arial" w:eastAsia="Arial" w:cs="Arial"/>
          <w:b/>
          <w:i w:val="0"/>
          <w:color w:val="000000"/>
          <w:sz w:val="26"/>
        </w:rPr>
        <w:t>3.2 Research design overview</w:t>
      </w:r>
      <w:bookmarkEnd w:id="43"/>
    </w:p>
    <w:p w14:paraId="34381DB8">
      <w:pPr>
        <w:spacing w:before="0" w:after="120" w:line="360" w:lineRule="auto"/>
        <w:jc w:val="both"/>
      </w:pPr>
      <w:r>
        <w:rPr>
          <w:rFonts w:ascii="Arial" w:hAnsi="Arial" w:eastAsia="Arial" w:cs="Arial"/>
          <w:b w:val="0"/>
          <w:i w:val="0"/>
          <w:color w:val="000000"/>
          <w:sz w:val="22"/>
        </w:rPr>
        <w:t>The pipeline follows the CRISP-DM lifecycle (Wirth and Hipp, 2000) adapted for a deep learning task. Six stages run in sequence and feed each other. Stage one is data acquisition: I pulled WAID from Roboflow and the cow-and-sheep slice of COCO 2017 through the FiftyOne API. Stage two is exploratory data analysis on the raw imagery and labels, before any preprocessing happens, so that decisions later are informed by what the data actually looks like. Stage three is preprocessing, which includes filtering classes, unifying label formats, splitting the data, extracting crops for the classification task, and computing two subgroup labels for later analysis. Stage four is modelling: one custom CNN trained from scratch, three transfer-learning classifiers, and one YOLOv8n detector that doubles as a counter. Stage five is evaluation, which mixes standard classification metrics with McNemar pairwise tests, subgroup breakdowns, and Grad-CAM inspection. Stage six is reporting, where the findings tie back to the four hypotheses set in Chapter 1.</w:t>
      </w:r>
    </w:p>
    <w:p w14:paraId="1F58BF1C">
      <w:pPr>
        <w:spacing w:before="0" w:after="120" w:line="360" w:lineRule="auto"/>
        <w:jc w:val="both"/>
      </w:pPr>
      <w:r>
        <w:rPr>
          <w:rFonts w:ascii="Arial" w:hAnsi="Arial" w:eastAsia="Arial" w:cs="Arial"/>
          <w:b w:val="0"/>
          <w:i w:val="0"/>
          <w:color w:val="000000"/>
          <w:sz w:val="22"/>
        </w:rPr>
        <w:t>If I had to draw the dataflow, it would be a left-to-right diagram: two parallel data sources (WAID, COCO) merging into a unified label space, then a single block for EDA, then a fork. The classification fork extracts crops and feeds four classifiers. The detection fork keeps full images and feeds YOLOv8n. The two forks rejoin at the evaluation stage where I report classification metrics, detection metrics, and counting metrics on the same held-out test images. I deliberately separated the two forks because mixing detection and classification heads in one network would have made it harder to attribute errors when the system underperforms. Together, classification on cropped instances and detection on full scenes address RQ1 at two granularities: per-instance discriminability and mixed-herd applicability.</w:t>
      </w:r>
    </w:p>
    <w:p w14:paraId="66F00EDF">
      <w:pPr>
        <w:pStyle w:val="3"/>
        <w:keepNext/>
        <w:spacing w:before="240" w:after="120" w:line="276" w:lineRule="auto"/>
        <w:jc w:val="left"/>
      </w:pPr>
      <w:bookmarkStart w:id="44" w:name="_Toc639162341"/>
      <w:r>
        <w:rPr>
          <w:rFonts w:ascii="Arial" w:hAnsi="Arial" w:eastAsia="Arial" w:cs="Arial"/>
          <w:b/>
          <w:i w:val="0"/>
          <w:color w:val="000000"/>
          <w:sz w:val="26"/>
        </w:rPr>
        <w:t>3.3 Data sources and acquisition</w:t>
      </w:r>
      <w:bookmarkEnd w:id="44"/>
    </w:p>
    <w:p w14:paraId="1F3723A0">
      <w:pPr>
        <w:pStyle w:val="4"/>
        <w:keepNext/>
        <w:spacing w:before="160" w:after="80" w:line="276" w:lineRule="auto"/>
        <w:jc w:val="left"/>
      </w:pPr>
      <w:bookmarkStart w:id="45" w:name="_Toc688262893"/>
      <w:r>
        <w:rPr>
          <w:rFonts w:ascii="Arial" w:hAnsi="Arial" w:eastAsia="Arial" w:cs="Arial"/>
          <w:b/>
          <w:i w:val="0"/>
          <w:color w:val="000000"/>
          <w:sz w:val="24"/>
        </w:rPr>
        <w:t>3.3.1 WAID dataset</w:t>
      </w:r>
      <w:bookmarkEnd w:id="45"/>
    </w:p>
    <w:p w14:paraId="2B5A3B34">
      <w:pPr>
        <w:spacing w:before="0" w:after="120" w:line="360" w:lineRule="auto"/>
        <w:jc w:val="both"/>
      </w:pPr>
      <w:r>
        <w:rPr>
          <w:rFonts w:ascii="Arial" w:hAnsi="Arial" w:eastAsia="Arial" w:cs="Arial"/>
          <w:b w:val="0"/>
          <w:i w:val="0"/>
          <w:color w:val="000000"/>
          <w:sz w:val="22"/>
        </w:rPr>
        <w:t>The Wildlife Aerial Images from Drone (WAID) dataset is hosted on Roboflow under a permissive licence that allows academic redistribution. The version I downloaded contains 14 366 drone images covering six species classes: sheep, cattle, seal, camelus, kiang, and zebra. All images are square at 640 by 640 pixels, which simplifies downstream resizing decisions. Annotations come in YOLO format, with one text file per image and one row per bounding box. The raw dataset contains 233 719 bounding-box instances, dominated by sheep at 130 810 and cattle at 63 090. The remaining four species sit between 4 609 and 23 362 instances and are not relevant to my binary task, but I document them because the integrity check ran on the full set before filtering.</w:t>
      </w:r>
    </w:p>
    <w:p w14:paraId="4E008988">
      <w:pPr>
        <w:pStyle w:val="4"/>
        <w:keepNext/>
        <w:spacing w:before="160" w:after="80" w:line="276" w:lineRule="auto"/>
        <w:jc w:val="left"/>
      </w:pPr>
      <w:bookmarkStart w:id="46" w:name="_Toc1287519909"/>
      <w:r>
        <w:rPr>
          <w:rFonts w:ascii="Arial" w:hAnsi="Arial" w:eastAsia="Arial" w:cs="Arial"/>
          <w:b/>
          <w:i w:val="0"/>
          <w:color w:val="000000"/>
          <w:sz w:val="24"/>
        </w:rPr>
        <w:t>3.3.2 COCO 2017 cow and sheep subset</w:t>
      </w:r>
      <w:bookmarkEnd w:id="46"/>
    </w:p>
    <w:p w14:paraId="5AF77F69">
      <w:pPr>
        <w:spacing w:before="0" w:after="120" w:line="360" w:lineRule="auto"/>
        <w:jc w:val="both"/>
      </w:pPr>
      <w:r>
        <w:rPr>
          <w:rFonts w:ascii="Arial" w:hAnsi="Arial" w:eastAsia="Arial" w:cs="Arial"/>
          <w:b w:val="0"/>
          <w:i w:val="0"/>
          <w:color w:val="000000"/>
          <w:sz w:val="22"/>
        </w:rPr>
        <w:t>To balance the aerial-only nature of WAID, I extracted the cow and sheep classes from COCO 2017 (Lin et al., 2014) using FiftyOne. The result is 3 393 ground-level images, with 17 656 bounding boxes split into 9 509 sheep and 8 147 cattle. Image dimensions are heterogeneous, with mean 612.86 by 458.85 and standard deviations of 65.78 and 80.35 respectively. I converted the COCO JSON annotations into the same YOLO text format used by WAID so that a single loader could handle both sources downstream.</w:t>
      </w:r>
    </w:p>
    <w:p w14:paraId="770061C9">
      <w:pPr>
        <w:pStyle w:val="4"/>
        <w:keepNext/>
        <w:spacing w:before="160" w:after="80" w:line="276" w:lineRule="auto"/>
        <w:jc w:val="left"/>
      </w:pPr>
      <w:bookmarkStart w:id="47" w:name="_Toc1301883391"/>
      <w:r>
        <w:rPr>
          <w:rFonts w:ascii="Arial" w:hAnsi="Arial" w:eastAsia="Arial" w:cs="Arial"/>
          <w:b/>
          <w:i w:val="0"/>
          <w:color w:val="000000"/>
          <w:sz w:val="24"/>
        </w:rPr>
        <w:t>3.3.3 Rationale for combining drone and ground-level data</w:t>
      </w:r>
      <w:bookmarkEnd w:id="47"/>
    </w:p>
    <w:p w14:paraId="51656142">
      <w:pPr>
        <w:spacing w:before="0" w:after="120" w:line="360" w:lineRule="auto"/>
        <w:jc w:val="both"/>
      </w:pPr>
      <w:r>
        <w:rPr>
          <w:rFonts w:ascii="Arial" w:hAnsi="Arial" w:eastAsia="Arial" w:cs="Arial"/>
          <w:b w:val="0"/>
          <w:i w:val="0"/>
          <w:color w:val="000000"/>
          <w:sz w:val="22"/>
        </w:rPr>
        <w:t>I combined the two sources for one practical reason. A model trained only on WAID would be excellent at top-down views but blind to oblique angles a real farm camera captures. A model trained only on COCO would handle ground photographs of grazing cattle but would collapse the moment a UAV climbed past ten metres. Multi-modal capture is closer to how livestock monitoring actually happens in 2026, where some farms still use fixed CCTV poles and others fly drones for pasture inspection. The combined corpus also tests the broader claim of this work: that the difference between cattle and sheep is learnable across viewing angles, rather than from a single perspective.</w:t>
      </w:r>
    </w:p>
    <w:p w14:paraId="2FDFD378">
      <w:pPr>
        <w:pStyle w:val="3"/>
        <w:keepNext/>
        <w:spacing w:before="240" w:after="120" w:line="276" w:lineRule="auto"/>
        <w:jc w:val="left"/>
      </w:pPr>
      <w:bookmarkStart w:id="48" w:name="_Toc43273254"/>
      <w:r>
        <w:rPr>
          <w:rFonts w:ascii="Arial" w:hAnsi="Arial" w:eastAsia="Arial" w:cs="Arial"/>
          <w:b/>
          <w:i w:val="0"/>
          <w:color w:val="000000"/>
          <w:sz w:val="26"/>
        </w:rPr>
        <w:t>3.4 Exploratory Data Analysis</w:t>
      </w:r>
      <w:bookmarkEnd w:id="48"/>
    </w:p>
    <w:p w14:paraId="67D99AEC">
      <w:pPr>
        <w:pStyle w:val="4"/>
        <w:keepNext/>
        <w:spacing w:before="160" w:after="80" w:line="276" w:lineRule="auto"/>
        <w:jc w:val="left"/>
      </w:pPr>
      <w:bookmarkStart w:id="49" w:name="_Toc1444107292"/>
      <w:r>
        <w:rPr>
          <w:rFonts w:ascii="Arial" w:hAnsi="Arial" w:eastAsia="Arial" w:cs="Arial"/>
          <w:b/>
          <w:i w:val="0"/>
          <w:color w:val="000000"/>
          <w:sz w:val="24"/>
        </w:rPr>
        <w:t>3.4.1 Class distribution and integrity check</w:t>
      </w:r>
      <w:bookmarkEnd w:id="49"/>
    </w:p>
    <w:p w14:paraId="3AEBB85C">
      <w:pPr>
        <w:spacing w:before="0" w:after="120" w:line="360" w:lineRule="auto"/>
        <w:jc w:val="both"/>
      </w:pPr>
      <w:r>
        <w:rPr>
          <w:rFonts w:ascii="Arial" w:hAnsi="Arial" w:eastAsia="Arial" w:cs="Arial"/>
          <w:b w:val="0"/>
          <w:i w:val="0"/>
          <w:color w:val="000000"/>
          <w:sz w:val="22"/>
        </w:rPr>
        <w:t>Of the 17 759 images across both sources, none failed integrity checks. The corruption count was zero, meaning every JPEG decoded cleanly and no annotation file pointed to a missing image. The class distribution before filtering is heavily skewed by WAID's wildlife classes, with sheep dominant and cattle in second place. After class filtering, described in Section 3.5.1, the distribution stabilised at roughly 53 percent cattle and 47 percent sheep on the image level.</w:t>
      </w:r>
    </w:p>
    <w:p w14:paraId="49B3B1F4">
      <w:pPr>
        <w:keepNext/>
        <w:spacing w:before="120" w:after="40" w:line="240" w:lineRule="auto"/>
        <w:jc w:val="center"/>
      </w:pPr>
      <w:r>
        <w:drawing>
          <wp:inline distT="0" distB="0" distL="114300" distR="114300">
            <wp:extent cx="5399405" cy="189928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400000" cy="1899712"/>
                    </a:xfrm>
                    <a:prstGeom prst="rect">
                      <a:avLst/>
                    </a:prstGeom>
                  </pic:spPr>
                </pic:pic>
              </a:graphicData>
            </a:graphic>
          </wp:inline>
        </w:drawing>
      </w:r>
    </w:p>
    <w:p w14:paraId="21F1DC6F">
      <w:pPr>
        <w:spacing w:before="40" w:after="200" w:line="240" w:lineRule="auto"/>
        <w:jc w:val="center"/>
      </w:pPr>
      <w:r>
        <w:rPr>
          <w:b w:val="0"/>
          <w:i w:val="0"/>
          <w:sz w:val="18"/>
        </w:rPr>
        <w:t>Figure 1: Class distribution and bounding-box counts across WAID and COCO before filtering. Source: author.</w:t>
      </w:r>
    </w:p>
    <w:p w14:paraId="7B5C2406">
      <w:pPr>
        <w:pStyle w:val="4"/>
        <w:keepNext/>
        <w:spacing w:before="160" w:after="80" w:line="276" w:lineRule="auto"/>
        <w:jc w:val="left"/>
      </w:pPr>
      <w:bookmarkStart w:id="50" w:name="_Toc251078250"/>
      <w:r>
        <w:rPr>
          <w:rFonts w:ascii="Arial" w:hAnsi="Arial" w:eastAsia="Arial" w:cs="Arial"/>
          <w:b/>
          <w:i w:val="0"/>
          <w:color w:val="000000"/>
          <w:sz w:val="24"/>
        </w:rPr>
        <w:t>3.4.2 Image-size distributions</w:t>
      </w:r>
      <w:bookmarkEnd w:id="50"/>
    </w:p>
    <w:p w14:paraId="6B0628FC">
      <w:pPr>
        <w:spacing w:before="0" w:after="120" w:line="360" w:lineRule="auto"/>
        <w:jc w:val="both"/>
      </w:pPr>
      <w:r>
        <w:rPr>
          <w:rFonts w:ascii="Arial" w:hAnsi="Arial" w:eastAsia="Arial" w:cs="Arial"/>
          <w:b w:val="0"/>
          <w:i w:val="0"/>
          <w:color w:val="000000"/>
          <w:sz w:val="22"/>
        </w:rPr>
        <w:t>WAID's constant 640 by 640 frames are uniform enough that I treated their geometry as a fixed prior. COCO's heterogeneous sizes meant any model consuming COCO had to resize, and the resize choice mattered because mean dimensions were close to 600 by 460. I report the COCO size statistics in the EDA so that the reader can see why I picked 128 pixels for the custom CNN, 224 pixels for the transfer-learning models, and 640 pixels for YOLOv8.</w:t>
      </w:r>
    </w:p>
    <w:p w14:paraId="52FF9F50">
      <w:pPr>
        <w:pStyle w:val="4"/>
        <w:keepNext/>
        <w:spacing w:before="160" w:after="80" w:line="276" w:lineRule="auto"/>
        <w:jc w:val="left"/>
      </w:pPr>
      <w:bookmarkStart w:id="51" w:name="_Toc66781395"/>
      <w:r>
        <w:rPr>
          <w:rFonts w:ascii="Arial" w:hAnsi="Arial" w:eastAsia="Arial" w:cs="Arial"/>
          <w:b/>
          <w:i w:val="0"/>
          <w:color w:val="000000"/>
          <w:sz w:val="24"/>
        </w:rPr>
        <w:t>3.4.3 Pixel-intensity statistics and Shapiro-Wilk normality</w:t>
      </w:r>
      <w:bookmarkEnd w:id="51"/>
    </w:p>
    <w:p w14:paraId="3EA82C0B">
      <w:pPr>
        <w:spacing w:before="0" w:after="120" w:line="360" w:lineRule="auto"/>
        <w:jc w:val="both"/>
      </w:pPr>
      <w:r>
        <w:rPr>
          <w:rFonts w:ascii="Arial" w:hAnsi="Arial" w:eastAsia="Arial" w:cs="Arial"/>
          <w:b w:val="0"/>
          <w:i w:val="0"/>
          <w:color w:val="000000"/>
          <w:sz w:val="22"/>
        </w:rPr>
        <w:t>I sampled 400 images from each source and computed mean grey-level intensity, standard deviation, skewness, and kurtosis. WAID returned mean 124.99 and standard deviation 35.62 with skew of -0.30 and kurtosis 2.04. COCO returned a darker and more variable mean of 113.57 with standard deviation 59.64, slight positive skew of 0.28, and platykurtic kurtosis of -0.44. I ran a Shapiro-Wilk test on the per-image mean intensities. WAID returned W=0.9932 with p=0.0685 and COCO returned W=0.9932 with p=0.0675. Neither rejects the null of normality at the conventional 0.05 threshold, which is convenient because it allows downstream parametric assumptions where they apply.</w:t>
      </w:r>
    </w:p>
    <w:p w14:paraId="221609DE">
      <w:pPr>
        <w:pStyle w:val="4"/>
        <w:keepNext/>
        <w:spacing w:before="160" w:after="80" w:line="276" w:lineRule="auto"/>
        <w:jc w:val="left"/>
      </w:pPr>
      <w:bookmarkStart w:id="52" w:name="_Toc1408442031"/>
      <w:r>
        <w:rPr>
          <w:rFonts w:ascii="Arial" w:hAnsi="Arial" w:eastAsia="Arial" w:cs="Arial"/>
          <w:b/>
          <w:i w:val="0"/>
          <w:color w:val="000000"/>
          <w:sz w:val="24"/>
        </w:rPr>
        <w:t>3.4.4 Outlier detection by IQR</w:t>
      </w:r>
      <w:bookmarkEnd w:id="52"/>
    </w:p>
    <w:p w14:paraId="1A7E3EC3">
      <w:pPr>
        <w:spacing w:before="0" w:after="120" w:line="360" w:lineRule="auto"/>
        <w:jc w:val="both"/>
      </w:pPr>
      <w:r>
        <w:rPr>
          <w:rFonts w:ascii="Arial" w:hAnsi="Arial" w:eastAsia="Arial" w:cs="Arial"/>
          <w:b w:val="0"/>
          <w:i w:val="0"/>
          <w:color w:val="000000"/>
          <w:sz w:val="22"/>
        </w:rPr>
        <w:t>Using the standard 1.5 IQR rule, I flagged three brightness outliers and five standard-deviation outliers in WAID, four brightness outliers and one standard-deviation outlier in COCO. These counts are single-digit out of 400, which I read as an indication that the datasets are clean rather than a signal to delete anything. I retained the flagged images. Aggressive outlier removal in image data tends to remove exactly the hard cases that a good model needs to see (Goodfellow et al., 2016, p. 245).</w:t>
      </w:r>
    </w:p>
    <w:p w14:paraId="1D2FE801">
      <w:pPr>
        <w:pStyle w:val="4"/>
        <w:keepNext/>
        <w:spacing w:before="160" w:after="80" w:line="276" w:lineRule="auto"/>
        <w:jc w:val="left"/>
      </w:pPr>
      <w:bookmarkStart w:id="53" w:name="_Toc2120457783"/>
      <w:r>
        <w:rPr>
          <w:rFonts w:ascii="Arial" w:hAnsi="Arial" w:eastAsia="Arial" w:cs="Arial"/>
          <w:b/>
          <w:i w:val="0"/>
          <w:color w:val="000000"/>
          <w:sz w:val="24"/>
        </w:rPr>
        <w:t>3.4.5 Bounding-box geometry</w:t>
      </w:r>
      <w:bookmarkEnd w:id="53"/>
    </w:p>
    <w:p w14:paraId="27F0D348">
      <w:pPr>
        <w:spacing w:before="0" w:after="120" w:line="360" w:lineRule="auto"/>
        <w:jc w:val="both"/>
      </w:pPr>
      <w:r>
        <w:rPr>
          <w:rFonts w:ascii="Arial" w:hAnsi="Arial" w:eastAsia="Arial" w:cs="Arial"/>
          <w:b w:val="0"/>
          <w:i w:val="0"/>
          <w:color w:val="000000"/>
          <w:sz w:val="22"/>
        </w:rPr>
        <w:t>Bounding-box geometry produced the most consequential EDA finding. WAID boxes have a mean normalised area of 0.0043, fourteen times smaller than COCO's 0.0594. WAID aspect ratios skew to 0.858, suggesting slightly elongated boxes consistent with side-on aerial views, while COCO sits at 0.998, very close to square. WAID averages 16.27 boxes per image; COCO averages 5.20. This single observation justified the three different image sizes I used downstream. Tiny aerial cattle need 640-pixel inputs to retain enough pixels per animal for YOLO. Crop classification at 128 or 224 pixels per crop is fine because the crop already isolates the animal.</w:t>
      </w:r>
    </w:p>
    <w:p w14:paraId="13788DCA">
      <w:pPr>
        <w:pStyle w:val="4"/>
        <w:keepNext/>
        <w:spacing w:before="160" w:after="80" w:line="276" w:lineRule="auto"/>
        <w:jc w:val="left"/>
      </w:pPr>
      <w:bookmarkStart w:id="54" w:name="_Toc1042836916"/>
      <w:r>
        <w:rPr>
          <w:rFonts w:ascii="Arial" w:hAnsi="Arial" w:eastAsia="Arial" w:cs="Arial"/>
          <w:b/>
          <w:i w:val="0"/>
          <w:color w:val="000000"/>
          <w:sz w:val="24"/>
        </w:rPr>
        <w:t>3.4.6 Visual sample inspection</w:t>
      </w:r>
      <w:bookmarkEnd w:id="54"/>
    </w:p>
    <w:p w14:paraId="55686E52">
      <w:pPr>
        <w:spacing w:before="0" w:after="120" w:line="360" w:lineRule="auto"/>
        <w:jc w:val="both"/>
      </w:pPr>
      <w:r>
        <w:rPr>
          <w:rFonts w:ascii="Arial" w:hAnsi="Arial" w:eastAsia="Arial" w:cs="Arial"/>
          <w:b w:val="0"/>
          <w:i w:val="0"/>
          <w:color w:val="000000"/>
          <w:sz w:val="22"/>
        </w:rPr>
        <w:t>I generated eight grids of eight images each, two grids per class per source, to confirm visually that the labels were sensible. Sheep grids in WAID showed flocks at varying altitudes, and cattle grids showed both isolated animals and tight herds. COCO samples confirmed the ground-level perspective and showed the kind of partial occlusion that becomes important in the subgroup analysis later.</w:t>
      </w:r>
    </w:p>
    <w:p w14:paraId="3BA00260">
      <w:pPr>
        <w:keepNext/>
        <w:spacing w:before="120" w:after="40" w:line="240" w:lineRule="auto"/>
        <w:jc w:val="center"/>
      </w:pPr>
      <w:r>
        <w:drawing>
          <wp:inline distT="0" distB="0" distL="114300" distR="114300">
            <wp:extent cx="5399405" cy="2767330"/>
            <wp:effectExtent l="0" t="0" r="1079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00000" cy="2767675"/>
                    </a:xfrm>
                    <a:prstGeom prst="rect">
                      <a:avLst/>
                    </a:prstGeom>
                  </pic:spPr>
                </pic:pic>
              </a:graphicData>
            </a:graphic>
          </wp:inline>
        </w:drawing>
      </w:r>
    </w:p>
    <w:p w14:paraId="70A52F8C">
      <w:pPr>
        <w:spacing w:before="40" w:after="200" w:line="240" w:lineRule="auto"/>
        <w:jc w:val="center"/>
      </w:pPr>
      <w:r>
        <w:rPr>
          <w:b w:val="0"/>
          <w:i w:val="0"/>
          <w:sz w:val="18"/>
        </w:rPr>
        <w:t>Figure 2: Sample grid of cattle images from WAID. Source: author.</w:t>
      </w:r>
    </w:p>
    <w:p w14:paraId="387D87FE">
      <w:pPr>
        <w:pStyle w:val="3"/>
        <w:keepNext/>
        <w:spacing w:before="240" w:after="120" w:line="276" w:lineRule="auto"/>
        <w:jc w:val="left"/>
      </w:pPr>
      <w:bookmarkStart w:id="55" w:name="_Toc1346004045"/>
      <w:r>
        <w:rPr>
          <w:rFonts w:ascii="Arial" w:hAnsi="Arial" w:eastAsia="Arial" w:cs="Arial"/>
          <w:b/>
          <w:i w:val="0"/>
          <w:color w:val="000000"/>
          <w:sz w:val="26"/>
        </w:rPr>
        <w:t>3.5 Data preprocessing</w:t>
      </w:r>
      <w:bookmarkEnd w:id="55"/>
    </w:p>
    <w:p w14:paraId="3ABCCEC0">
      <w:pPr>
        <w:pStyle w:val="4"/>
        <w:keepNext/>
        <w:spacing w:before="160" w:after="80" w:line="276" w:lineRule="auto"/>
        <w:jc w:val="left"/>
      </w:pPr>
      <w:bookmarkStart w:id="56" w:name="_Toc697246817"/>
      <w:r>
        <w:rPr>
          <w:rFonts w:ascii="Arial" w:hAnsi="Arial" w:eastAsia="Arial" w:cs="Arial"/>
          <w:b/>
          <w:i w:val="0"/>
          <w:color w:val="000000"/>
          <w:sz w:val="24"/>
        </w:rPr>
        <w:t>3.5.1 Class filtering</w:t>
      </w:r>
      <w:bookmarkEnd w:id="56"/>
    </w:p>
    <w:p w14:paraId="3B76D545">
      <w:pPr>
        <w:spacing w:before="0" w:after="120" w:line="360" w:lineRule="auto"/>
        <w:jc w:val="both"/>
      </w:pPr>
      <w:r>
        <w:rPr>
          <w:rFonts w:ascii="Arial" w:hAnsi="Arial" w:eastAsia="Arial" w:cs="Arial"/>
          <w:b w:val="0"/>
          <w:i w:val="0"/>
          <w:color w:val="000000"/>
          <w:sz w:val="22"/>
        </w:rPr>
        <w:t>I dropped the four wildlife classes (seal, camelus, kiang, zebra) from WAID because the task is binary cattle-versus-sheep. After filtering, the corpus contained 12 232 images: 8 839 from WAID and 3 393 from COCO. The primary-class distribution at the image level was 6 548 cattle-dominant images and 5 684 sheep-dominant images, where primary class is defined as the class with the most bounding-box instances in that image.</w:t>
      </w:r>
    </w:p>
    <w:p w14:paraId="2F8BD308">
      <w:pPr>
        <w:pStyle w:val="4"/>
        <w:keepNext/>
        <w:spacing w:before="160" w:after="80" w:line="276" w:lineRule="auto"/>
        <w:jc w:val="left"/>
      </w:pPr>
      <w:bookmarkStart w:id="57" w:name="_Toc1956475287"/>
      <w:r>
        <w:rPr>
          <w:rFonts w:ascii="Arial" w:hAnsi="Arial" w:eastAsia="Arial" w:cs="Arial"/>
          <w:b/>
          <w:i w:val="0"/>
          <w:color w:val="000000"/>
          <w:sz w:val="24"/>
        </w:rPr>
        <w:t>3.5.2 Format unification</w:t>
      </w:r>
      <w:bookmarkEnd w:id="57"/>
    </w:p>
    <w:p w14:paraId="6C0E8BC8">
      <w:pPr>
        <w:spacing w:before="0" w:after="120" w:line="360" w:lineRule="auto"/>
        <w:jc w:val="both"/>
      </w:pPr>
      <w:r>
        <w:rPr>
          <w:rFonts w:ascii="Arial" w:hAnsi="Arial" w:eastAsia="Arial" w:cs="Arial"/>
          <w:b w:val="0"/>
          <w:i w:val="0"/>
          <w:color w:val="000000"/>
          <w:sz w:val="22"/>
        </w:rPr>
        <w:t>Both sources now share a single YOLO label format with cattle mapped to class index 0 and sheep mapped to class index 1. Each image has a sibling text file with one row per box, formatted as class, x-centre, y-centre, width, height, all normalised to image dimensions. This unified format means a single PyTorch dataset class can serve all five models without per-source branching.</w:t>
      </w:r>
    </w:p>
    <w:p w14:paraId="5D5E2DEB">
      <w:pPr>
        <w:pStyle w:val="4"/>
        <w:keepNext/>
        <w:spacing w:before="160" w:after="80" w:line="276" w:lineRule="auto"/>
        <w:jc w:val="left"/>
      </w:pPr>
      <w:bookmarkStart w:id="58" w:name="_Toc210545745"/>
      <w:r>
        <w:rPr>
          <w:rFonts w:ascii="Arial" w:hAnsi="Arial" w:eastAsia="Arial" w:cs="Arial"/>
          <w:b/>
          <w:i w:val="0"/>
          <w:color w:val="000000"/>
          <w:sz w:val="24"/>
        </w:rPr>
        <w:t>3.5.3 Stratified train, validation, and test split</w:t>
      </w:r>
      <w:bookmarkEnd w:id="58"/>
    </w:p>
    <w:p w14:paraId="131891C9">
      <w:pPr>
        <w:spacing w:before="0" w:after="120" w:line="360" w:lineRule="auto"/>
        <w:jc w:val="both"/>
      </w:pPr>
      <w:r>
        <w:rPr>
          <w:rFonts w:ascii="Arial" w:hAnsi="Arial" w:eastAsia="Arial" w:cs="Arial"/>
          <w:b w:val="0"/>
          <w:i w:val="0"/>
          <w:color w:val="000000"/>
          <w:sz w:val="22"/>
        </w:rPr>
        <w:t>I split images 70 / 15 / 15 with stratification on primary class. Training received 8 562 images (4 583 cattle-dominant, 3 979 sheep-dominant), validation received 1 835 (982 / 853), and the test set received another 1 835 (983 / 852). Stratification keeps the cattle-versus-sheep ratio constant across splits, which matters because the small imbalance (53.5 percent cattle) would drift unpredictably under random splitting on 12 thousand images.</w:t>
      </w:r>
    </w:p>
    <w:p w14:paraId="7A0802A3">
      <w:pPr>
        <w:pStyle w:val="4"/>
        <w:keepNext/>
        <w:spacing w:before="160" w:after="80" w:line="276" w:lineRule="auto"/>
        <w:jc w:val="left"/>
      </w:pPr>
      <w:bookmarkStart w:id="59" w:name="_Toc1736769606"/>
      <w:r>
        <w:rPr>
          <w:rFonts w:ascii="Arial" w:hAnsi="Arial" w:eastAsia="Arial" w:cs="Arial"/>
          <w:b/>
          <w:i w:val="0"/>
          <w:color w:val="000000"/>
          <w:sz w:val="24"/>
        </w:rPr>
        <w:t>3.5.4 Crop extraction for classification</w:t>
      </w:r>
      <w:bookmarkEnd w:id="59"/>
    </w:p>
    <w:p w14:paraId="0FB51E31">
      <w:pPr>
        <w:spacing w:before="0" w:after="120" w:line="360" w:lineRule="auto"/>
        <w:jc w:val="both"/>
      </w:pPr>
      <w:r>
        <w:rPr>
          <w:rFonts w:ascii="Arial" w:hAnsi="Arial" w:eastAsia="Arial" w:cs="Arial"/>
          <w:b w:val="0"/>
          <w:i w:val="0"/>
          <w:color w:val="000000"/>
          <w:sz w:val="22"/>
        </w:rPr>
        <w:t>The classification models work on cropped animals rather than full scenes. For each image, I extracted up to five crops based on bounding boxes whose normalised area exceeded 0.001. The cap of five was a deliberate choice: WAID images sometimes contain twenty or more sheep, and letting every image dump twenty crops would have biased the training distribution toward sparse herds. The minimum-area filter dropped boxes that resolve to fewer than a few dozen pixels and would be uninformative even after upscaling. The pipeline produced 51 320 crops in total: 35 806 train (18 755 cattle, 17 051 sheep), 7 770 validation (4 107 / 3 663), and 7 744 test (4 124 / 3 620). Class balance settled at 52.4 percent cattle to 47.6 percent sheep, close enough to even that I treated the task as balanced for loss-function purposes. Across the corpus, 5 306 boxes were skipped for failing the area threshold and 13 more for failing a 10-pixel minimum dimension check.</w:t>
      </w:r>
    </w:p>
    <w:p w14:paraId="05BBAED9">
      <w:pPr>
        <w:pStyle w:val="4"/>
        <w:keepNext/>
        <w:spacing w:before="160" w:after="80" w:line="276" w:lineRule="auto"/>
        <w:jc w:val="left"/>
      </w:pPr>
      <w:bookmarkStart w:id="60" w:name="_Toc1289038018"/>
      <w:r>
        <w:rPr>
          <w:rFonts w:ascii="Arial" w:hAnsi="Arial" w:eastAsia="Arial" w:cs="Arial"/>
          <w:b/>
          <w:i w:val="0"/>
          <w:color w:val="000000"/>
          <w:sz w:val="24"/>
        </w:rPr>
        <w:t>3.5.5 Auto-generated subgroup labels</w:t>
      </w:r>
      <w:bookmarkEnd w:id="60"/>
    </w:p>
    <w:p w14:paraId="75949C51">
      <w:pPr>
        <w:spacing w:before="0" w:after="120" w:line="360" w:lineRule="auto"/>
        <w:jc w:val="both"/>
      </w:pPr>
      <w:r>
        <w:rPr>
          <w:rFonts w:ascii="Arial" w:hAnsi="Arial" w:eastAsia="Arial" w:cs="Arial"/>
          <w:b w:val="0"/>
          <w:i w:val="0"/>
          <w:color w:val="000000"/>
          <w:sz w:val="22"/>
        </w:rPr>
        <w:t>To support the subgroup analysis in Chapter 4, I assigned each image two labels at preprocessing time. The lighting label uses the V channel of the HSV colour space: the mean V value over the image places it into bright, overcast, or dim, with thresholds chosen so that the bulk of the corpus falls into overcast. At the image level, this produced 9 652 overcast, 1 395 dim, and 1 185 bright. The occlusion label is computed from pairwise IoU of bounding boxes within an image: low when no boxes overlap, medium for moderate overlap, high when many boxes share area. At the image level this yielded 6 259 low, 3 074 medium, and 2 899 high. These labels are heuristic, not human-validated, and I flag this as a limitation in Section 5.8. They are sufficient to expose performance variation across conditions even if the absolute thresholds are debatable.</w:t>
      </w:r>
    </w:p>
    <w:p w14:paraId="2D1DDD5F">
      <w:pPr>
        <w:pStyle w:val="4"/>
        <w:keepNext/>
        <w:spacing w:before="160" w:after="80" w:line="276" w:lineRule="auto"/>
        <w:jc w:val="left"/>
      </w:pPr>
      <w:bookmarkStart w:id="61" w:name="_Toc1046937590"/>
      <w:r>
        <w:rPr>
          <w:rFonts w:ascii="Arial" w:hAnsi="Arial" w:eastAsia="Arial" w:cs="Arial"/>
          <w:b/>
          <w:i w:val="0"/>
          <w:color w:val="000000"/>
          <w:sz w:val="24"/>
        </w:rPr>
        <w:t>3.5.6 Encoding decisions</w:t>
      </w:r>
      <w:bookmarkEnd w:id="61"/>
    </w:p>
    <w:p w14:paraId="06C68519">
      <w:pPr>
        <w:spacing w:before="0" w:after="120" w:line="360" w:lineRule="auto"/>
        <w:jc w:val="both"/>
      </w:pPr>
      <w:r>
        <w:rPr>
          <w:rFonts w:ascii="Arial" w:hAnsi="Arial" w:eastAsia="Arial" w:cs="Arial"/>
          <w:b w:val="0"/>
          <w:i w:val="0"/>
          <w:color w:val="000000"/>
          <w:sz w:val="22"/>
        </w:rPr>
        <w:t>For binary classification in PyTorch, the natural choice is integer class indices and CrossEntropyLoss. I did not one-hot encode anything. Pixel-level encoding is not relevant here because the inputs are raw images, not tabular features. There is no categorical-to-numeric mapping to debate. The only encoding choice is whether to feed CrossEntropyLoss with logits and let it apply log-softmax internally, which is what I did.</w:t>
      </w:r>
    </w:p>
    <w:p w14:paraId="58ADDDE7">
      <w:pPr>
        <w:pStyle w:val="4"/>
        <w:keepNext/>
        <w:spacing w:before="160" w:after="80" w:line="276" w:lineRule="auto"/>
        <w:jc w:val="left"/>
      </w:pPr>
      <w:bookmarkStart w:id="62" w:name="_Toc1546555259"/>
      <w:r>
        <w:rPr>
          <w:rFonts w:ascii="Arial" w:hAnsi="Arial" w:eastAsia="Arial" w:cs="Arial"/>
          <w:b/>
          <w:i w:val="0"/>
          <w:color w:val="000000"/>
          <w:sz w:val="24"/>
        </w:rPr>
        <w:t>3.5.7 Scaling decisions</w:t>
      </w:r>
      <w:bookmarkEnd w:id="62"/>
    </w:p>
    <w:p w14:paraId="57D5D590">
      <w:pPr>
        <w:spacing w:before="0" w:after="120" w:line="360" w:lineRule="auto"/>
        <w:jc w:val="both"/>
      </w:pPr>
      <w:r>
        <w:rPr>
          <w:rFonts w:ascii="Arial" w:hAnsi="Arial" w:eastAsia="Arial" w:cs="Arial"/>
          <w:b w:val="0"/>
          <w:i w:val="0"/>
          <w:color w:val="000000"/>
          <w:sz w:val="22"/>
        </w:rPr>
        <w:t>For the three transfer-learning models I used the ImageNet mean and standard deviation triplets ([0.485, 0.456, 0.406] and [0.229, 0.224, 0.225]) because the pretrained backbones expect inputs normalised that way (He et al., 2016). For the custom CNN I computed mean and standard deviation on the training crops themselves and normalised to those values. Using ImageNet stats on a network that has never seen ImageNet would be a small but pointless mismatch; using dataset-specific stats removes a source of distribution drift between training and inference.</w:t>
      </w:r>
    </w:p>
    <w:p w14:paraId="31AAE8BB">
      <w:pPr>
        <w:pStyle w:val="4"/>
        <w:keepNext/>
        <w:spacing w:before="160" w:after="80" w:line="276" w:lineRule="auto"/>
        <w:jc w:val="left"/>
      </w:pPr>
      <w:bookmarkStart w:id="63" w:name="_Toc1959658372"/>
      <w:r>
        <w:rPr>
          <w:rFonts w:ascii="Arial" w:hAnsi="Arial" w:eastAsia="Arial" w:cs="Arial"/>
          <w:b/>
          <w:i w:val="0"/>
          <w:color w:val="000000"/>
          <w:sz w:val="24"/>
        </w:rPr>
        <w:t>3.5.8 Data augmentation strategy</w:t>
      </w:r>
      <w:bookmarkEnd w:id="63"/>
    </w:p>
    <w:p w14:paraId="26B21E0F">
      <w:pPr>
        <w:spacing w:before="0" w:after="120" w:line="360" w:lineRule="auto"/>
        <w:jc w:val="both"/>
      </w:pPr>
      <w:r>
        <w:t>The full augmentation pipeline — RandomHorizontalFlip, RandomRotation, ColorJitter parameters and the design rationale — is reported in Appendix C, Section C.2.</w:t>
      </w:r>
    </w:p>
    <w:p w14:paraId="449EC15C">
      <w:pPr>
        <w:keepNext/>
        <w:spacing w:before="120" w:after="40" w:line="240" w:lineRule="auto"/>
        <w:jc w:val="center"/>
      </w:pPr>
      <w:r>
        <w:drawing>
          <wp:inline distT="0" distB="0" distL="114300" distR="114300">
            <wp:extent cx="5399405" cy="5443855"/>
            <wp:effectExtent l="0" t="0" r="1079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00000" cy="5444217"/>
                    </a:xfrm>
                    <a:prstGeom prst="rect">
                      <a:avLst/>
                    </a:prstGeom>
                  </pic:spPr>
                </pic:pic>
              </a:graphicData>
            </a:graphic>
          </wp:inline>
        </w:drawing>
      </w:r>
    </w:p>
    <w:p w14:paraId="59285044">
      <w:pPr>
        <w:spacing w:before="40" w:after="200" w:line="240" w:lineRule="auto"/>
        <w:jc w:val="center"/>
      </w:pPr>
      <w:r>
        <w:rPr>
          <w:b w:val="0"/>
          <w:i w:val="0"/>
          <w:sz w:val="18"/>
        </w:rPr>
        <w:t>Figure 3: Augmentation demonstration grid (3 by 3). Source: author.</w:t>
      </w:r>
    </w:p>
    <w:p w14:paraId="3100F4AE">
      <w:pPr>
        <w:pStyle w:val="3"/>
        <w:keepNext/>
        <w:spacing w:before="240" w:after="120" w:line="276" w:lineRule="auto"/>
        <w:jc w:val="left"/>
      </w:pPr>
      <w:bookmarkStart w:id="64" w:name="_Toc21564165"/>
      <w:r>
        <w:rPr>
          <w:rFonts w:ascii="Arial" w:hAnsi="Arial" w:eastAsia="Arial" w:cs="Arial"/>
          <w:b/>
          <w:i w:val="0"/>
          <w:color w:val="000000"/>
          <w:sz w:val="26"/>
        </w:rPr>
        <w:t>3.6 Model 1: Custom CNN baseline</w:t>
      </w:r>
      <w:bookmarkEnd w:id="64"/>
    </w:p>
    <w:p w14:paraId="3E910024">
      <w:pPr>
        <w:pStyle w:val="4"/>
        <w:keepNext/>
        <w:spacing w:before="160" w:after="80" w:line="276" w:lineRule="auto"/>
        <w:jc w:val="left"/>
      </w:pPr>
      <w:bookmarkStart w:id="65" w:name="_Toc1651668459"/>
      <w:r>
        <w:rPr>
          <w:rFonts w:ascii="Arial" w:hAnsi="Arial" w:eastAsia="Arial" w:cs="Arial"/>
          <w:b/>
          <w:i w:val="0"/>
          <w:color w:val="000000"/>
          <w:sz w:val="24"/>
        </w:rPr>
        <w:t>3.6.1 Motivation</w:t>
      </w:r>
      <w:bookmarkEnd w:id="65"/>
    </w:p>
    <w:p w14:paraId="34818B02">
      <w:pPr>
        <w:spacing w:before="0" w:after="120" w:line="360" w:lineRule="auto"/>
        <w:jc w:val="both"/>
      </w:pPr>
      <w:r>
        <w:rPr>
          <w:rFonts w:ascii="Arial" w:hAnsi="Arial" w:eastAsia="Arial" w:cs="Arial"/>
          <w:b w:val="0"/>
          <w:i w:val="0"/>
          <w:color w:val="000000"/>
          <w:sz w:val="22"/>
        </w:rPr>
        <w:t>A from-scratch baseline is methodologically necessary, rather than a one-line scikit-learn classifier on flattened pixels. A transfer-learning result is only meaningful if there is a credible from-scratch number to compare against. A linear baseline on raw pixels would underperform so badly that any subsequent transfer model would look strong by default. A 200-to-300-line custom CNN with proper hyperparameter tuning is a fair benchmark that forces honesty about what the pretrained models actually contribute.</w:t>
      </w:r>
    </w:p>
    <w:p w14:paraId="3FE0207D">
      <w:pPr>
        <w:pStyle w:val="4"/>
        <w:keepNext/>
        <w:spacing w:before="160" w:after="80" w:line="276" w:lineRule="auto"/>
        <w:jc w:val="left"/>
      </w:pPr>
      <w:bookmarkStart w:id="66" w:name="_Toc1218169291"/>
      <w:r>
        <w:rPr>
          <w:rFonts w:ascii="Arial" w:hAnsi="Arial" w:eastAsia="Arial" w:cs="Arial"/>
          <w:b/>
          <w:i w:val="0"/>
          <w:color w:val="000000"/>
          <w:sz w:val="24"/>
        </w:rPr>
        <w:t>3.6.2 Architecture detail</w:t>
      </w:r>
      <w:bookmarkEnd w:id="66"/>
    </w:p>
    <w:p w14:paraId="1E03EC36">
      <w:pPr>
        <w:spacing w:before="0" w:after="120" w:line="360" w:lineRule="auto"/>
        <w:jc w:val="both"/>
      </w:pPr>
      <w:r>
        <w:rPr>
          <w:rFonts w:ascii="Arial" w:hAnsi="Arial" w:eastAsia="Arial" w:cs="Arial"/>
          <w:b w:val="0"/>
          <w:i w:val="0"/>
          <w:color w:val="000000"/>
          <w:sz w:val="22"/>
        </w:rPr>
        <w:t>The architecture has three convolutional blocks. Each block is Conv2d, BatchNorm2d (Ioffe and Szegedy, 2015), ReLU, MaxPool2d at 2 by 2. Channel counts double across blocks: 64, 128, 256. Kernel size is 3 throughout, dropout sits at 0.0184, and an adaptive pooling layer feeds a flatten of 32 768 features into a 128-unit fully connected layer and then a 2-unit logit head. The total parameter count is 8 760 706, all trainable. Input resolution is 128 by 128 pixels. I deliberately kept the architecture simple so that the full network could be trained in roughly three minutes per epoch on Apple MPS hardware.</w:t>
      </w:r>
    </w:p>
    <w:p w14:paraId="1EE784B9">
      <w:pPr>
        <w:pStyle w:val="4"/>
        <w:keepNext/>
        <w:spacing w:before="160" w:after="80" w:line="276" w:lineRule="auto"/>
        <w:jc w:val="left"/>
      </w:pPr>
      <w:bookmarkStart w:id="67" w:name="_Toc1809666986"/>
      <w:r>
        <w:rPr>
          <w:rFonts w:ascii="Arial" w:hAnsi="Arial" w:eastAsia="Arial" w:cs="Arial"/>
          <w:b/>
          <w:i w:val="0"/>
          <w:color w:val="000000"/>
          <w:sz w:val="24"/>
        </w:rPr>
        <w:t>3.6.3 Training setup</w:t>
      </w:r>
      <w:bookmarkEnd w:id="67"/>
    </w:p>
    <w:p w14:paraId="0EAF120A">
      <w:pPr>
        <w:spacing w:before="0" w:after="120" w:line="360" w:lineRule="auto"/>
        <w:jc w:val="both"/>
      </w:pPr>
      <w:r>
        <w:rPr>
          <w:rFonts w:ascii="Arial" w:hAnsi="Arial" w:eastAsia="Arial" w:cs="Arial"/>
          <w:b w:val="0"/>
          <w:i w:val="0"/>
          <w:color w:val="000000"/>
          <w:sz w:val="22"/>
        </w:rPr>
        <w:t>The loss function is CrossEntropyLoss. The optimiser is Adam (Kingma and Ba, 2015). Learning rate is 1.66e-3, batch size 32, and dropout 0.0184, all chosen by Optuna and described next. Training runs up to 25 epochs with early stopping at patience 5 on validation accuracy. In the final run, early stopping fired at epoch 21 and the best checkpoint came from epoch 15.</w:t>
      </w:r>
    </w:p>
    <w:p w14:paraId="79B20C58">
      <w:pPr>
        <w:pStyle w:val="4"/>
        <w:keepNext/>
        <w:spacing w:before="160" w:after="80" w:line="276" w:lineRule="auto"/>
        <w:jc w:val="left"/>
      </w:pPr>
      <w:bookmarkStart w:id="68" w:name="_Toc262141241"/>
      <w:r>
        <w:rPr>
          <w:rFonts w:ascii="Arial" w:hAnsi="Arial" w:eastAsia="Arial" w:cs="Arial"/>
          <w:b/>
          <w:i w:val="0"/>
          <w:color w:val="000000"/>
          <w:sz w:val="24"/>
        </w:rPr>
        <w:t>3.6.4 Hyperparameter optimisation with Optuna</w:t>
      </w:r>
      <w:bookmarkEnd w:id="68"/>
    </w:p>
    <w:p w14:paraId="09F8F5F8">
      <w:pPr>
        <w:spacing w:before="0" w:after="120" w:line="360" w:lineRule="auto"/>
        <w:jc w:val="both"/>
      </w:pPr>
      <w:r>
        <w:t>The Optuna search procedure for the custom CNN, including TPE sampler settings, subset sizes and the convergence behaviour of the top trials, is described in Appendix C, Section C.3, with the search space summarised in Table 1.</w:t>
      </w:r>
    </w:p>
    <w:p w14:paraId="4040C296">
      <w:pPr>
        <w:keepNext/>
        <w:spacing w:before="160" w:after="40" w:line="240" w:lineRule="auto"/>
        <w:jc w:val="left"/>
      </w:pPr>
      <w:r>
        <w:rPr>
          <w:b w:val="0"/>
          <w:i w:val="0"/>
          <w:sz w:val="18"/>
        </w:rPr>
        <w:t>Table 1: Hyperparameter search space, best values, and Optuna importance for the custom CNN.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256"/>
        <w:gridCol w:w="2256"/>
        <w:gridCol w:w="2256"/>
        <w:gridCol w:w="2256"/>
      </w:tblGrid>
      <w:tr w14:paraId="784215A3">
        <w:trPr>
          <w:jc w:val="center"/>
        </w:trPr>
        <w:tc>
          <w:tcPr>
            <w:tcW w:w="2256" w:type="dxa"/>
          </w:tcPr>
          <w:p w14:paraId="7E16D016">
            <w:pPr>
              <w:jc w:val="center"/>
            </w:pPr>
            <w:r>
              <w:rPr>
                <w:rFonts w:ascii="Arial" w:hAnsi="Arial" w:eastAsia="Arial" w:cs="Arial"/>
                <w:b/>
                <w:i w:val="0"/>
                <w:color w:val="000000"/>
                <w:sz w:val="20"/>
              </w:rPr>
              <w:t>Hyperparameter</w:t>
            </w:r>
          </w:p>
        </w:tc>
        <w:tc>
          <w:tcPr>
            <w:tcW w:w="2256" w:type="dxa"/>
          </w:tcPr>
          <w:p w14:paraId="4FC60C34">
            <w:pPr>
              <w:jc w:val="center"/>
            </w:pPr>
            <w:r>
              <w:rPr>
                <w:rFonts w:ascii="Arial" w:hAnsi="Arial" w:eastAsia="Arial" w:cs="Arial"/>
                <w:b/>
                <w:i w:val="0"/>
                <w:color w:val="000000"/>
                <w:sz w:val="20"/>
              </w:rPr>
              <w:t>Range</w:t>
            </w:r>
          </w:p>
        </w:tc>
        <w:tc>
          <w:tcPr>
            <w:tcW w:w="2256" w:type="dxa"/>
          </w:tcPr>
          <w:p w14:paraId="5958E874">
            <w:pPr>
              <w:jc w:val="center"/>
            </w:pPr>
            <w:r>
              <w:rPr>
                <w:rFonts w:ascii="Arial" w:hAnsi="Arial" w:eastAsia="Arial" w:cs="Arial"/>
                <w:b/>
                <w:i w:val="0"/>
                <w:color w:val="000000"/>
                <w:sz w:val="20"/>
              </w:rPr>
              <w:t>Best</w:t>
            </w:r>
          </w:p>
        </w:tc>
        <w:tc>
          <w:tcPr>
            <w:tcW w:w="2256" w:type="dxa"/>
          </w:tcPr>
          <w:p w14:paraId="732FA86C">
            <w:pPr>
              <w:jc w:val="center"/>
            </w:pPr>
            <w:r>
              <w:rPr>
                <w:rFonts w:ascii="Arial" w:hAnsi="Arial" w:eastAsia="Arial" w:cs="Arial"/>
                <w:b/>
                <w:i w:val="0"/>
                <w:color w:val="000000"/>
                <w:sz w:val="20"/>
              </w:rPr>
              <w:t>Importance</w:t>
            </w:r>
          </w:p>
        </w:tc>
      </w:tr>
      <w:tr w14:paraId="3FC2D76C">
        <w:trPr>
          <w:jc w:val="center"/>
        </w:trPr>
        <w:tc>
          <w:tcPr>
            <w:tcW w:w="2256" w:type="dxa"/>
          </w:tcPr>
          <w:p w14:paraId="5FE0D279">
            <w:pPr>
              <w:jc w:val="left"/>
            </w:pPr>
            <w:r>
              <w:rPr>
                <w:rFonts w:ascii="Arial" w:hAnsi="Arial" w:eastAsia="Arial" w:cs="Arial"/>
                <w:b w:val="0"/>
                <w:i w:val="0"/>
                <w:color w:val="000000"/>
                <w:sz w:val="20"/>
              </w:rPr>
              <w:t>n_conv_blocks</w:t>
            </w:r>
          </w:p>
        </w:tc>
        <w:tc>
          <w:tcPr>
            <w:tcW w:w="2256" w:type="dxa"/>
          </w:tcPr>
          <w:p w14:paraId="23686D4C">
            <w:pPr>
              <w:jc w:val="center"/>
            </w:pPr>
            <w:r>
              <w:rPr>
                <w:rFonts w:ascii="Arial" w:hAnsi="Arial" w:eastAsia="Arial" w:cs="Arial"/>
                <w:b w:val="0"/>
                <w:i w:val="0"/>
                <w:color w:val="000000"/>
                <w:sz w:val="20"/>
              </w:rPr>
              <w:t>2-4</w:t>
            </w:r>
          </w:p>
        </w:tc>
        <w:tc>
          <w:tcPr>
            <w:tcW w:w="2256" w:type="dxa"/>
          </w:tcPr>
          <w:p w14:paraId="6C217739">
            <w:pPr>
              <w:jc w:val="center"/>
            </w:pPr>
            <w:r>
              <w:rPr>
                <w:rFonts w:ascii="Arial" w:hAnsi="Arial" w:eastAsia="Arial" w:cs="Arial"/>
                <w:b w:val="0"/>
                <w:i w:val="0"/>
                <w:color w:val="000000"/>
                <w:sz w:val="20"/>
              </w:rPr>
              <w:t>3</w:t>
            </w:r>
          </w:p>
        </w:tc>
        <w:tc>
          <w:tcPr>
            <w:tcW w:w="2256" w:type="dxa"/>
          </w:tcPr>
          <w:p w14:paraId="106C6D68">
            <w:pPr>
              <w:jc w:val="center"/>
            </w:pPr>
            <w:r>
              <w:rPr>
                <w:rFonts w:ascii="Arial" w:hAnsi="Arial" w:eastAsia="Arial" w:cs="Arial"/>
                <w:b w:val="0"/>
                <w:i w:val="0"/>
                <w:color w:val="000000"/>
                <w:sz w:val="20"/>
              </w:rPr>
              <w:t>13.1%</w:t>
            </w:r>
          </w:p>
        </w:tc>
      </w:tr>
      <w:tr w14:paraId="6A736E30">
        <w:trPr>
          <w:jc w:val="center"/>
        </w:trPr>
        <w:tc>
          <w:tcPr>
            <w:tcW w:w="2256" w:type="dxa"/>
          </w:tcPr>
          <w:p w14:paraId="0B2F921A">
            <w:pPr>
              <w:jc w:val="left"/>
            </w:pPr>
            <w:r>
              <w:rPr>
                <w:rFonts w:ascii="Arial" w:hAnsi="Arial" w:eastAsia="Arial" w:cs="Arial"/>
                <w:b w:val="0"/>
                <w:i w:val="0"/>
                <w:color w:val="000000"/>
                <w:sz w:val="20"/>
              </w:rPr>
              <w:t>base_channels</w:t>
            </w:r>
          </w:p>
        </w:tc>
        <w:tc>
          <w:tcPr>
            <w:tcW w:w="2256" w:type="dxa"/>
          </w:tcPr>
          <w:p w14:paraId="2D416D99">
            <w:pPr>
              <w:jc w:val="center"/>
            </w:pPr>
            <w:r>
              <w:rPr>
                <w:rFonts w:ascii="Arial" w:hAnsi="Arial" w:eastAsia="Arial" w:cs="Arial"/>
                <w:b w:val="0"/>
                <w:i w:val="0"/>
                <w:color w:val="000000"/>
                <w:sz w:val="20"/>
              </w:rPr>
              <w:t>32-128</w:t>
            </w:r>
          </w:p>
        </w:tc>
        <w:tc>
          <w:tcPr>
            <w:tcW w:w="2256" w:type="dxa"/>
          </w:tcPr>
          <w:p w14:paraId="466843E4">
            <w:pPr>
              <w:jc w:val="center"/>
            </w:pPr>
            <w:r>
              <w:rPr>
                <w:rFonts w:ascii="Arial" w:hAnsi="Arial" w:eastAsia="Arial" w:cs="Arial"/>
                <w:b w:val="0"/>
                <w:i w:val="0"/>
                <w:color w:val="000000"/>
                <w:sz w:val="20"/>
              </w:rPr>
              <w:t>64</w:t>
            </w:r>
          </w:p>
        </w:tc>
        <w:tc>
          <w:tcPr>
            <w:tcW w:w="2256" w:type="dxa"/>
          </w:tcPr>
          <w:p w14:paraId="7364BB95">
            <w:pPr>
              <w:jc w:val="center"/>
            </w:pPr>
            <w:r>
              <w:rPr>
                <w:rFonts w:ascii="Arial" w:hAnsi="Arial" w:eastAsia="Arial" w:cs="Arial"/>
                <w:b w:val="0"/>
                <w:i w:val="0"/>
                <w:color w:val="000000"/>
                <w:sz w:val="20"/>
              </w:rPr>
              <w:t>2.8%</w:t>
            </w:r>
          </w:p>
        </w:tc>
      </w:tr>
      <w:tr w14:paraId="3A3E96EB">
        <w:trPr>
          <w:jc w:val="center"/>
        </w:trPr>
        <w:tc>
          <w:tcPr>
            <w:tcW w:w="2256" w:type="dxa"/>
          </w:tcPr>
          <w:p w14:paraId="54076F80">
            <w:pPr>
              <w:jc w:val="left"/>
            </w:pPr>
            <w:r>
              <w:rPr>
                <w:rFonts w:ascii="Arial" w:hAnsi="Arial" w:eastAsia="Arial" w:cs="Arial"/>
                <w:b w:val="0"/>
                <w:i w:val="0"/>
                <w:color w:val="000000"/>
                <w:sz w:val="20"/>
              </w:rPr>
              <w:t>kernel_size</w:t>
            </w:r>
          </w:p>
        </w:tc>
        <w:tc>
          <w:tcPr>
            <w:tcW w:w="2256" w:type="dxa"/>
          </w:tcPr>
          <w:p w14:paraId="50CE9127">
            <w:pPr>
              <w:jc w:val="center"/>
            </w:pPr>
            <w:r>
              <w:rPr>
                <w:rFonts w:ascii="Arial" w:hAnsi="Arial" w:eastAsia="Arial" w:cs="Arial"/>
                <w:b w:val="0"/>
                <w:i w:val="0"/>
                <w:color w:val="000000"/>
                <w:sz w:val="20"/>
              </w:rPr>
              <w:t>3-7</w:t>
            </w:r>
          </w:p>
        </w:tc>
        <w:tc>
          <w:tcPr>
            <w:tcW w:w="2256" w:type="dxa"/>
          </w:tcPr>
          <w:p w14:paraId="1A39483C">
            <w:pPr>
              <w:jc w:val="center"/>
            </w:pPr>
            <w:r>
              <w:rPr>
                <w:rFonts w:ascii="Arial" w:hAnsi="Arial" w:eastAsia="Arial" w:cs="Arial"/>
                <w:b w:val="0"/>
                <w:i w:val="0"/>
                <w:color w:val="000000"/>
                <w:sz w:val="20"/>
              </w:rPr>
              <w:t>3</w:t>
            </w:r>
          </w:p>
        </w:tc>
        <w:tc>
          <w:tcPr>
            <w:tcW w:w="2256" w:type="dxa"/>
          </w:tcPr>
          <w:p w14:paraId="75A56746">
            <w:pPr>
              <w:jc w:val="center"/>
            </w:pPr>
            <w:r>
              <w:rPr>
                <w:rFonts w:ascii="Arial" w:hAnsi="Arial" w:eastAsia="Arial" w:cs="Arial"/>
                <w:b w:val="0"/>
                <w:i w:val="0"/>
                <w:color w:val="000000"/>
                <w:sz w:val="20"/>
              </w:rPr>
              <w:t>1.9%</w:t>
            </w:r>
          </w:p>
        </w:tc>
      </w:tr>
      <w:tr w14:paraId="5B829F05">
        <w:trPr>
          <w:jc w:val="center"/>
        </w:trPr>
        <w:tc>
          <w:tcPr>
            <w:tcW w:w="2256" w:type="dxa"/>
          </w:tcPr>
          <w:p w14:paraId="58AD8464">
            <w:pPr>
              <w:jc w:val="left"/>
            </w:pPr>
            <w:r>
              <w:rPr>
                <w:rFonts w:ascii="Arial" w:hAnsi="Arial" w:eastAsia="Arial" w:cs="Arial"/>
                <w:b w:val="0"/>
                <w:i w:val="0"/>
                <w:color w:val="000000"/>
                <w:sz w:val="20"/>
              </w:rPr>
              <w:t>activation</w:t>
            </w:r>
          </w:p>
        </w:tc>
        <w:tc>
          <w:tcPr>
            <w:tcW w:w="2256" w:type="dxa"/>
          </w:tcPr>
          <w:p w14:paraId="62988186">
            <w:pPr>
              <w:jc w:val="center"/>
            </w:pPr>
            <w:r>
              <w:rPr>
                <w:rFonts w:ascii="Arial" w:hAnsi="Arial" w:eastAsia="Arial" w:cs="Arial"/>
                <w:b w:val="0"/>
                <w:i w:val="0"/>
                <w:color w:val="000000"/>
                <w:sz w:val="20"/>
              </w:rPr>
              <w:t>relu</w:t>
            </w:r>
          </w:p>
        </w:tc>
        <w:tc>
          <w:tcPr>
            <w:tcW w:w="2256" w:type="dxa"/>
          </w:tcPr>
          <w:p w14:paraId="45EADB64">
            <w:pPr>
              <w:jc w:val="center"/>
            </w:pPr>
          </w:p>
        </w:tc>
        <w:tc>
          <w:tcPr>
            <w:tcW w:w="2256" w:type="dxa"/>
          </w:tcPr>
          <w:p w14:paraId="51B6DC59">
            <w:pPr>
              <w:jc w:val="center"/>
            </w:pPr>
          </w:p>
        </w:tc>
      </w:tr>
      <w:tr w14:paraId="392E72FA">
        <w:trPr>
          <w:jc w:val="center"/>
        </w:trPr>
        <w:tc>
          <w:tcPr>
            <w:tcW w:w="2256" w:type="dxa"/>
          </w:tcPr>
          <w:p w14:paraId="07437B7F">
            <w:pPr>
              <w:jc w:val="left"/>
            </w:pPr>
            <w:r>
              <w:rPr>
                <w:rFonts w:ascii="Arial" w:hAnsi="Arial" w:eastAsia="Arial" w:cs="Arial"/>
                <w:b w:val="0"/>
                <w:i w:val="0"/>
                <w:color w:val="000000"/>
                <w:sz w:val="20"/>
              </w:rPr>
              <w:t>elu</w:t>
            </w:r>
          </w:p>
        </w:tc>
        <w:tc>
          <w:tcPr>
            <w:tcW w:w="2256" w:type="dxa"/>
          </w:tcPr>
          <w:p w14:paraId="45FD5E2B">
            <w:pPr>
              <w:jc w:val="center"/>
            </w:pPr>
          </w:p>
        </w:tc>
        <w:tc>
          <w:tcPr>
            <w:tcW w:w="2256" w:type="dxa"/>
          </w:tcPr>
          <w:p w14:paraId="6489EE30">
            <w:pPr>
              <w:jc w:val="center"/>
            </w:pPr>
          </w:p>
        </w:tc>
        <w:tc>
          <w:tcPr>
            <w:tcW w:w="2256" w:type="dxa"/>
          </w:tcPr>
          <w:p w14:paraId="0E2C27E6">
            <w:pPr>
              <w:jc w:val="center"/>
            </w:pPr>
          </w:p>
        </w:tc>
      </w:tr>
      <w:tr w14:paraId="1B6A2A4B">
        <w:trPr>
          <w:jc w:val="center"/>
        </w:trPr>
        <w:tc>
          <w:tcPr>
            <w:tcW w:w="2256" w:type="dxa"/>
          </w:tcPr>
          <w:p w14:paraId="5C6475EA">
            <w:pPr>
              <w:jc w:val="left"/>
            </w:pPr>
            <w:r>
              <w:rPr>
                <w:rFonts w:ascii="Arial" w:hAnsi="Arial" w:eastAsia="Arial" w:cs="Arial"/>
                <w:b w:val="0"/>
                <w:i w:val="0"/>
                <w:color w:val="000000"/>
                <w:sz w:val="20"/>
              </w:rPr>
              <w:t>swish</w:t>
            </w:r>
          </w:p>
        </w:tc>
        <w:tc>
          <w:tcPr>
            <w:tcW w:w="2256" w:type="dxa"/>
          </w:tcPr>
          <w:p w14:paraId="6AFAD0CE">
            <w:pPr>
              <w:jc w:val="center"/>
            </w:pPr>
            <w:r>
              <w:rPr>
                <w:rFonts w:ascii="Arial" w:hAnsi="Arial" w:eastAsia="Arial" w:cs="Arial"/>
                <w:b w:val="0"/>
                <w:i w:val="0"/>
                <w:color w:val="000000"/>
                <w:sz w:val="20"/>
              </w:rPr>
              <w:t>relu</w:t>
            </w:r>
          </w:p>
        </w:tc>
        <w:tc>
          <w:tcPr>
            <w:tcW w:w="2256" w:type="dxa"/>
          </w:tcPr>
          <w:p w14:paraId="4E552C21">
            <w:pPr>
              <w:jc w:val="center"/>
            </w:pPr>
            <w:r>
              <w:rPr>
                <w:rFonts w:ascii="Arial" w:hAnsi="Arial" w:eastAsia="Arial" w:cs="Arial"/>
                <w:b w:val="0"/>
                <w:i w:val="0"/>
                <w:color w:val="000000"/>
                <w:sz w:val="20"/>
              </w:rPr>
              <w:t>5.1%</w:t>
            </w:r>
          </w:p>
        </w:tc>
        <w:tc>
          <w:tcPr>
            <w:tcW w:w="2256" w:type="dxa"/>
          </w:tcPr>
          <w:p w14:paraId="63A5536C">
            <w:pPr>
              <w:jc w:val="center"/>
            </w:pPr>
          </w:p>
        </w:tc>
      </w:tr>
      <w:tr w14:paraId="183BB08A">
        <w:trPr>
          <w:jc w:val="center"/>
        </w:trPr>
        <w:tc>
          <w:tcPr>
            <w:tcW w:w="2256" w:type="dxa"/>
          </w:tcPr>
          <w:p w14:paraId="493C6983">
            <w:pPr>
              <w:jc w:val="left"/>
            </w:pPr>
            <w:r>
              <w:rPr>
                <w:rFonts w:ascii="Arial" w:hAnsi="Arial" w:eastAsia="Arial" w:cs="Arial"/>
                <w:b w:val="0"/>
                <w:i w:val="0"/>
                <w:color w:val="000000"/>
                <w:sz w:val="20"/>
              </w:rPr>
              <w:t>dropout</w:t>
            </w:r>
          </w:p>
        </w:tc>
        <w:tc>
          <w:tcPr>
            <w:tcW w:w="2256" w:type="dxa"/>
          </w:tcPr>
          <w:p w14:paraId="1FDE5060">
            <w:pPr>
              <w:jc w:val="center"/>
            </w:pPr>
            <w:r>
              <w:rPr>
                <w:rFonts w:ascii="Arial" w:hAnsi="Arial" w:eastAsia="Arial" w:cs="Arial"/>
                <w:b w:val="0"/>
                <w:i w:val="0"/>
                <w:color w:val="000000"/>
                <w:sz w:val="20"/>
              </w:rPr>
              <w:t>0.0-0.5</w:t>
            </w:r>
          </w:p>
        </w:tc>
        <w:tc>
          <w:tcPr>
            <w:tcW w:w="2256" w:type="dxa"/>
          </w:tcPr>
          <w:p w14:paraId="1D526038">
            <w:pPr>
              <w:jc w:val="center"/>
            </w:pPr>
            <w:r>
              <w:rPr>
                <w:rFonts w:ascii="Arial" w:hAnsi="Arial" w:eastAsia="Arial" w:cs="Arial"/>
                <w:b w:val="0"/>
                <w:i w:val="0"/>
                <w:color w:val="000000"/>
                <w:sz w:val="20"/>
              </w:rPr>
              <w:t>0.018</w:t>
            </w:r>
          </w:p>
        </w:tc>
        <w:tc>
          <w:tcPr>
            <w:tcW w:w="2256" w:type="dxa"/>
          </w:tcPr>
          <w:p w14:paraId="271CA7D1">
            <w:pPr>
              <w:jc w:val="center"/>
            </w:pPr>
            <w:r>
              <w:rPr>
                <w:rFonts w:ascii="Arial" w:hAnsi="Arial" w:eastAsia="Arial" w:cs="Arial"/>
                <w:b w:val="0"/>
                <w:i w:val="0"/>
                <w:color w:val="000000"/>
                <w:sz w:val="20"/>
              </w:rPr>
              <w:t>7.1%</w:t>
            </w:r>
          </w:p>
        </w:tc>
      </w:tr>
      <w:tr w14:paraId="2D6C0978">
        <w:trPr>
          <w:jc w:val="center"/>
        </w:trPr>
        <w:tc>
          <w:tcPr>
            <w:tcW w:w="2256" w:type="dxa"/>
          </w:tcPr>
          <w:p w14:paraId="3D19D260">
            <w:pPr>
              <w:jc w:val="left"/>
            </w:pPr>
            <w:r>
              <w:rPr>
                <w:rFonts w:ascii="Arial" w:hAnsi="Arial" w:eastAsia="Arial" w:cs="Arial"/>
                <w:b w:val="0"/>
                <w:i w:val="0"/>
                <w:color w:val="000000"/>
                <w:sz w:val="20"/>
              </w:rPr>
              <w:t>lr</w:t>
            </w:r>
          </w:p>
        </w:tc>
        <w:tc>
          <w:tcPr>
            <w:tcW w:w="2256" w:type="dxa"/>
          </w:tcPr>
          <w:p w14:paraId="24FBBF4A">
            <w:pPr>
              <w:jc w:val="center"/>
            </w:pPr>
            <w:r>
              <w:rPr>
                <w:rFonts w:ascii="Arial" w:hAnsi="Arial" w:eastAsia="Arial" w:cs="Arial"/>
                <w:b w:val="0"/>
                <w:i w:val="0"/>
                <w:color w:val="000000"/>
                <w:sz w:val="20"/>
              </w:rPr>
              <w:t>1e-5..1e-2 log</w:t>
            </w:r>
          </w:p>
        </w:tc>
        <w:tc>
          <w:tcPr>
            <w:tcW w:w="2256" w:type="dxa"/>
          </w:tcPr>
          <w:p w14:paraId="0256BE72">
            <w:pPr>
              <w:jc w:val="center"/>
            </w:pPr>
            <w:r>
              <w:rPr>
                <w:rFonts w:ascii="Arial" w:hAnsi="Arial" w:eastAsia="Arial" w:cs="Arial"/>
                <w:b w:val="0"/>
                <w:i w:val="0"/>
                <w:color w:val="000000"/>
                <w:sz w:val="20"/>
              </w:rPr>
              <w:t>1.66e-3</w:t>
            </w:r>
          </w:p>
        </w:tc>
        <w:tc>
          <w:tcPr>
            <w:tcW w:w="2256" w:type="dxa"/>
          </w:tcPr>
          <w:p w14:paraId="01C0B863">
            <w:pPr>
              <w:jc w:val="center"/>
            </w:pPr>
            <w:r>
              <w:rPr>
                <w:rFonts w:ascii="Arial" w:hAnsi="Arial" w:eastAsia="Arial" w:cs="Arial"/>
                <w:b w:val="0"/>
                <w:i w:val="0"/>
                <w:color w:val="000000"/>
                <w:sz w:val="20"/>
              </w:rPr>
              <w:t>36.6%</w:t>
            </w:r>
          </w:p>
        </w:tc>
      </w:tr>
      <w:tr w14:paraId="1CFF3235">
        <w:trPr>
          <w:jc w:val="center"/>
        </w:trPr>
        <w:tc>
          <w:tcPr>
            <w:tcW w:w="2256" w:type="dxa"/>
          </w:tcPr>
          <w:p w14:paraId="1A13FF1C">
            <w:pPr>
              <w:jc w:val="left"/>
            </w:pPr>
            <w:r>
              <w:rPr>
                <w:rFonts w:ascii="Arial" w:hAnsi="Arial" w:eastAsia="Arial" w:cs="Arial"/>
                <w:b w:val="0"/>
                <w:i w:val="0"/>
                <w:color w:val="000000"/>
                <w:sz w:val="20"/>
              </w:rPr>
              <w:t>batch_size</w:t>
            </w:r>
          </w:p>
        </w:tc>
        <w:tc>
          <w:tcPr>
            <w:tcW w:w="2256" w:type="dxa"/>
          </w:tcPr>
          <w:p w14:paraId="02A81D6A">
            <w:pPr>
              <w:jc w:val="center"/>
            </w:pPr>
            <w:r>
              <w:rPr>
                <w:rFonts w:ascii="Arial" w:hAnsi="Arial" w:eastAsia="Arial" w:cs="Arial"/>
                <w:b w:val="0"/>
                <w:i w:val="0"/>
                <w:color w:val="000000"/>
                <w:sz w:val="20"/>
              </w:rPr>
              <w:t>16</w:t>
            </w:r>
          </w:p>
        </w:tc>
        <w:tc>
          <w:tcPr>
            <w:tcW w:w="2256" w:type="dxa"/>
          </w:tcPr>
          <w:p w14:paraId="51EE4E76">
            <w:pPr>
              <w:jc w:val="center"/>
            </w:pPr>
          </w:p>
        </w:tc>
        <w:tc>
          <w:tcPr>
            <w:tcW w:w="2256" w:type="dxa"/>
          </w:tcPr>
          <w:p w14:paraId="3B12CED8">
            <w:pPr>
              <w:jc w:val="center"/>
            </w:pPr>
          </w:p>
        </w:tc>
      </w:tr>
      <w:tr w14:paraId="73EAC113">
        <w:trPr>
          <w:jc w:val="center"/>
        </w:trPr>
        <w:tc>
          <w:tcPr>
            <w:tcW w:w="2256" w:type="dxa"/>
          </w:tcPr>
          <w:p w14:paraId="2A7405ED">
            <w:pPr>
              <w:jc w:val="left"/>
            </w:pPr>
            <w:r>
              <w:rPr>
                <w:rFonts w:ascii="Arial" w:hAnsi="Arial" w:eastAsia="Arial" w:cs="Arial"/>
                <w:b w:val="0"/>
                <w:i w:val="0"/>
                <w:color w:val="000000"/>
                <w:sz w:val="20"/>
              </w:rPr>
              <w:t>32</w:t>
            </w:r>
          </w:p>
        </w:tc>
        <w:tc>
          <w:tcPr>
            <w:tcW w:w="2256" w:type="dxa"/>
          </w:tcPr>
          <w:p w14:paraId="33148E05">
            <w:pPr>
              <w:jc w:val="center"/>
            </w:pPr>
          </w:p>
        </w:tc>
        <w:tc>
          <w:tcPr>
            <w:tcW w:w="2256" w:type="dxa"/>
          </w:tcPr>
          <w:p w14:paraId="65CBFF6E">
            <w:pPr>
              <w:jc w:val="center"/>
            </w:pPr>
          </w:p>
        </w:tc>
        <w:tc>
          <w:tcPr>
            <w:tcW w:w="2256" w:type="dxa"/>
          </w:tcPr>
          <w:p w14:paraId="12438D1A">
            <w:pPr>
              <w:jc w:val="center"/>
            </w:pPr>
          </w:p>
        </w:tc>
      </w:tr>
      <w:tr w14:paraId="141AA210">
        <w:trPr>
          <w:jc w:val="center"/>
        </w:trPr>
        <w:tc>
          <w:tcPr>
            <w:tcW w:w="2256" w:type="dxa"/>
          </w:tcPr>
          <w:p w14:paraId="721E53AC">
            <w:pPr>
              <w:jc w:val="left"/>
            </w:pPr>
            <w:r>
              <w:rPr>
                <w:rFonts w:ascii="Arial" w:hAnsi="Arial" w:eastAsia="Arial" w:cs="Arial"/>
                <w:b w:val="0"/>
                <w:i w:val="0"/>
                <w:color w:val="000000"/>
                <w:sz w:val="20"/>
              </w:rPr>
              <w:t>64</w:t>
            </w:r>
          </w:p>
        </w:tc>
        <w:tc>
          <w:tcPr>
            <w:tcW w:w="2256" w:type="dxa"/>
          </w:tcPr>
          <w:p w14:paraId="55BC6A1A">
            <w:pPr>
              <w:jc w:val="center"/>
            </w:pPr>
            <w:r>
              <w:rPr>
                <w:rFonts w:ascii="Arial" w:hAnsi="Arial" w:eastAsia="Arial" w:cs="Arial"/>
                <w:b w:val="0"/>
                <w:i w:val="0"/>
                <w:color w:val="000000"/>
                <w:sz w:val="20"/>
              </w:rPr>
              <w:t>32</w:t>
            </w:r>
          </w:p>
        </w:tc>
        <w:tc>
          <w:tcPr>
            <w:tcW w:w="2256" w:type="dxa"/>
          </w:tcPr>
          <w:p w14:paraId="6728FE05">
            <w:pPr>
              <w:jc w:val="center"/>
            </w:pPr>
            <w:r>
              <w:rPr>
                <w:rFonts w:ascii="Arial" w:hAnsi="Arial" w:eastAsia="Arial" w:cs="Arial"/>
                <w:b w:val="0"/>
                <w:i w:val="0"/>
                <w:color w:val="000000"/>
                <w:sz w:val="20"/>
              </w:rPr>
              <w:t>18.9%</w:t>
            </w:r>
          </w:p>
        </w:tc>
        <w:tc>
          <w:tcPr>
            <w:tcW w:w="2256" w:type="dxa"/>
          </w:tcPr>
          <w:p w14:paraId="51110912">
            <w:pPr>
              <w:jc w:val="center"/>
            </w:pPr>
          </w:p>
        </w:tc>
      </w:tr>
      <w:tr w14:paraId="7C5CF1F8">
        <w:trPr>
          <w:jc w:val="center"/>
        </w:trPr>
        <w:tc>
          <w:tcPr>
            <w:tcW w:w="2256" w:type="dxa"/>
          </w:tcPr>
          <w:p w14:paraId="68EF7629">
            <w:pPr>
              <w:jc w:val="left"/>
            </w:pPr>
            <w:r>
              <w:rPr>
                <w:rFonts w:ascii="Arial" w:hAnsi="Arial" w:eastAsia="Arial" w:cs="Arial"/>
                <w:b w:val="0"/>
                <w:i w:val="0"/>
                <w:color w:val="000000"/>
                <w:sz w:val="20"/>
              </w:rPr>
              <w:t>optimizer</w:t>
            </w:r>
          </w:p>
        </w:tc>
        <w:tc>
          <w:tcPr>
            <w:tcW w:w="2256" w:type="dxa"/>
          </w:tcPr>
          <w:p w14:paraId="2A098006">
            <w:pPr>
              <w:jc w:val="center"/>
            </w:pPr>
            <w:r>
              <w:rPr>
                <w:rFonts w:ascii="Arial" w:hAnsi="Arial" w:eastAsia="Arial" w:cs="Arial"/>
                <w:b w:val="0"/>
                <w:i w:val="0"/>
                <w:color w:val="000000"/>
                <w:sz w:val="20"/>
              </w:rPr>
              <w:t>adam</w:t>
            </w:r>
          </w:p>
        </w:tc>
        <w:tc>
          <w:tcPr>
            <w:tcW w:w="2256" w:type="dxa"/>
          </w:tcPr>
          <w:p w14:paraId="4E31F5CF">
            <w:pPr>
              <w:jc w:val="center"/>
            </w:pPr>
          </w:p>
        </w:tc>
        <w:tc>
          <w:tcPr>
            <w:tcW w:w="2256" w:type="dxa"/>
          </w:tcPr>
          <w:p w14:paraId="2CDEEBA4">
            <w:pPr>
              <w:jc w:val="center"/>
            </w:pPr>
          </w:p>
        </w:tc>
      </w:tr>
      <w:tr w14:paraId="2D7423A4">
        <w:trPr>
          <w:jc w:val="center"/>
        </w:trPr>
        <w:tc>
          <w:tcPr>
            <w:tcW w:w="2256" w:type="dxa"/>
          </w:tcPr>
          <w:p w14:paraId="3EDF929D">
            <w:pPr>
              <w:jc w:val="left"/>
            </w:pPr>
            <w:r>
              <w:rPr>
                <w:rFonts w:ascii="Arial" w:hAnsi="Arial" w:eastAsia="Arial" w:cs="Arial"/>
                <w:b w:val="0"/>
                <w:i w:val="0"/>
                <w:color w:val="000000"/>
                <w:sz w:val="20"/>
              </w:rPr>
              <w:t>adamw</w:t>
            </w:r>
          </w:p>
        </w:tc>
        <w:tc>
          <w:tcPr>
            <w:tcW w:w="2256" w:type="dxa"/>
          </w:tcPr>
          <w:p w14:paraId="7CB750CC">
            <w:pPr>
              <w:jc w:val="center"/>
            </w:pPr>
          </w:p>
        </w:tc>
        <w:tc>
          <w:tcPr>
            <w:tcW w:w="2256" w:type="dxa"/>
          </w:tcPr>
          <w:p w14:paraId="4935DA59">
            <w:pPr>
              <w:jc w:val="center"/>
            </w:pPr>
          </w:p>
        </w:tc>
        <w:tc>
          <w:tcPr>
            <w:tcW w:w="2256" w:type="dxa"/>
          </w:tcPr>
          <w:p w14:paraId="453FB34C">
            <w:pPr>
              <w:jc w:val="center"/>
            </w:pPr>
          </w:p>
        </w:tc>
      </w:tr>
      <w:tr w14:paraId="146DBFF9">
        <w:trPr>
          <w:jc w:val="center"/>
        </w:trPr>
        <w:tc>
          <w:tcPr>
            <w:tcW w:w="2256" w:type="dxa"/>
          </w:tcPr>
          <w:p w14:paraId="1C068419">
            <w:pPr>
              <w:jc w:val="left"/>
            </w:pPr>
            <w:r>
              <w:rPr>
                <w:rFonts w:ascii="Arial" w:hAnsi="Arial" w:eastAsia="Arial" w:cs="Arial"/>
                <w:b w:val="0"/>
                <w:i w:val="0"/>
                <w:color w:val="000000"/>
                <w:sz w:val="20"/>
              </w:rPr>
              <w:t>sgd</w:t>
            </w:r>
          </w:p>
        </w:tc>
        <w:tc>
          <w:tcPr>
            <w:tcW w:w="2256" w:type="dxa"/>
          </w:tcPr>
          <w:p w14:paraId="22CF6033">
            <w:pPr>
              <w:jc w:val="center"/>
            </w:pPr>
            <w:r>
              <w:rPr>
                <w:rFonts w:ascii="Arial" w:hAnsi="Arial" w:eastAsia="Arial" w:cs="Arial"/>
                <w:b w:val="0"/>
                <w:i w:val="0"/>
                <w:color w:val="000000"/>
                <w:sz w:val="20"/>
              </w:rPr>
              <w:t>adam</w:t>
            </w:r>
          </w:p>
        </w:tc>
        <w:tc>
          <w:tcPr>
            <w:tcW w:w="2256" w:type="dxa"/>
          </w:tcPr>
          <w:p w14:paraId="33ED5E65">
            <w:pPr>
              <w:jc w:val="center"/>
            </w:pPr>
            <w:r>
              <w:rPr>
                <w:rFonts w:ascii="Arial" w:hAnsi="Arial" w:eastAsia="Arial" w:cs="Arial"/>
                <w:b w:val="0"/>
                <w:i w:val="0"/>
                <w:color w:val="000000"/>
                <w:sz w:val="20"/>
              </w:rPr>
              <w:t>14.3%</w:t>
            </w:r>
          </w:p>
        </w:tc>
        <w:tc>
          <w:tcPr>
            <w:tcW w:w="2256" w:type="dxa"/>
          </w:tcPr>
          <w:p w14:paraId="212AF78C">
            <w:pPr>
              <w:jc w:val="center"/>
            </w:pPr>
          </w:p>
        </w:tc>
      </w:tr>
    </w:tbl>
    <w:p w14:paraId="2BC52ACB">
      <w:pPr>
        <w:spacing w:before="0" w:after="160" w:line="240" w:lineRule="auto"/>
        <w:jc w:val="both"/>
      </w:pPr>
    </w:p>
    <w:p w14:paraId="076E3166">
      <w:pPr>
        <w:keepNext/>
        <w:spacing w:before="120" w:after="40" w:line="240" w:lineRule="auto"/>
        <w:jc w:val="center"/>
      </w:pPr>
      <w:r>
        <w:drawing>
          <wp:inline distT="0" distB="0" distL="114300" distR="114300">
            <wp:extent cx="5399405" cy="3210560"/>
            <wp:effectExtent l="0" t="0" r="1079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00000" cy="3210811"/>
                    </a:xfrm>
                    <a:prstGeom prst="rect">
                      <a:avLst/>
                    </a:prstGeom>
                  </pic:spPr>
                </pic:pic>
              </a:graphicData>
            </a:graphic>
          </wp:inline>
        </w:drawing>
      </w:r>
    </w:p>
    <w:p w14:paraId="4D76F0AD">
      <w:pPr>
        <w:spacing w:before="40" w:after="200" w:line="240" w:lineRule="auto"/>
        <w:jc w:val="center"/>
      </w:pPr>
      <w:r>
        <w:rPr>
          <w:b w:val="0"/>
          <w:i w:val="0"/>
          <w:sz w:val="18"/>
        </w:rPr>
        <w:t>Figure 4: Optuna hyperparameter importance for the custom CNN. Source: author.</w:t>
      </w:r>
    </w:p>
    <w:p w14:paraId="0B71FBE0">
      <w:pPr>
        <w:pStyle w:val="3"/>
        <w:keepNext/>
        <w:spacing w:before="240" w:after="120" w:line="276" w:lineRule="auto"/>
        <w:jc w:val="left"/>
      </w:pPr>
      <w:bookmarkStart w:id="69" w:name="_Toc1318877490"/>
      <w:r>
        <w:rPr>
          <w:rFonts w:ascii="Arial" w:hAnsi="Arial" w:eastAsia="Arial" w:cs="Arial"/>
          <w:b/>
          <w:i w:val="0"/>
          <w:color w:val="000000"/>
          <w:sz w:val="26"/>
        </w:rPr>
        <w:t>3.7 Models 2-4: Transfer learning</w:t>
      </w:r>
      <w:bookmarkEnd w:id="69"/>
    </w:p>
    <w:p w14:paraId="11E12170">
      <w:pPr>
        <w:pStyle w:val="4"/>
        <w:keepNext/>
        <w:spacing w:before="160" w:after="80" w:line="276" w:lineRule="auto"/>
        <w:jc w:val="left"/>
      </w:pPr>
      <w:bookmarkStart w:id="70" w:name="_Toc47770096"/>
      <w:r>
        <w:rPr>
          <w:rFonts w:ascii="Arial" w:hAnsi="Arial" w:eastAsia="Arial" w:cs="Arial"/>
          <w:b/>
          <w:i w:val="0"/>
          <w:color w:val="000000"/>
          <w:sz w:val="24"/>
        </w:rPr>
        <w:t>3.7.1 Why these three</w:t>
      </w:r>
      <w:bookmarkEnd w:id="70"/>
    </w:p>
    <w:p w14:paraId="52D6EE35">
      <w:pPr>
        <w:spacing w:before="0" w:after="120" w:line="360" w:lineRule="auto"/>
        <w:jc w:val="both"/>
      </w:pPr>
      <w:r>
        <w:rPr>
          <w:rFonts w:ascii="Arial" w:hAnsi="Arial" w:eastAsia="Arial" w:cs="Arial"/>
          <w:b w:val="0"/>
          <w:i w:val="0"/>
          <w:color w:val="000000"/>
          <w:sz w:val="22"/>
        </w:rPr>
        <w:t>I picked ResNet50 (He et al., 2016), VGG16 (Simonyan and Zisserman, 2014), and MobileNetV2 (Sandler et al., 2018) because together they cover three architectural eras and three design philosophies. VGG16 is the dense, parameter-heavy 2014 baseline. ResNet50 is the residual-block 2016 standard that introduced skip connections. MobileNetV2 is the 2018 efficiency-focused design built on inverted residuals and depthwise-separable convolutions. Comparing them on the same task illustrates whether architectural progress in the ImageNet sense translates into livestock classification accuracy.</w:t>
      </w:r>
    </w:p>
    <w:p w14:paraId="526649C0">
      <w:pPr>
        <w:pStyle w:val="4"/>
        <w:keepNext/>
        <w:spacing w:before="160" w:after="80" w:line="276" w:lineRule="auto"/>
        <w:jc w:val="left"/>
      </w:pPr>
      <w:bookmarkStart w:id="71" w:name="_Toc1860603141"/>
      <w:r>
        <w:rPr>
          <w:rFonts w:ascii="Arial" w:hAnsi="Arial" w:eastAsia="Arial" w:cs="Arial"/>
          <w:b/>
          <w:i w:val="0"/>
          <w:color w:val="000000"/>
          <w:sz w:val="24"/>
        </w:rPr>
        <w:t>3.7.2 Feature extraction strategy</w:t>
      </w:r>
      <w:bookmarkEnd w:id="71"/>
    </w:p>
    <w:p w14:paraId="04716B16">
      <w:pPr>
        <w:spacing w:before="0" w:after="120" w:line="360" w:lineRule="auto"/>
        <w:jc w:val="both"/>
      </w:pPr>
      <w:r>
        <w:rPr>
          <w:rFonts w:ascii="Arial" w:hAnsi="Arial" w:eastAsia="Arial" w:cs="Arial"/>
          <w:b w:val="0"/>
          <w:i w:val="0"/>
          <w:color w:val="000000"/>
          <w:sz w:val="22"/>
        </w:rPr>
        <w:t>For all three models I froze the backbone and trained only the classifier head. I chose feature extraction over fine-tuning for two reasons. The first is compute: full fine-tuning of ResNet50 at 224 by 224 on 35 thousand crops would have stretched well past my training budget. The second is overfitting risk. With 8 562 training images and a backbone of 23 million parameters, unfreezing everything invites the network to memorise rather than generalise. Yosinski et al. (2014) report that lower layers of pretrained CNNs encode general edge and texture patterns that transfer well even when the target domain differs significantly from ImageNet, which is exactly the regime where feature extraction is supposed to work.</w:t>
      </w:r>
    </w:p>
    <w:p w14:paraId="14D115A8">
      <w:pPr>
        <w:pStyle w:val="4"/>
        <w:keepNext/>
        <w:spacing w:before="160" w:after="80" w:line="276" w:lineRule="auto"/>
        <w:jc w:val="left"/>
      </w:pPr>
      <w:bookmarkStart w:id="72" w:name="_Toc1647606820"/>
      <w:r>
        <w:rPr>
          <w:rFonts w:ascii="Arial" w:hAnsi="Arial" w:eastAsia="Arial" w:cs="Arial"/>
          <w:b/>
          <w:i w:val="0"/>
          <w:color w:val="000000"/>
          <w:sz w:val="24"/>
        </w:rPr>
        <w:t>3.7.3 Per-model classifier heads</w:t>
      </w:r>
      <w:bookmarkEnd w:id="72"/>
    </w:p>
    <w:p w14:paraId="59A03A03">
      <w:pPr>
        <w:spacing w:before="0" w:after="120" w:line="360" w:lineRule="auto"/>
        <w:jc w:val="both"/>
      </w:pPr>
      <w:r>
        <w:rPr>
          <w:rFonts w:ascii="Arial" w:hAnsi="Arial" w:eastAsia="Arial" w:cs="Arial"/>
          <w:b w:val="0"/>
          <w:i w:val="0"/>
          <w:color w:val="000000"/>
          <w:sz w:val="22"/>
        </w:rPr>
        <w:t>ResNet50 ends in a 2048-dimensional feature vector; my head reduces this directly to a 2-unit logit through a single linear layer with dropout. VGG16 ends in a 25 088-dimensional flatten from its convolutional stack; my head goes 25 088 to 128 to 2 with dropout in between. MobileNetV2 ends in a 1280-dimensional pooled feature; my head goes 1280 to 2. The mismatch in head sizes is forced by the architectures themselves and ends up being important for the H1 result discussed in Chapter 5.</w:t>
      </w:r>
    </w:p>
    <w:p w14:paraId="748A44E7">
      <w:pPr>
        <w:pStyle w:val="4"/>
        <w:keepNext/>
        <w:spacing w:before="160" w:after="80" w:line="276" w:lineRule="auto"/>
        <w:jc w:val="left"/>
      </w:pPr>
      <w:bookmarkStart w:id="73" w:name="_Toc1673679322"/>
      <w:r>
        <w:rPr>
          <w:rFonts w:ascii="Arial" w:hAnsi="Arial" w:eastAsia="Arial" w:cs="Arial"/>
          <w:b/>
          <w:i w:val="0"/>
          <w:color w:val="000000"/>
          <w:sz w:val="24"/>
        </w:rPr>
        <w:t>3.7.4 Optuna HP tuning</w:t>
      </w:r>
      <w:bookmarkEnd w:id="73"/>
    </w:p>
    <w:p w14:paraId="2F5449C3">
      <w:pPr>
        <w:spacing w:before="0" w:after="120" w:line="360" w:lineRule="auto"/>
        <w:jc w:val="both"/>
      </w:pPr>
      <w:r>
        <w:rPr>
          <w:rFonts w:ascii="Arial" w:hAnsi="Arial" w:eastAsia="Arial" w:cs="Arial"/>
          <w:b w:val="0"/>
          <w:i w:val="0"/>
          <w:color w:val="000000"/>
          <w:sz w:val="22"/>
        </w:rPr>
        <w:t>Each transfer model received six Optuna trials of three epochs each on a 3 000-train, 600-validation subset. The trials searched learning rate, weight decay, dropout, batch size, and optimiser choice between Adam and AdamW (Loshchilov and Hutter, 2019). Per-model winning configurations are summarised in Table 2. Hyperparameter search took 722 seconds for ResNet50 and 1 119.7 seconds for VGG16 on the same hardware, with MobileNetV2 in between.</w:t>
      </w:r>
    </w:p>
    <w:p w14:paraId="42AE8733">
      <w:pPr>
        <w:keepNext/>
        <w:spacing w:before="160" w:after="40" w:line="240" w:lineRule="auto"/>
        <w:jc w:val="left"/>
      </w:pPr>
      <w:r>
        <w:rPr>
          <w:b w:val="0"/>
          <w:i w:val="0"/>
          <w:sz w:val="18"/>
        </w:rPr>
        <w:t>Table 2: Parameter counts, best hyperparameters, and Optuna validation accuracy across the four classifiers.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362"/>
        <w:gridCol w:w="1289"/>
        <w:gridCol w:w="1289"/>
        <w:gridCol w:w="1289"/>
        <w:gridCol w:w="1289"/>
        <w:gridCol w:w="1289"/>
        <w:gridCol w:w="1289"/>
      </w:tblGrid>
      <w:tr w14:paraId="7A1016E8">
        <w:trPr>
          <w:jc w:val="center"/>
        </w:trPr>
        <w:tc>
          <w:tcPr>
            <w:tcW w:w="1289" w:type="dxa"/>
          </w:tcPr>
          <w:p w14:paraId="4B2CFC0A">
            <w:pPr>
              <w:jc w:val="center"/>
            </w:pPr>
            <w:r>
              <w:rPr>
                <w:rFonts w:ascii="Arial" w:hAnsi="Arial" w:eastAsia="Arial" w:cs="Arial"/>
                <w:b/>
                <w:i w:val="0"/>
                <w:color w:val="000000"/>
                <w:sz w:val="20"/>
              </w:rPr>
              <w:t>Model</w:t>
            </w:r>
          </w:p>
        </w:tc>
        <w:tc>
          <w:tcPr>
            <w:tcW w:w="1289" w:type="dxa"/>
          </w:tcPr>
          <w:p w14:paraId="34D9591C">
            <w:pPr>
              <w:jc w:val="center"/>
            </w:pPr>
            <w:r>
              <w:rPr>
                <w:rFonts w:ascii="Arial" w:hAnsi="Arial" w:eastAsia="Arial" w:cs="Arial"/>
                <w:b/>
                <w:i w:val="0"/>
                <w:color w:val="000000"/>
                <w:sz w:val="20"/>
              </w:rPr>
              <w:t>Total params</w:t>
            </w:r>
          </w:p>
        </w:tc>
        <w:tc>
          <w:tcPr>
            <w:tcW w:w="1289" w:type="dxa"/>
          </w:tcPr>
          <w:p w14:paraId="5115B7A4">
            <w:pPr>
              <w:jc w:val="center"/>
            </w:pPr>
            <w:r>
              <w:rPr>
                <w:rFonts w:ascii="Arial" w:hAnsi="Arial" w:eastAsia="Arial" w:cs="Arial"/>
                <w:b/>
                <w:i w:val="0"/>
                <w:color w:val="000000"/>
                <w:sz w:val="20"/>
              </w:rPr>
              <w:t>Trainable params</w:t>
            </w:r>
          </w:p>
        </w:tc>
        <w:tc>
          <w:tcPr>
            <w:tcW w:w="1289" w:type="dxa"/>
          </w:tcPr>
          <w:p w14:paraId="651354EC">
            <w:pPr>
              <w:jc w:val="center"/>
            </w:pPr>
            <w:r>
              <w:rPr>
                <w:rFonts w:ascii="Arial" w:hAnsi="Arial" w:eastAsia="Arial" w:cs="Arial"/>
                <w:b/>
                <w:i w:val="0"/>
                <w:color w:val="000000"/>
                <w:sz w:val="20"/>
              </w:rPr>
              <w:t>%trainable</w:t>
            </w:r>
          </w:p>
        </w:tc>
        <w:tc>
          <w:tcPr>
            <w:tcW w:w="1289" w:type="dxa"/>
          </w:tcPr>
          <w:p w14:paraId="7C1695BB">
            <w:pPr>
              <w:jc w:val="center"/>
            </w:pPr>
            <w:r>
              <w:rPr>
                <w:rFonts w:ascii="Arial" w:hAnsi="Arial" w:eastAsia="Arial" w:cs="Arial"/>
                <w:b/>
                <w:i w:val="0"/>
                <w:color w:val="000000"/>
                <w:sz w:val="20"/>
              </w:rPr>
              <w:t>Best lr</w:t>
            </w:r>
          </w:p>
        </w:tc>
        <w:tc>
          <w:tcPr>
            <w:tcW w:w="1289" w:type="dxa"/>
          </w:tcPr>
          <w:p w14:paraId="77BC1254">
            <w:pPr>
              <w:jc w:val="center"/>
            </w:pPr>
            <w:r>
              <w:rPr>
                <w:rFonts w:ascii="Arial" w:hAnsi="Arial" w:eastAsia="Arial" w:cs="Arial"/>
                <w:b/>
                <w:i w:val="0"/>
                <w:color w:val="000000"/>
                <w:sz w:val="20"/>
              </w:rPr>
              <w:t>Optimizer</w:t>
            </w:r>
          </w:p>
        </w:tc>
        <w:tc>
          <w:tcPr>
            <w:tcW w:w="1289" w:type="dxa"/>
          </w:tcPr>
          <w:p w14:paraId="43E6C7EC">
            <w:pPr>
              <w:jc w:val="center"/>
            </w:pPr>
            <w:r>
              <w:rPr>
                <w:rFonts w:ascii="Arial" w:hAnsi="Arial" w:eastAsia="Arial" w:cs="Arial"/>
                <w:b/>
                <w:i w:val="0"/>
                <w:color w:val="000000"/>
                <w:sz w:val="20"/>
              </w:rPr>
              <w:t>Optuna val acc</w:t>
            </w:r>
          </w:p>
        </w:tc>
      </w:tr>
      <w:tr w14:paraId="3C265734">
        <w:trPr>
          <w:jc w:val="center"/>
        </w:trPr>
        <w:tc>
          <w:tcPr>
            <w:tcW w:w="1289" w:type="dxa"/>
          </w:tcPr>
          <w:p w14:paraId="390DB49B">
            <w:pPr>
              <w:jc w:val="left"/>
            </w:pPr>
            <w:r>
              <w:rPr>
                <w:rFonts w:ascii="Arial" w:hAnsi="Arial" w:eastAsia="Arial" w:cs="Arial"/>
                <w:b w:val="0"/>
                <w:i w:val="0"/>
                <w:color w:val="000000"/>
                <w:sz w:val="20"/>
              </w:rPr>
              <w:t>Custom CNN</w:t>
            </w:r>
          </w:p>
        </w:tc>
        <w:tc>
          <w:tcPr>
            <w:tcW w:w="1289" w:type="dxa"/>
          </w:tcPr>
          <w:p w14:paraId="49FBEB19">
            <w:pPr>
              <w:jc w:val="center"/>
            </w:pPr>
            <w:r>
              <w:rPr>
                <w:rFonts w:ascii="Arial" w:hAnsi="Arial" w:eastAsia="Arial" w:cs="Arial"/>
                <w:b w:val="0"/>
                <w:i w:val="0"/>
                <w:color w:val="000000"/>
                <w:sz w:val="20"/>
              </w:rPr>
              <w:t>8 760 706</w:t>
            </w:r>
          </w:p>
        </w:tc>
        <w:tc>
          <w:tcPr>
            <w:tcW w:w="1289" w:type="dxa"/>
          </w:tcPr>
          <w:p w14:paraId="79CD36B0">
            <w:pPr>
              <w:jc w:val="center"/>
            </w:pPr>
            <w:r>
              <w:rPr>
                <w:rFonts w:ascii="Arial" w:hAnsi="Arial" w:eastAsia="Arial" w:cs="Arial"/>
                <w:b w:val="0"/>
                <w:i w:val="0"/>
                <w:color w:val="000000"/>
                <w:sz w:val="20"/>
              </w:rPr>
              <w:t>8 760 706</w:t>
            </w:r>
          </w:p>
        </w:tc>
        <w:tc>
          <w:tcPr>
            <w:tcW w:w="1289" w:type="dxa"/>
          </w:tcPr>
          <w:p w14:paraId="590B6153">
            <w:pPr>
              <w:jc w:val="center"/>
            </w:pPr>
            <w:r>
              <w:rPr>
                <w:rFonts w:ascii="Arial" w:hAnsi="Arial" w:eastAsia="Arial" w:cs="Arial"/>
                <w:b w:val="0"/>
                <w:i w:val="0"/>
                <w:color w:val="000000"/>
                <w:sz w:val="20"/>
              </w:rPr>
              <w:t>100.00</w:t>
            </w:r>
          </w:p>
        </w:tc>
        <w:tc>
          <w:tcPr>
            <w:tcW w:w="1289" w:type="dxa"/>
          </w:tcPr>
          <w:p w14:paraId="094323A6">
            <w:pPr>
              <w:jc w:val="center"/>
            </w:pPr>
            <w:r>
              <w:rPr>
                <w:rFonts w:ascii="Arial" w:hAnsi="Arial" w:eastAsia="Arial" w:cs="Arial"/>
                <w:b w:val="0"/>
                <w:i w:val="0"/>
                <w:color w:val="000000"/>
                <w:sz w:val="20"/>
              </w:rPr>
              <w:t>1.66e-3</w:t>
            </w:r>
          </w:p>
        </w:tc>
        <w:tc>
          <w:tcPr>
            <w:tcW w:w="1289" w:type="dxa"/>
          </w:tcPr>
          <w:p w14:paraId="0149B750">
            <w:pPr>
              <w:jc w:val="center"/>
            </w:pPr>
            <w:r>
              <w:rPr>
                <w:rFonts w:ascii="Arial" w:hAnsi="Arial" w:eastAsia="Arial" w:cs="Arial"/>
                <w:b w:val="0"/>
                <w:i w:val="0"/>
                <w:color w:val="000000"/>
                <w:sz w:val="20"/>
              </w:rPr>
              <w:t>adam</w:t>
            </w:r>
          </w:p>
        </w:tc>
        <w:tc>
          <w:tcPr>
            <w:tcW w:w="1289" w:type="dxa"/>
          </w:tcPr>
          <w:p w14:paraId="607FDA96">
            <w:pPr>
              <w:jc w:val="center"/>
            </w:pPr>
            <w:r>
              <w:rPr>
                <w:rFonts w:ascii="Arial" w:hAnsi="Arial" w:eastAsia="Arial" w:cs="Arial"/>
                <w:b w:val="0"/>
                <w:i w:val="0"/>
                <w:color w:val="000000"/>
                <w:sz w:val="20"/>
              </w:rPr>
              <w:t>0.923</w:t>
            </w:r>
          </w:p>
        </w:tc>
      </w:tr>
      <w:tr w14:paraId="236BC03B">
        <w:trPr>
          <w:jc w:val="center"/>
        </w:trPr>
        <w:tc>
          <w:tcPr>
            <w:tcW w:w="1289" w:type="dxa"/>
          </w:tcPr>
          <w:p w14:paraId="2AE818C9">
            <w:pPr>
              <w:jc w:val="left"/>
            </w:pPr>
            <w:r>
              <w:rPr>
                <w:rFonts w:ascii="Arial" w:hAnsi="Arial" w:eastAsia="Arial" w:cs="Arial"/>
                <w:b w:val="0"/>
                <w:i w:val="0"/>
                <w:color w:val="000000"/>
                <w:sz w:val="20"/>
              </w:rPr>
              <w:t>ResNet50</w:t>
            </w:r>
          </w:p>
        </w:tc>
        <w:tc>
          <w:tcPr>
            <w:tcW w:w="1289" w:type="dxa"/>
          </w:tcPr>
          <w:p w14:paraId="12467B31">
            <w:pPr>
              <w:jc w:val="center"/>
            </w:pPr>
            <w:r>
              <w:rPr>
                <w:rFonts w:ascii="Arial" w:hAnsi="Arial" w:eastAsia="Arial" w:cs="Arial"/>
                <w:b w:val="0"/>
                <w:i w:val="0"/>
                <w:color w:val="000000"/>
                <w:sz w:val="20"/>
              </w:rPr>
              <w:t>23 770 562</w:t>
            </w:r>
          </w:p>
        </w:tc>
        <w:tc>
          <w:tcPr>
            <w:tcW w:w="1289" w:type="dxa"/>
          </w:tcPr>
          <w:p w14:paraId="51A58676">
            <w:pPr>
              <w:jc w:val="center"/>
            </w:pPr>
            <w:r>
              <w:rPr>
                <w:rFonts w:ascii="Arial" w:hAnsi="Arial" w:eastAsia="Arial" w:cs="Arial"/>
                <w:b w:val="0"/>
                <w:i w:val="0"/>
                <w:color w:val="000000"/>
                <w:sz w:val="20"/>
              </w:rPr>
              <w:t>262 530</w:t>
            </w:r>
          </w:p>
        </w:tc>
        <w:tc>
          <w:tcPr>
            <w:tcW w:w="1289" w:type="dxa"/>
          </w:tcPr>
          <w:p w14:paraId="2339F484">
            <w:pPr>
              <w:jc w:val="center"/>
            </w:pPr>
            <w:r>
              <w:rPr>
                <w:rFonts w:ascii="Arial" w:hAnsi="Arial" w:eastAsia="Arial" w:cs="Arial"/>
                <w:b w:val="0"/>
                <w:i w:val="0"/>
                <w:color w:val="000000"/>
                <w:sz w:val="20"/>
              </w:rPr>
              <w:t>1.10</w:t>
            </w:r>
          </w:p>
        </w:tc>
        <w:tc>
          <w:tcPr>
            <w:tcW w:w="1289" w:type="dxa"/>
          </w:tcPr>
          <w:p w14:paraId="30684FA5">
            <w:pPr>
              <w:jc w:val="center"/>
            </w:pPr>
            <w:r>
              <w:rPr>
                <w:rFonts w:ascii="Arial" w:hAnsi="Arial" w:eastAsia="Arial" w:cs="Arial"/>
                <w:b w:val="0"/>
                <w:i w:val="0"/>
                <w:color w:val="000000"/>
                <w:sz w:val="20"/>
              </w:rPr>
              <w:t>6.55e-4</w:t>
            </w:r>
          </w:p>
        </w:tc>
        <w:tc>
          <w:tcPr>
            <w:tcW w:w="1289" w:type="dxa"/>
          </w:tcPr>
          <w:p w14:paraId="5E25311C">
            <w:pPr>
              <w:jc w:val="center"/>
            </w:pPr>
            <w:r>
              <w:rPr>
                <w:rFonts w:ascii="Arial" w:hAnsi="Arial" w:eastAsia="Arial" w:cs="Arial"/>
                <w:b w:val="0"/>
                <w:i w:val="0"/>
                <w:color w:val="000000"/>
                <w:sz w:val="20"/>
              </w:rPr>
              <w:t>adam</w:t>
            </w:r>
          </w:p>
        </w:tc>
        <w:tc>
          <w:tcPr>
            <w:tcW w:w="1289" w:type="dxa"/>
          </w:tcPr>
          <w:p w14:paraId="412D063F">
            <w:pPr>
              <w:jc w:val="center"/>
            </w:pPr>
            <w:r>
              <w:rPr>
                <w:rFonts w:ascii="Arial" w:hAnsi="Arial" w:eastAsia="Arial" w:cs="Arial"/>
                <w:b w:val="0"/>
                <w:i w:val="0"/>
                <w:color w:val="000000"/>
                <w:sz w:val="20"/>
              </w:rPr>
              <w:t>0.927</w:t>
            </w:r>
          </w:p>
        </w:tc>
      </w:tr>
      <w:tr w14:paraId="40371EEA">
        <w:trPr>
          <w:jc w:val="center"/>
        </w:trPr>
        <w:tc>
          <w:tcPr>
            <w:tcW w:w="1289" w:type="dxa"/>
          </w:tcPr>
          <w:p w14:paraId="46B2A912">
            <w:pPr>
              <w:jc w:val="left"/>
            </w:pPr>
            <w:r>
              <w:rPr>
                <w:rFonts w:ascii="Arial" w:hAnsi="Arial" w:eastAsia="Arial" w:cs="Arial"/>
                <w:b w:val="0"/>
                <w:i w:val="0"/>
                <w:color w:val="000000"/>
                <w:sz w:val="20"/>
              </w:rPr>
              <w:t>VGG16</w:t>
            </w:r>
          </w:p>
        </w:tc>
        <w:tc>
          <w:tcPr>
            <w:tcW w:w="1289" w:type="dxa"/>
          </w:tcPr>
          <w:p w14:paraId="5A5D7C78">
            <w:pPr>
              <w:jc w:val="center"/>
            </w:pPr>
            <w:r>
              <w:rPr>
                <w:rFonts w:ascii="Arial" w:hAnsi="Arial" w:eastAsia="Arial" w:cs="Arial"/>
                <w:b w:val="0"/>
                <w:i w:val="0"/>
                <w:color w:val="000000"/>
                <w:sz w:val="20"/>
              </w:rPr>
              <w:t>17 926 338</w:t>
            </w:r>
          </w:p>
        </w:tc>
        <w:tc>
          <w:tcPr>
            <w:tcW w:w="1289" w:type="dxa"/>
          </w:tcPr>
          <w:p w14:paraId="6FCD5044">
            <w:pPr>
              <w:jc w:val="center"/>
            </w:pPr>
            <w:r>
              <w:rPr>
                <w:rFonts w:ascii="Arial" w:hAnsi="Arial" w:eastAsia="Arial" w:cs="Arial"/>
                <w:b w:val="0"/>
                <w:i w:val="0"/>
                <w:color w:val="000000"/>
                <w:sz w:val="20"/>
              </w:rPr>
              <w:t>3 211 650</w:t>
            </w:r>
          </w:p>
        </w:tc>
        <w:tc>
          <w:tcPr>
            <w:tcW w:w="1289" w:type="dxa"/>
          </w:tcPr>
          <w:p w14:paraId="455FC787">
            <w:pPr>
              <w:jc w:val="center"/>
            </w:pPr>
            <w:r>
              <w:rPr>
                <w:rFonts w:ascii="Arial" w:hAnsi="Arial" w:eastAsia="Arial" w:cs="Arial"/>
                <w:b w:val="0"/>
                <w:i w:val="0"/>
                <w:color w:val="000000"/>
                <w:sz w:val="20"/>
              </w:rPr>
              <w:t>17.92</w:t>
            </w:r>
          </w:p>
        </w:tc>
        <w:tc>
          <w:tcPr>
            <w:tcW w:w="1289" w:type="dxa"/>
          </w:tcPr>
          <w:p w14:paraId="7A95229E">
            <w:pPr>
              <w:jc w:val="center"/>
            </w:pPr>
            <w:r>
              <w:rPr>
                <w:rFonts w:ascii="Arial" w:hAnsi="Arial" w:eastAsia="Arial" w:cs="Arial"/>
                <w:b w:val="0"/>
                <w:i w:val="0"/>
                <w:color w:val="000000"/>
                <w:sz w:val="20"/>
              </w:rPr>
              <w:t>1.59e-4</w:t>
            </w:r>
          </w:p>
        </w:tc>
        <w:tc>
          <w:tcPr>
            <w:tcW w:w="1289" w:type="dxa"/>
          </w:tcPr>
          <w:p w14:paraId="2336C57C">
            <w:pPr>
              <w:jc w:val="center"/>
            </w:pPr>
            <w:r>
              <w:rPr>
                <w:rFonts w:ascii="Arial" w:hAnsi="Arial" w:eastAsia="Arial" w:cs="Arial"/>
                <w:b w:val="0"/>
                <w:i w:val="0"/>
                <w:color w:val="000000"/>
                <w:sz w:val="20"/>
              </w:rPr>
              <w:t>adamw</w:t>
            </w:r>
          </w:p>
        </w:tc>
        <w:tc>
          <w:tcPr>
            <w:tcW w:w="1289" w:type="dxa"/>
          </w:tcPr>
          <w:p w14:paraId="0B8D61F4">
            <w:pPr>
              <w:jc w:val="center"/>
            </w:pPr>
            <w:r>
              <w:rPr>
                <w:rFonts w:ascii="Arial" w:hAnsi="Arial" w:eastAsia="Arial" w:cs="Arial"/>
                <w:b w:val="0"/>
                <w:i w:val="0"/>
                <w:color w:val="000000"/>
                <w:sz w:val="20"/>
              </w:rPr>
              <w:t>0.955</w:t>
            </w:r>
          </w:p>
        </w:tc>
      </w:tr>
      <w:tr w14:paraId="15D1F322">
        <w:trPr>
          <w:jc w:val="center"/>
        </w:trPr>
        <w:tc>
          <w:tcPr>
            <w:tcW w:w="1289" w:type="dxa"/>
          </w:tcPr>
          <w:p w14:paraId="6EF6FDEA">
            <w:pPr>
              <w:jc w:val="left"/>
            </w:pPr>
            <w:r>
              <w:rPr>
                <w:rFonts w:ascii="Arial" w:hAnsi="Arial" w:eastAsia="Arial" w:cs="Arial"/>
                <w:b w:val="0"/>
                <w:i w:val="0"/>
                <w:color w:val="000000"/>
                <w:sz w:val="20"/>
              </w:rPr>
              <w:t>MobileNetV2</w:t>
            </w:r>
          </w:p>
        </w:tc>
        <w:tc>
          <w:tcPr>
            <w:tcW w:w="1289" w:type="dxa"/>
          </w:tcPr>
          <w:p w14:paraId="468CA4DA">
            <w:pPr>
              <w:jc w:val="center"/>
            </w:pPr>
            <w:r>
              <w:rPr>
                <w:rFonts w:ascii="Arial" w:hAnsi="Arial" w:eastAsia="Arial" w:cs="Arial"/>
                <w:b w:val="0"/>
                <w:i w:val="0"/>
                <w:color w:val="000000"/>
                <w:sz w:val="20"/>
              </w:rPr>
              <w:t>2 388 098</w:t>
            </w:r>
          </w:p>
        </w:tc>
        <w:tc>
          <w:tcPr>
            <w:tcW w:w="1289" w:type="dxa"/>
          </w:tcPr>
          <w:p w14:paraId="72E8779C">
            <w:pPr>
              <w:jc w:val="center"/>
            </w:pPr>
            <w:r>
              <w:rPr>
                <w:rFonts w:ascii="Arial" w:hAnsi="Arial" w:eastAsia="Arial" w:cs="Arial"/>
                <w:b w:val="0"/>
                <w:i w:val="0"/>
                <w:color w:val="000000"/>
                <w:sz w:val="20"/>
              </w:rPr>
              <w:t>164 226</w:t>
            </w:r>
          </w:p>
        </w:tc>
        <w:tc>
          <w:tcPr>
            <w:tcW w:w="1289" w:type="dxa"/>
          </w:tcPr>
          <w:p w14:paraId="2E0054F3">
            <w:pPr>
              <w:jc w:val="center"/>
            </w:pPr>
            <w:r>
              <w:rPr>
                <w:rFonts w:ascii="Arial" w:hAnsi="Arial" w:eastAsia="Arial" w:cs="Arial"/>
                <w:b w:val="0"/>
                <w:i w:val="0"/>
                <w:color w:val="000000"/>
                <w:sz w:val="20"/>
              </w:rPr>
              <w:t>6.88</w:t>
            </w:r>
          </w:p>
        </w:tc>
        <w:tc>
          <w:tcPr>
            <w:tcW w:w="1289" w:type="dxa"/>
          </w:tcPr>
          <w:p w14:paraId="53204555">
            <w:pPr>
              <w:jc w:val="center"/>
            </w:pPr>
            <w:r>
              <w:rPr>
                <w:rFonts w:ascii="Arial" w:hAnsi="Arial" w:eastAsia="Arial" w:cs="Arial"/>
                <w:b w:val="0"/>
                <w:i w:val="0"/>
                <w:color w:val="000000"/>
                <w:sz w:val="20"/>
              </w:rPr>
              <w:t>1.59e-4</w:t>
            </w:r>
          </w:p>
        </w:tc>
        <w:tc>
          <w:tcPr>
            <w:tcW w:w="1289" w:type="dxa"/>
          </w:tcPr>
          <w:p w14:paraId="76FD8431">
            <w:pPr>
              <w:jc w:val="center"/>
            </w:pPr>
            <w:r>
              <w:rPr>
                <w:rFonts w:ascii="Arial" w:hAnsi="Arial" w:eastAsia="Arial" w:cs="Arial"/>
                <w:b w:val="0"/>
                <w:i w:val="0"/>
                <w:color w:val="000000"/>
                <w:sz w:val="20"/>
              </w:rPr>
              <w:t>adamw</w:t>
            </w:r>
          </w:p>
        </w:tc>
        <w:tc>
          <w:tcPr>
            <w:tcW w:w="1289" w:type="dxa"/>
          </w:tcPr>
          <w:p w14:paraId="338BBCE4">
            <w:pPr>
              <w:jc w:val="center"/>
            </w:pPr>
            <w:r>
              <w:rPr>
                <w:rFonts w:ascii="Arial" w:hAnsi="Arial" w:eastAsia="Arial" w:cs="Arial"/>
                <w:b w:val="0"/>
                <w:i w:val="0"/>
                <w:color w:val="000000"/>
                <w:sz w:val="20"/>
              </w:rPr>
              <w:t>0.897</w:t>
            </w:r>
          </w:p>
        </w:tc>
      </w:tr>
    </w:tbl>
    <w:p w14:paraId="307DF607">
      <w:pPr>
        <w:spacing w:before="0" w:after="160" w:line="240" w:lineRule="auto"/>
        <w:jc w:val="both"/>
      </w:pPr>
    </w:p>
    <w:p w14:paraId="5862D47A">
      <w:pPr>
        <w:pStyle w:val="3"/>
        <w:keepNext/>
        <w:spacing w:before="240" w:after="120" w:line="276" w:lineRule="auto"/>
        <w:jc w:val="left"/>
      </w:pPr>
      <w:bookmarkStart w:id="74" w:name="_Toc1787556448"/>
      <w:r>
        <w:rPr>
          <w:rFonts w:ascii="Arial" w:hAnsi="Arial" w:eastAsia="Arial" w:cs="Arial"/>
          <w:b/>
          <w:i w:val="0"/>
          <w:color w:val="000000"/>
          <w:sz w:val="26"/>
        </w:rPr>
        <w:t>3.8 Model 5: YOLOv8n for detection and counting</w:t>
      </w:r>
      <w:bookmarkEnd w:id="74"/>
    </w:p>
    <w:p w14:paraId="1FEF7F9E">
      <w:pPr>
        <w:pStyle w:val="4"/>
        <w:keepNext/>
        <w:spacing w:before="160" w:after="80" w:line="276" w:lineRule="auto"/>
        <w:jc w:val="left"/>
      </w:pPr>
      <w:bookmarkStart w:id="75" w:name="_Toc165000006"/>
      <w:r>
        <w:rPr>
          <w:rFonts w:ascii="Arial" w:hAnsi="Arial" w:eastAsia="Arial" w:cs="Arial"/>
          <w:b/>
          <w:i w:val="0"/>
          <w:color w:val="000000"/>
          <w:sz w:val="24"/>
        </w:rPr>
        <w:t>3.8.1 YOLO family choice</w:t>
      </w:r>
      <w:bookmarkEnd w:id="75"/>
    </w:p>
    <w:p w14:paraId="38587128">
      <w:pPr>
        <w:spacing w:before="0" w:after="120" w:line="360" w:lineRule="auto"/>
        <w:jc w:val="both"/>
      </w:pPr>
      <w:r>
        <w:rPr>
          <w:rFonts w:ascii="Arial" w:hAnsi="Arial" w:eastAsia="Arial" w:cs="Arial"/>
          <w:b w:val="0"/>
          <w:i w:val="0"/>
          <w:color w:val="000000"/>
          <w:sz w:val="22"/>
        </w:rPr>
        <w:t>YOLOv8 (Jocher et al., 2023) is a single-stage detector built for real-time inference. For livestock counting on a drone, single-stage matters because the target deployment is on-device or near-edge with limited GPU. I picked the nano variant (YOLOv8n) because the larger s, m, l, and x variants would have stretched both training and inference compute past what was feasible for the Capstone. The choice is consistent with Redmon et al. (2016), who originally argued that YOLO trades a small absolute accuracy loss for an order-of-magnitude speed gain over two-stage detectors.</w:t>
      </w:r>
    </w:p>
    <w:p w14:paraId="771FDD7E">
      <w:pPr>
        <w:pStyle w:val="4"/>
        <w:keepNext/>
        <w:spacing w:before="160" w:after="80" w:line="276" w:lineRule="auto"/>
        <w:jc w:val="left"/>
      </w:pPr>
      <w:bookmarkStart w:id="76" w:name="_Toc753712565"/>
      <w:r>
        <w:rPr>
          <w:rFonts w:ascii="Arial" w:hAnsi="Arial" w:eastAsia="Arial" w:cs="Arial"/>
          <w:b/>
          <w:i w:val="0"/>
          <w:color w:val="000000"/>
          <w:sz w:val="24"/>
        </w:rPr>
        <w:t>3.8.2 Training setup</w:t>
      </w:r>
      <w:bookmarkEnd w:id="76"/>
    </w:p>
    <w:p w14:paraId="03EA84F9">
      <w:pPr>
        <w:spacing w:before="0" w:after="120" w:line="360" w:lineRule="auto"/>
        <w:jc w:val="both"/>
      </w:pPr>
      <w:r>
        <w:t>The detailed YOLOv8n training configuration — layer and parameter counts, optimiser, learning rate, batch size, image size, hardware choice and the MPS workaround — is reported in Appendix C, Section C.4.</w:t>
      </w:r>
    </w:p>
    <w:p w14:paraId="01530990">
      <w:pPr>
        <w:pStyle w:val="4"/>
        <w:keepNext/>
        <w:spacing w:before="160" w:after="80" w:line="276" w:lineRule="auto"/>
        <w:jc w:val="left"/>
      </w:pPr>
      <w:bookmarkStart w:id="77" w:name="_Toc1788529949"/>
      <w:r>
        <w:rPr>
          <w:rFonts w:ascii="Arial" w:hAnsi="Arial" w:eastAsia="Arial" w:cs="Arial"/>
          <w:b/>
          <w:i w:val="0"/>
          <w:color w:val="000000"/>
          <w:sz w:val="24"/>
        </w:rPr>
        <w:t>3.8.3 Counting protocol</w:t>
      </w:r>
      <w:bookmarkEnd w:id="77"/>
    </w:p>
    <w:p w14:paraId="1604B49E">
      <w:pPr>
        <w:spacing w:before="0" w:after="120" w:line="360" w:lineRule="auto"/>
        <w:jc w:val="both"/>
      </w:pPr>
      <w:r>
        <w:rPr>
          <w:rFonts w:ascii="Arial" w:hAnsi="Arial" w:eastAsia="Arial" w:cs="Arial"/>
          <w:b w:val="0"/>
          <w:i w:val="0"/>
          <w:color w:val="000000"/>
          <w:sz w:val="22"/>
        </w:rPr>
        <w:t>Counting is implemented as the cardinality of the predicted bounding-box list per image. I ran inference one image at a time rather than batched because batched inference triggered out-of-memory on the T4 at image size 640. Per-image inference is slower but identical in result, and the test set is small enough (1 835 images) that wall-clock cost was acceptable.</w:t>
      </w:r>
    </w:p>
    <w:p w14:paraId="0C0C81FE">
      <w:pPr>
        <w:pStyle w:val="4"/>
        <w:keepNext/>
        <w:spacing w:before="160" w:after="80" w:line="276" w:lineRule="auto"/>
        <w:jc w:val="left"/>
      </w:pPr>
      <w:bookmarkStart w:id="78" w:name="_Toc1494245784"/>
      <w:r>
        <w:rPr>
          <w:rFonts w:ascii="Arial" w:hAnsi="Arial" w:eastAsia="Arial" w:cs="Arial"/>
          <w:b/>
          <w:i w:val="0"/>
          <w:color w:val="000000"/>
          <w:sz w:val="24"/>
        </w:rPr>
        <w:t>3.8.4 Detection and counting metrics</w:t>
      </w:r>
      <w:bookmarkEnd w:id="78"/>
    </w:p>
    <w:p w14:paraId="456A2168">
      <w:pPr>
        <w:spacing w:before="0" w:after="120" w:line="360" w:lineRule="auto"/>
        <w:jc w:val="both"/>
      </w:pPr>
      <w:r>
        <w:rPr>
          <w:rFonts w:ascii="Arial" w:hAnsi="Arial" w:eastAsia="Arial" w:cs="Arial"/>
          <w:b w:val="0"/>
          <w:i w:val="0"/>
          <w:color w:val="000000"/>
          <w:sz w:val="22"/>
        </w:rPr>
        <w:t>For detection I report mean average precision at IoU 0.5 (mAP@50) and the harder mAP averaged across IoU 0.5 to 0.95 (mAP@50-95). Both follow the COCO evaluation protocol. For counting I report mean absolute error (MAE), root-mean-square error (RMSE), R squared between predicted and ground-truth counts, and the proportion of images where the predicted count exactly matched the ground truth. The exact-match metric is unusual in detection literature but useful here because livestock counting has practical thresholds where being one off is acceptable and being twenty off is not.</w:t>
      </w:r>
    </w:p>
    <w:p w14:paraId="778AE8D1">
      <w:pPr>
        <w:pStyle w:val="3"/>
        <w:keepNext/>
        <w:spacing w:before="240" w:after="120" w:line="276" w:lineRule="auto"/>
        <w:jc w:val="left"/>
      </w:pPr>
      <w:bookmarkStart w:id="79" w:name="_Toc1115123670"/>
      <w:r>
        <w:rPr>
          <w:rFonts w:ascii="Arial" w:hAnsi="Arial" w:eastAsia="Arial" w:cs="Arial"/>
          <w:b/>
          <w:i w:val="0"/>
          <w:color w:val="000000"/>
          <w:sz w:val="26"/>
        </w:rPr>
        <w:t>3.9 Evaluation framework</w:t>
      </w:r>
      <w:bookmarkEnd w:id="79"/>
    </w:p>
    <w:p w14:paraId="4E54B8BD">
      <w:pPr>
        <w:pStyle w:val="4"/>
        <w:keepNext/>
        <w:spacing w:before="160" w:after="80" w:line="276" w:lineRule="auto"/>
        <w:jc w:val="left"/>
      </w:pPr>
      <w:bookmarkStart w:id="80" w:name="_Toc793734321"/>
      <w:r>
        <w:rPr>
          <w:rFonts w:ascii="Arial" w:hAnsi="Arial" w:eastAsia="Arial" w:cs="Arial"/>
          <w:b/>
          <w:i w:val="0"/>
          <w:color w:val="000000"/>
          <w:sz w:val="24"/>
        </w:rPr>
        <w:t>3.9.1 Primary classification metrics</w:t>
      </w:r>
      <w:bookmarkEnd w:id="80"/>
    </w:p>
    <w:p w14:paraId="5A55B001">
      <w:pPr>
        <w:spacing w:before="0" w:after="120" w:line="360" w:lineRule="auto"/>
        <w:jc w:val="both"/>
      </w:pPr>
      <w:r>
        <w:rPr>
          <w:rFonts w:ascii="Arial" w:hAnsi="Arial" w:eastAsia="Arial" w:cs="Arial"/>
          <w:b w:val="0"/>
          <w:i w:val="0"/>
          <w:color w:val="000000"/>
          <w:sz w:val="22"/>
        </w:rPr>
        <w:t>I report accuracy, precision, recall, and F1 for every classifier. With class balance at 52 / 48 the dataset is not severely imbalanced, so accuracy is meaningful, but I include F1 as a safety check against any per-class drift the headline number might hide. Precision and recall are reported macro-averaged across the two classes.</w:t>
      </w:r>
    </w:p>
    <w:p w14:paraId="3ECCA792">
      <w:pPr>
        <w:pStyle w:val="4"/>
        <w:keepNext/>
        <w:spacing w:before="160" w:after="80" w:line="276" w:lineRule="auto"/>
        <w:jc w:val="left"/>
      </w:pPr>
      <w:bookmarkStart w:id="81" w:name="_Toc124317883"/>
      <w:r>
        <w:rPr>
          <w:rFonts w:ascii="Arial" w:hAnsi="Arial" w:eastAsia="Arial" w:cs="Arial"/>
          <w:b/>
          <w:i w:val="0"/>
          <w:color w:val="000000"/>
          <w:sz w:val="24"/>
        </w:rPr>
        <w:t>3.9.2 Confusion matrix as diagnostic tool</w:t>
      </w:r>
      <w:bookmarkEnd w:id="81"/>
    </w:p>
    <w:p w14:paraId="40E3A247">
      <w:pPr>
        <w:spacing w:before="0" w:after="120" w:line="360" w:lineRule="auto"/>
        <w:jc w:val="both"/>
      </w:pPr>
      <w:r>
        <w:rPr>
          <w:rFonts w:ascii="Arial" w:hAnsi="Arial" w:eastAsia="Arial" w:cs="Arial"/>
          <w:b w:val="0"/>
          <w:i w:val="0"/>
          <w:color w:val="000000"/>
          <w:sz w:val="22"/>
        </w:rPr>
        <w:t>A confusion matrix exposes which class direction the errors lean. Cattle-as-sheep and sheep-as-cattle errors have different cost profiles in a real farm context, so I report the matrices in Chapter 4 even when the headline accuracies are close.</w:t>
      </w:r>
    </w:p>
    <w:p w14:paraId="797844A4">
      <w:pPr>
        <w:pStyle w:val="4"/>
        <w:keepNext/>
        <w:spacing w:before="160" w:after="80" w:line="276" w:lineRule="auto"/>
        <w:jc w:val="left"/>
      </w:pPr>
      <w:bookmarkStart w:id="82" w:name="_Toc2056554697"/>
      <w:r>
        <w:rPr>
          <w:rFonts w:ascii="Arial" w:hAnsi="Arial" w:eastAsia="Arial" w:cs="Arial"/>
          <w:b/>
          <w:i w:val="0"/>
          <w:color w:val="000000"/>
          <w:sz w:val="24"/>
        </w:rPr>
        <w:t>3.9.3 Statistical comparison via McNemar</w:t>
      </w:r>
      <w:bookmarkEnd w:id="82"/>
    </w:p>
    <w:p w14:paraId="5646FCD4">
      <w:pPr>
        <w:spacing w:before="0" w:after="120" w:line="360" w:lineRule="auto"/>
        <w:jc w:val="both"/>
      </w:pPr>
      <w:r>
        <w:rPr>
          <w:rFonts w:ascii="Arial" w:hAnsi="Arial" w:eastAsia="Arial" w:cs="Arial"/>
          <w:b w:val="0"/>
          <w:i w:val="0"/>
          <w:color w:val="000000"/>
          <w:sz w:val="22"/>
        </w:rPr>
        <w:t>Pairwise model comparison uses McNemar's test (McNemar, 1947). McNemar is the right tool when two classifiers are evaluated on the same test set, because it conditions on the discordant pairs (cases where the two models disagree) and ignores cases where both models agree. The reported p-value answers whether the observed difference is larger than would be expected from random label noise.</w:t>
      </w:r>
    </w:p>
    <w:p w14:paraId="1796691D">
      <w:pPr>
        <w:pStyle w:val="4"/>
        <w:keepNext/>
        <w:spacing w:before="160" w:after="80" w:line="276" w:lineRule="auto"/>
        <w:jc w:val="left"/>
      </w:pPr>
      <w:bookmarkStart w:id="83" w:name="_Toc765494014"/>
      <w:r>
        <w:rPr>
          <w:rFonts w:ascii="Arial" w:hAnsi="Arial" w:eastAsia="Arial" w:cs="Arial"/>
          <w:b/>
          <w:i w:val="0"/>
          <w:color w:val="000000"/>
          <w:sz w:val="24"/>
        </w:rPr>
        <w:t>3.9.4 Subgroup analysis</w:t>
      </w:r>
      <w:bookmarkEnd w:id="83"/>
    </w:p>
    <w:p w14:paraId="3BB0D6A3">
      <w:pPr>
        <w:spacing w:before="0" w:after="120" w:line="360" w:lineRule="auto"/>
        <w:jc w:val="both"/>
      </w:pPr>
      <w:r>
        <w:rPr>
          <w:rFonts w:ascii="Arial" w:hAnsi="Arial" w:eastAsia="Arial" w:cs="Arial"/>
          <w:b w:val="0"/>
          <w:i w:val="0"/>
          <w:color w:val="000000"/>
          <w:sz w:val="22"/>
        </w:rPr>
        <w:t>I crossed each model with the two subgroup labels generated at preprocessing. The motivation is that an aggregate accuracy of 0.96 can hide a 0.92 floor under high occlusion or bright lighting. Subgroup metrics also speak to fairness in a non-human sense: a counting tool that systematically loses cattle in dense herds would mislead a farmer in exactly the situation where they most need accurate counts.</w:t>
      </w:r>
    </w:p>
    <w:p w14:paraId="3968AE7F">
      <w:pPr>
        <w:pStyle w:val="4"/>
        <w:keepNext/>
        <w:spacing w:before="160" w:after="80" w:line="276" w:lineRule="auto"/>
        <w:jc w:val="left"/>
      </w:pPr>
      <w:bookmarkStart w:id="84" w:name="_Toc83364121"/>
      <w:r>
        <w:rPr>
          <w:rFonts w:ascii="Arial" w:hAnsi="Arial" w:eastAsia="Arial" w:cs="Arial"/>
          <w:b/>
          <w:i w:val="0"/>
          <w:color w:val="000000"/>
          <w:sz w:val="24"/>
        </w:rPr>
        <w:t>3.9.5 Interpretability via Grad-CAM</w:t>
      </w:r>
      <w:bookmarkEnd w:id="84"/>
    </w:p>
    <w:p w14:paraId="05E37A6C">
      <w:pPr>
        <w:spacing w:before="0" w:after="120" w:line="360" w:lineRule="auto"/>
        <w:jc w:val="both"/>
      </w:pPr>
      <w:r>
        <w:rPr>
          <w:rFonts w:ascii="Arial" w:hAnsi="Arial" w:eastAsia="Arial" w:cs="Arial"/>
          <w:b w:val="0"/>
          <w:i w:val="0"/>
          <w:color w:val="000000"/>
          <w:sz w:val="22"/>
        </w:rPr>
        <w:t>Grad-CAM (Selvaraju et al., 2017) produces class-discriminative localisation maps by weighting activation maps by their gradient with respect to the class score. I applied Grad-CAM to all four classifiers on a small set of test crops to verify that the network was attending to the animal body rather than to background grass or sky. A network with high test accuracy but Grad-CAM heatmaps focused on the sky would be a warning that I had latched onto a spurious correlation.</w:t>
      </w:r>
    </w:p>
    <w:p w14:paraId="4AA3AD74">
      <w:pPr>
        <w:pStyle w:val="4"/>
        <w:keepNext/>
        <w:spacing w:before="160" w:after="80" w:line="276" w:lineRule="auto"/>
        <w:jc w:val="left"/>
      </w:pPr>
      <w:bookmarkStart w:id="85" w:name="_Toc941443803"/>
      <w:r>
        <w:rPr>
          <w:rFonts w:ascii="Arial" w:hAnsi="Arial" w:eastAsia="Arial" w:cs="Arial"/>
          <w:b/>
          <w:i w:val="0"/>
          <w:color w:val="000000"/>
          <w:sz w:val="24"/>
        </w:rPr>
        <w:t>3.9.6 Detection-specific evaluation</w:t>
      </w:r>
      <w:bookmarkEnd w:id="85"/>
    </w:p>
    <w:p w14:paraId="088FAF10">
      <w:pPr>
        <w:spacing w:before="0" w:after="120" w:line="360" w:lineRule="auto"/>
        <w:jc w:val="both"/>
      </w:pPr>
      <w:r>
        <w:rPr>
          <w:rFonts w:ascii="Arial" w:hAnsi="Arial" w:eastAsia="Arial" w:cs="Arial"/>
          <w:b w:val="0"/>
          <w:i w:val="0"/>
          <w:color w:val="000000"/>
          <w:sz w:val="22"/>
        </w:rPr>
        <w:t>For YOLOv8 I add per-class AP at IoU 0.5 alongside the all-class average, since cattle and sheep have very different size distributions in the data and a single number could hide one class collapsing.</w:t>
      </w:r>
    </w:p>
    <w:p w14:paraId="3714B3D3">
      <w:pPr>
        <w:pStyle w:val="3"/>
        <w:keepNext/>
        <w:spacing w:before="240" w:after="120" w:line="276" w:lineRule="auto"/>
        <w:jc w:val="left"/>
      </w:pPr>
      <w:bookmarkStart w:id="86" w:name="_Toc186485925"/>
      <w:r>
        <w:rPr>
          <w:rFonts w:ascii="Arial" w:hAnsi="Arial" w:eastAsia="Arial" w:cs="Arial"/>
          <w:b/>
          <w:i w:val="0"/>
          <w:color w:val="000000"/>
          <w:sz w:val="26"/>
        </w:rPr>
        <w:t>3.10 Reproducibility</w:t>
      </w:r>
      <w:bookmarkEnd w:id="86"/>
    </w:p>
    <w:p w14:paraId="6B845F96">
      <w:pPr>
        <w:spacing w:before="0" w:after="120" w:line="360" w:lineRule="auto"/>
        <w:jc w:val="both"/>
      </w:pPr>
      <w:r>
        <w:rPr>
          <w:rFonts w:ascii="Arial" w:hAnsi="Arial" w:eastAsia="Arial" w:cs="Arial"/>
          <w:b w:val="0"/>
          <w:i w:val="0"/>
          <w:color w:val="000000"/>
          <w:sz w:val="22"/>
        </w:rPr>
        <w:t>Every notebook fixes a random seed of 42 across NumPy, PyTorch, and the Python standard random module. The environment is captured in a requirements.txt with explicit versions of PyTorch, torchvision, ultralytics, optuna, fiftyone, and the supporting scientific stack. Notebooks are paired with .py files via jupytext so that diff-friendly text versions live alongside the .ipynb originals. Trained model weights are saved to disk after every training run so that the evaluation notebooks can re-produce reported numbers without retraining.</w:t>
      </w:r>
    </w:p>
    <w:p w14:paraId="598E92B6">
      <w:pPr>
        <w:pStyle w:val="3"/>
        <w:keepNext/>
        <w:spacing w:before="240" w:after="120" w:line="276" w:lineRule="auto"/>
        <w:jc w:val="left"/>
      </w:pPr>
      <w:bookmarkStart w:id="87" w:name="_Toc1090300502"/>
      <w:r>
        <w:rPr>
          <w:rFonts w:ascii="Arial" w:hAnsi="Arial" w:eastAsia="Arial" w:cs="Arial"/>
          <w:b/>
          <w:i w:val="0"/>
          <w:color w:val="000000"/>
          <w:sz w:val="26"/>
        </w:rPr>
        <w:t>3.11 Ethical and legal context (data and methods)</w:t>
      </w:r>
      <w:bookmarkEnd w:id="87"/>
    </w:p>
    <w:p w14:paraId="3A3B2335">
      <w:r>
        <w:t>Ethical and legal aspects of the data sources and the methodology - including dataset licences, GDPR considerations and the rationale for not seeking an institutional ethics review - are presented in Chapter 6.</w:t>
      </w:r>
    </w:p>
    <w:p w14:paraId="5348CDE1">
      <w:pPr>
        <w:pStyle w:val="3"/>
        <w:keepNext/>
        <w:spacing w:before="240" w:after="120" w:line="276" w:lineRule="auto"/>
        <w:jc w:val="left"/>
      </w:pPr>
      <w:bookmarkStart w:id="88" w:name="_Toc202577263"/>
      <w:r>
        <w:rPr>
          <w:rFonts w:ascii="Arial" w:hAnsi="Arial" w:eastAsia="Arial" w:cs="Arial"/>
          <w:b/>
          <w:i w:val="0"/>
          <w:color w:val="000000"/>
          <w:sz w:val="26"/>
        </w:rPr>
        <w:t>3.12 Methodological limitations</w:t>
      </w:r>
      <w:bookmarkEnd w:id="88"/>
    </w:p>
    <w:p w14:paraId="5D470ED6">
      <w:pPr>
        <w:spacing w:before="0" w:after="120" w:line="360" w:lineRule="auto"/>
        <w:jc w:val="both"/>
      </w:pPr>
      <w:r>
        <w:rPr>
          <w:rFonts w:ascii="Arial" w:hAnsi="Arial" w:eastAsia="Arial" w:cs="Arial"/>
          <w:b w:val="0"/>
          <w:i w:val="0"/>
          <w:color w:val="000000"/>
          <w:sz w:val="22"/>
        </w:rPr>
        <w:t>The compute budget set the ceiling on several decisions. I ran only 15 Optuna trials for the baseline and 6 each for the transfer models; a richer search would likely shift the best hyperparameters slightly and could change the headline ranking. Transfer learning is feature extraction only, with no fine-tuning phase. I trained YOLOv8n rather than the larger s, m, or l variants. Subgroup labels are auto-generated heuristics rather than human validations, so they are useful for relative comparison but not for absolute claims about how well a model handles, say, professional definitions of occlusion. Counting inference runs per-image rather than batched because of T4 memory constraints. I trained each model with a single seed; multi-seed averaging would tighten the comparison but was outside the budget.</w:t>
      </w:r>
    </w:p>
    <w:p w14:paraId="280DADE2">
      <w:pPr>
        <w:pStyle w:val="2"/>
        <w:keepNext/>
        <w:pageBreakBefore/>
        <w:spacing w:before="360" w:after="240" w:line="276" w:lineRule="auto"/>
        <w:jc w:val="left"/>
      </w:pPr>
      <w:bookmarkStart w:id="89" w:name="_Toc954478746"/>
      <w:r>
        <w:rPr>
          <w:rFonts w:ascii="Arial" w:hAnsi="Arial" w:eastAsia="Arial" w:cs="Arial"/>
          <w:b/>
          <w:i w:val="0"/>
          <w:color w:val="000000"/>
          <w:sz w:val="32"/>
        </w:rPr>
        <w:t>4. Data Analysis and Findings</w:t>
      </w:r>
      <w:bookmarkEnd w:id="89"/>
    </w:p>
    <w:p w14:paraId="62AAA5A1">
      <w:pPr>
        <w:pStyle w:val="3"/>
        <w:keepNext/>
        <w:spacing w:before="240" w:after="120" w:line="276" w:lineRule="auto"/>
        <w:jc w:val="left"/>
      </w:pPr>
      <w:bookmarkStart w:id="90" w:name="_Toc221440932"/>
      <w:r>
        <w:rPr>
          <w:rFonts w:ascii="Arial" w:hAnsi="Arial" w:eastAsia="Arial" w:cs="Arial"/>
          <w:b/>
          <w:i w:val="0"/>
          <w:color w:val="000000"/>
          <w:sz w:val="26"/>
        </w:rPr>
        <w:t>4.1 EDA findings</w:t>
      </w:r>
      <w:bookmarkEnd w:id="90"/>
    </w:p>
    <w:p w14:paraId="1D055796">
      <w:pPr>
        <w:spacing w:before="0" w:after="120" w:line="360" w:lineRule="auto"/>
        <w:jc w:val="both"/>
      </w:pPr>
      <w:r>
        <w:rPr>
          <w:rFonts w:ascii="Arial" w:hAnsi="Arial" w:eastAsia="Arial" w:cs="Arial"/>
          <w:b w:val="0"/>
          <w:i w:val="0"/>
          <w:color w:val="000000"/>
          <w:sz w:val="22"/>
        </w:rPr>
        <w:t>Pixel statistics confirmed the visual impression that WAID is brighter and more uniform than COCO. The mean intensity of WAID at 124.99 is roughly 11 grey levels above COCO's 113.57, and the standard deviation differs even more strongly: 35.62 versus 59.64. WAID skews slightly negative in intensity (-0.30) and is leptokurtic (kurtosis 2.04), which lines up with drone imagery captured under broadly similar overcast conditions. COCO skews mildly positive (0.28) and is platykurtic (-0.44), consistent with a wider range of ground-level lighting situations. Shapiro-Wilk on per-image mean intensity does not reject normality for either dataset (p=0.0685 for WAID, p=0.0675 for COCO).</w:t>
      </w:r>
    </w:p>
    <w:p w14:paraId="152A8437">
      <w:pPr>
        <w:keepNext/>
        <w:spacing w:before="160" w:after="40" w:line="240" w:lineRule="auto"/>
        <w:jc w:val="left"/>
      </w:pPr>
      <w:r>
        <w:rPr>
          <w:b w:val="0"/>
          <w:i w:val="0"/>
          <w:sz w:val="18"/>
        </w:rPr>
        <w:t>Table 3: Pixel-intensity statistics and Shapiro-Wilk normality test.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504"/>
        <w:gridCol w:w="1504"/>
        <w:gridCol w:w="1504"/>
        <w:gridCol w:w="1504"/>
        <w:gridCol w:w="1504"/>
        <w:gridCol w:w="1504"/>
      </w:tblGrid>
      <w:tr w14:paraId="44263831">
        <w:trPr>
          <w:jc w:val="center"/>
        </w:trPr>
        <w:tc>
          <w:tcPr>
            <w:tcW w:w="1504" w:type="dxa"/>
          </w:tcPr>
          <w:p w14:paraId="0CFC1238">
            <w:pPr>
              <w:jc w:val="center"/>
            </w:pPr>
            <w:r>
              <w:rPr>
                <w:rFonts w:ascii="Arial" w:hAnsi="Arial" w:eastAsia="Arial" w:cs="Arial"/>
                <w:b/>
                <w:i w:val="0"/>
                <w:color w:val="000000"/>
                <w:sz w:val="20"/>
              </w:rPr>
              <w:t>Dataset</w:t>
            </w:r>
          </w:p>
        </w:tc>
        <w:tc>
          <w:tcPr>
            <w:tcW w:w="1504" w:type="dxa"/>
          </w:tcPr>
          <w:p w14:paraId="32FA19B4">
            <w:pPr>
              <w:jc w:val="center"/>
            </w:pPr>
            <w:r>
              <w:rPr>
                <w:rFonts w:ascii="Arial" w:hAnsi="Arial" w:eastAsia="Arial" w:cs="Arial"/>
                <w:b/>
                <w:i w:val="0"/>
                <w:color w:val="000000"/>
                <w:sz w:val="20"/>
              </w:rPr>
              <w:t>Mean</w:t>
            </w:r>
          </w:p>
        </w:tc>
        <w:tc>
          <w:tcPr>
            <w:tcW w:w="1504" w:type="dxa"/>
          </w:tcPr>
          <w:p w14:paraId="6DA3EBD0">
            <w:pPr>
              <w:jc w:val="center"/>
            </w:pPr>
            <w:r>
              <w:rPr>
                <w:rFonts w:ascii="Arial" w:hAnsi="Arial" w:eastAsia="Arial" w:cs="Arial"/>
                <w:b/>
                <w:i w:val="0"/>
                <w:color w:val="000000"/>
                <w:sz w:val="20"/>
              </w:rPr>
              <w:t>Std</w:t>
            </w:r>
          </w:p>
        </w:tc>
        <w:tc>
          <w:tcPr>
            <w:tcW w:w="1504" w:type="dxa"/>
          </w:tcPr>
          <w:p w14:paraId="7C48AECA">
            <w:pPr>
              <w:jc w:val="center"/>
            </w:pPr>
            <w:r>
              <w:rPr>
                <w:rFonts w:ascii="Arial" w:hAnsi="Arial" w:eastAsia="Arial" w:cs="Arial"/>
                <w:b/>
                <w:i w:val="0"/>
                <w:color w:val="000000"/>
                <w:sz w:val="20"/>
              </w:rPr>
              <w:t>Skew</w:t>
            </w:r>
          </w:p>
        </w:tc>
        <w:tc>
          <w:tcPr>
            <w:tcW w:w="1504" w:type="dxa"/>
          </w:tcPr>
          <w:p w14:paraId="414185DC">
            <w:pPr>
              <w:jc w:val="center"/>
            </w:pPr>
            <w:r>
              <w:rPr>
                <w:rFonts w:ascii="Arial" w:hAnsi="Arial" w:eastAsia="Arial" w:cs="Arial"/>
                <w:b/>
                <w:i w:val="0"/>
                <w:color w:val="000000"/>
                <w:sz w:val="20"/>
              </w:rPr>
              <w:t>Kurtosis</w:t>
            </w:r>
          </w:p>
        </w:tc>
        <w:tc>
          <w:tcPr>
            <w:tcW w:w="1504" w:type="dxa"/>
          </w:tcPr>
          <w:p w14:paraId="623514B5">
            <w:pPr>
              <w:jc w:val="center"/>
            </w:pPr>
            <w:r>
              <w:rPr>
                <w:rFonts w:ascii="Arial" w:hAnsi="Arial" w:eastAsia="Arial" w:cs="Arial"/>
                <w:b/>
                <w:i w:val="0"/>
                <w:color w:val="000000"/>
                <w:sz w:val="20"/>
              </w:rPr>
              <w:t>Shapiro p</w:t>
            </w:r>
          </w:p>
        </w:tc>
      </w:tr>
      <w:tr w14:paraId="3E7920E5">
        <w:trPr>
          <w:jc w:val="center"/>
        </w:trPr>
        <w:tc>
          <w:tcPr>
            <w:tcW w:w="1504" w:type="dxa"/>
          </w:tcPr>
          <w:p w14:paraId="7E78C995">
            <w:pPr>
              <w:jc w:val="left"/>
            </w:pPr>
            <w:r>
              <w:rPr>
                <w:rFonts w:ascii="Arial" w:hAnsi="Arial" w:eastAsia="Arial" w:cs="Arial"/>
                <w:b w:val="0"/>
                <w:i w:val="0"/>
                <w:color w:val="000000"/>
                <w:sz w:val="20"/>
              </w:rPr>
              <w:t>WAID</w:t>
            </w:r>
          </w:p>
        </w:tc>
        <w:tc>
          <w:tcPr>
            <w:tcW w:w="1504" w:type="dxa"/>
          </w:tcPr>
          <w:p w14:paraId="6DB4DA56">
            <w:pPr>
              <w:jc w:val="center"/>
            </w:pPr>
            <w:r>
              <w:rPr>
                <w:rFonts w:ascii="Arial" w:hAnsi="Arial" w:eastAsia="Arial" w:cs="Arial"/>
                <w:b w:val="0"/>
                <w:i w:val="0"/>
                <w:color w:val="000000"/>
                <w:sz w:val="20"/>
              </w:rPr>
              <w:t>124.99</w:t>
            </w:r>
          </w:p>
        </w:tc>
        <w:tc>
          <w:tcPr>
            <w:tcW w:w="1504" w:type="dxa"/>
          </w:tcPr>
          <w:p w14:paraId="1608577D">
            <w:pPr>
              <w:jc w:val="center"/>
            </w:pPr>
            <w:r>
              <w:rPr>
                <w:rFonts w:ascii="Arial" w:hAnsi="Arial" w:eastAsia="Arial" w:cs="Arial"/>
                <w:b w:val="0"/>
                <w:i w:val="0"/>
                <w:color w:val="000000"/>
                <w:sz w:val="20"/>
              </w:rPr>
              <w:t>35.62</w:t>
            </w:r>
          </w:p>
        </w:tc>
        <w:tc>
          <w:tcPr>
            <w:tcW w:w="1504" w:type="dxa"/>
          </w:tcPr>
          <w:p w14:paraId="2A298B0A">
            <w:pPr>
              <w:jc w:val="center"/>
            </w:pPr>
            <w:r>
              <w:rPr>
                <w:rFonts w:ascii="Arial" w:hAnsi="Arial" w:eastAsia="Arial" w:cs="Arial"/>
                <w:b w:val="0"/>
                <w:i w:val="0"/>
                <w:color w:val="000000"/>
                <w:sz w:val="20"/>
              </w:rPr>
              <w:t>-0.30</w:t>
            </w:r>
          </w:p>
        </w:tc>
        <w:tc>
          <w:tcPr>
            <w:tcW w:w="1504" w:type="dxa"/>
          </w:tcPr>
          <w:p w14:paraId="31487B56">
            <w:pPr>
              <w:jc w:val="center"/>
            </w:pPr>
            <w:r>
              <w:rPr>
                <w:rFonts w:ascii="Arial" w:hAnsi="Arial" w:eastAsia="Arial" w:cs="Arial"/>
                <w:b w:val="0"/>
                <w:i w:val="0"/>
                <w:color w:val="000000"/>
                <w:sz w:val="20"/>
              </w:rPr>
              <w:t>2.04</w:t>
            </w:r>
          </w:p>
        </w:tc>
        <w:tc>
          <w:tcPr>
            <w:tcW w:w="1504" w:type="dxa"/>
          </w:tcPr>
          <w:p w14:paraId="176CB767">
            <w:pPr>
              <w:jc w:val="center"/>
            </w:pPr>
            <w:r>
              <w:rPr>
                <w:rFonts w:ascii="Arial" w:hAnsi="Arial" w:eastAsia="Arial" w:cs="Arial"/>
                <w:b w:val="0"/>
                <w:i w:val="0"/>
                <w:color w:val="000000"/>
                <w:sz w:val="20"/>
              </w:rPr>
              <w:t>0.0685</w:t>
            </w:r>
          </w:p>
        </w:tc>
      </w:tr>
      <w:tr w14:paraId="4FC131D2">
        <w:trPr>
          <w:jc w:val="center"/>
        </w:trPr>
        <w:tc>
          <w:tcPr>
            <w:tcW w:w="1504" w:type="dxa"/>
          </w:tcPr>
          <w:p w14:paraId="51E9BD74">
            <w:pPr>
              <w:jc w:val="left"/>
            </w:pPr>
            <w:r>
              <w:rPr>
                <w:rFonts w:ascii="Arial" w:hAnsi="Arial" w:eastAsia="Arial" w:cs="Arial"/>
                <w:b w:val="0"/>
                <w:i w:val="0"/>
                <w:color w:val="000000"/>
                <w:sz w:val="20"/>
              </w:rPr>
              <w:t>COCO</w:t>
            </w:r>
          </w:p>
        </w:tc>
        <w:tc>
          <w:tcPr>
            <w:tcW w:w="1504" w:type="dxa"/>
          </w:tcPr>
          <w:p w14:paraId="10EE466D">
            <w:pPr>
              <w:jc w:val="center"/>
            </w:pPr>
            <w:r>
              <w:rPr>
                <w:rFonts w:ascii="Arial" w:hAnsi="Arial" w:eastAsia="Arial" w:cs="Arial"/>
                <w:b w:val="0"/>
                <w:i w:val="0"/>
                <w:color w:val="000000"/>
                <w:sz w:val="20"/>
              </w:rPr>
              <w:t>113.57</w:t>
            </w:r>
          </w:p>
        </w:tc>
        <w:tc>
          <w:tcPr>
            <w:tcW w:w="1504" w:type="dxa"/>
          </w:tcPr>
          <w:p w14:paraId="02092B22">
            <w:pPr>
              <w:jc w:val="center"/>
            </w:pPr>
            <w:r>
              <w:rPr>
                <w:rFonts w:ascii="Arial" w:hAnsi="Arial" w:eastAsia="Arial" w:cs="Arial"/>
                <w:b w:val="0"/>
                <w:i w:val="0"/>
                <w:color w:val="000000"/>
                <w:sz w:val="20"/>
              </w:rPr>
              <w:t>59.64</w:t>
            </w:r>
          </w:p>
        </w:tc>
        <w:tc>
          <w:tcPr>
            <w:tcW w:w="1504" w:type="dxa"/>
          </w:tcPr>
          <w:p w14:paraId="0D500A15">
            <w:pPr>
              <w:jc w:val="center"/>
            </w:pPr>
            <w:r>
              <w:rPr>
                <w:rFonts w:ascii="Arial" w:hAnsi="Arial" w:eastAsia="Arial" w:cs="Arial"/>
                <w:b w:val="0"/>
                <w:i w:val="0"/>
                <w:color w:val="000000"/>
                <w:sz w:val="20"/>
              </w:rPr>
              <w:t>0.28</w:t>
            </w:r>
          </w:p>
        </w:tc>
        <w:tc>
          <w:tcPr>
            <w:tcW w:w="1504" w:type="dxa"/>
          </w:tcPr>
          <w:p w14:paraId="2102189E">
            <w:pPr>
              <w:jc w:val="center"/>
            </w:pPr>
            <w:r>
              <w:rPr>
                <w:rFonts w:ascii="Arial" w:hAnsi="Arial" w:eastAsia="Arial" w:cs="Arial"/>
                <w:b w:val="0"/>
                <w:i w:val="0"/>
                <w:color w:val="000000"/>
                <w:sz w:val="20"/>
              </w:rPr>
              <w:t>-0.44</w:t>
            </w:r>
          </w:p>
        </w:tc>
        <w:tc>
          <w:tcPr>
            <w:tcW w:w="1504" w:type="dxa"/>
          </w:tcPr>
          <w:p w14:paraId="424072AC">
            <w:pPr>
              <w:jc w:val="center"/>
            </w:pPr>
            <w:r>
              <w:rPr>
                <w:rFonts w:ascii="Arial" w:hAnsi="Arial" w:eastAsia="Arial" w:cs="Arial"/>
                <w:b w:val="0"/>
                <w:i w:val="0"/>
                <w:color w:val="000000"/>
                <w:sz w:val="20"/>
              </w:rPr>
              <w:t>0.0675</w:t>
            </w:r>
          </w:p>
        </w:tc>
      </w:tr>
    </w:tbl>
    <w:p w14:paraId="3FBEF8D3">
      <w:pPr>
        <w:spacing w:before="0" w:after="160" w:line="240" w:lineRule="auto"/>
        <w:jc w:val="both"/>
      </w:pPr>
    </w:p>
    <w:p w14:paraId="56F55052">
      <w:pPr>
        <w:spacing w:before="0" w:after="120" w:line="360" w:lineRule="auto"/>
        <w:jc w:val="both"/>
      </w:pPr>
      <w:r>
        <w:rPr>
          <w:rFonts w:ascii="Arial" w:hAnsi="Arial" w:eastAsia="Arial" w:cs="Arial"/>
          <w:b w:val="0"/>
          <w:i w:val="0"/>
          <w:color w:val="000000"/>
          <w:sz w:val="22"/>
        </w:rPr>
        <w:t>The IQR outlier counts confirm that neither dataset has serious data-quality issues. A handful of frames are unusually bright or dark, but no images are corrupted, and the distributions are smooth enough that I retained every image. The bounding-box geometry result is the most consequential: WAID boxes occupy 0.43 percent of the image area on average, against COCO's 5.94 percent. This 14x ratio drove every downstream input-resolution choice.</w:t>
      </w:r>
    </w:p>
    <w:p w14:paraId="52EF1706">
      <w:pPr>
        <w:pStyle w:val="3"/>
        <w:keepNext/>
        <w:spacing w:before="240" w:after="120" w:line="276" w:lineRule="auto"/>
        <w:jc w:val="left"/>
      </w:pPr>
      <w:bookmarkStart w:id="91" w:name="_Toc168583873"/>
      <w:r>
        <w:rPr>
          <w:rFonts w:ascii="Arial" w:hAnsi="Arial" w:eastAsia="Arial" w:cs="Arial"/>
          <w:b/>
          <w:i w:val="0"/>
          <w:color w:val="000000"/>
          <w:sz w:val="26"/>
        </w:rPr>
        <w:t>4.2 Final dataset composition</w:t>
      </w:r>
      <w:bookmarkEnd w:id="91"/>
    </w:p>
    <w:p w14:paraId="75096799">
      <w:pPr>
        <w:spacing w:before="0" w:after="120" w:line="360" w:lineRule="auto"/>
        <w:jc w:val="both"/>
      </w:pPr>
      <w:r>
        <w:rPr>
          <w:rFonts w:ascii="Arial" w:hAnsi="Arial" w:eastAsia="Arial" w:cs="Arial"/>
          <w:b w:val="0"/>
          <w:i w:val="0"/>
          <w:color w:val="000000"/>
          <w:sz w:val="22"/>
        </w:rPr>
        <w:t>After class filtering and the 70/15/15 stratified split, the image-level counts came out as in Table 4. The same 70/15/15 split, applied at the crop level after extracting up to five crops per image, yielded the counts in Table 5.</w:t>
      </w:r>
    </w:p>
    <w:p w14:paraId="3CEC8683">
      <w:pPr>
        <w:keepNext/>
        <w:spacing w:before="160" w:after="40" w:line="240" w:lineRule="auto"/>
        <w:jc w:val="left"/>
      </w:pPr>
      <w:r>
        <w:rPr>
          <w:b w:val="0"/>
          <w:i w:val="0"/>
          <w:sz w:val="18"/>
        </w:rPr>
        <w:t>Table 4: Image-level dataset split.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06CD6459">
        <w:trPr>
          <w:jc w:val="center"/>
        </w:trPr>
        <w:tc>
          <w:tcPr>
            <w:tcW w:w="1805" w:type="dxa"/>
          </w:tcPr>
          <w:p w14:paraId="469DA53D">
            <w:pPr>
              <w:jc w:val="center"/>
            </w:pPr>
            <w:r>
              <w:rPr>
                <w:rFonts w:ascii="Arial" w:hAnsi="Arial" w:eastAsia="Arial" w:cs="Arial"/>
                <w:b/>
                <w:i w:val="0"/>
                <w:color w:val="000000"/>
                <w:sz w:val="20"/>
              </w:rPr>
              <w:t>Split</w:t>
            </w:r>
          </w:p>
        </w:tc>
        <w:tc>
          <w:tcPr>
            <w:tcW w:w="1805" w:type="dxa"/>
          </w:tcPr>
          <w:p w14:paraId="29EE7859">
            <w:pPr>
              <w:jc w:val="center"/>
            </w:pPr>
            <w:r>
              <w:rPr>
                <w:rFonts w:ascii="Arial" w:hAnsi="Arial" w:eastAsia="Arial" w:cs="Arial"/>
                <w:b/>
                <w:i w:val="0"/>
                <w:color w:val="000000"/>
                <w:sz w:val="20"/>
              </w:rPr>
              <w:t>Total</w:t>
            </w:r>
          </w:p>
        </w:tc>
        <w:tc>
          <w:tcPr>
            <w:tcW w:w="1805" w:type="dxa"/>
          </w:tcPr>
          <w:p w14:paraId="028AB254">
            <w:pPr>
              <w:jc w:val="center"/>
            </w:pPr>
            <w:r>
              <w:rPr>
                <w:rFonts w:ascii="Arial" w:hAnsi="Arial" w:eastAsia="Arial" w:cs="Arial"/>
                <w:b/>
                <w:i w:val="0"/>
                <w:color w:val="000000"/>
                <w:sz w:val="20"/>
              </w:rPr>
              <w:t>Cattle</w:t>
            </w:r>
          </w:p>
        </w:tc>
        <w:tc>
          <w:tcPr>
            <w:tcW w:w="1805" w:type="dxa"/>
          </w:tcPr>
          <w:p w14:paraId="7D7C0117">
            <w:pPr>
              <w:jc w:val="center"/>
            </w:pPr>
            <w:r>
              <w:rPr>
                <w:rFonts w:ascii="Arial" w:hAnsi="Arial" w:eastAsia="Arial" w:cs="Arial"/>
                <w:b/>
                <w:i w:val="0"/>
                <w:color w:val="000000"/>
                <w:sz w:val="20"/>
              </w:rPr>
              <w:t>Sheep</w:t>
            </w:r>
          </w:p>
        </w:tc>
        <w:tc>
          <w:tcPr>
            <w:tcW w:w="1805" w:type="dxa"/>
          </w:tcPr>
          <w:p w14:paraId="5B224D55">
            <w:pPr>
              <w:jc w:val="center"/>
            </w:pPr>
            <w:r>
              <w:rPr>
                <w:rFonts w:ascii="Arial" w:hAnsi="Arial" w:eastAsia="Arial" w:cs="Arial"/>
                <w:b/>
                <w:i w:val="0"/>
                <w:color w:val="000000"/>
                <w:sz w:val="20"/>
              </w:rPr>
              <w:t>%cattle</w:t>
            </w:r>
          </w:p>
        </w:tc>
      </w:tr>
      <w:tr w14:paraId="257EBF18">
        <w:trPr>
          <w:jc w:val="center"/>
        </w:trPr>
        <w:tc>
          <w:tcPr>
            <w:tcW w:w="1805" w:type="dxa"/>
          </w:tcPr>
          <w:p w14:paraId="41298518">
            <w:pPr>
              <w:jc w:val="left"/>
            </w:pPr>
            <w:r>
              <w:rPr>
                <w:rFonts w:ascii="Arial" w:hAnsi="Arial" w:eastAsia="Arial" w:cs="Arial"/>
                <w:b w:val="0"/>
                <w:i w:val="0"/>
                <w:color w:val="000000"/>
                <w:sz w:val="20"/>
              </w:rPr>
              <w:t>Train</w:t>
            </w:r>
          </w:p>
        </w:tc>
        <w:tc>
          <w:tcPr>
            <w:tcW w:w="1805" w:type="dxa"/>
          </w:tcPr>
          <w:p w14:paraId="5CE1EF9C">
            <w:pPr>
              <w:jc w:val="center"/>
            </w:pPr>
            <w:r>
              <w:rPr>
                <w:rFonts w:ascii="Arial" w:hAnsi="Arial" w:eastAsia="Arial" w:cs="Arial"/>
                <w:b w:val="0"/>
                <w:i w:val="0"/>
                <w:color w:val="000000"/>
                <w:sz w:val="20"/>
              </w:rPr>
              <w:t>8562</w:t>
            </w:r>
          </w:p>
        </w:tc>
        <w:tc>
          <w:tcPr>
            <w:tcW w:w="1805" w:type="dxa"/>
          </w:tcPr>
          <w:p w14:paraId="2F17F075">
            <w:pPr>
              <w:jc w:val="center"/>
            </w:pPr>
            <w:r>
              <w:rPr>
                <w:rFonts w:ascii="Arial" w:hAnsi="Arial" w:eastAsia="Arial" w:cs="Arial"/>
                <w:b w:val="0"/>
                <w:i w:val="0"/>
                <w:color w:val="000000"/>
                <w:sz w:val="20"/>
              </w:rPr>
              <w:t>4583</w:t>
            </w:r>
          </w:p>
        </w:tc>
        <w:tc>
          <w:tcPr>
            <w:tcW w:w="1805" w:type="dxa"/>
          </w:tcPr>
          <w:p w14:paraId="1D088B96">
            <w:pPr>
              <w:jc w:val="center"/>
            </w:pPr>
            <w:r>
              <w:rPr>
                <w:rFonts w:ascii="Arial" w:hAnsi="Arial" w:eastAsia="Arial" w:cs="Arial"/>
                <w:b w:val="0"/>
                <w:i w:val="0"/>
                <w:color w:val="000000"/>
                <w:sz w:val="20"/>
              </w:rPr>
              <w:t>3979</w:t>
            </w:r>
          </w:p>
        </w:tc>
        <w:tc>
          <w:tcPr>
            <w:tcW w:w="1805" w:type="dxa"/>
          </w:tcPr>
          <w:p w14:paraId="225BFB39">
            <w:pPr>
              <w:jc w:val="center"/>
            </w:pPr>
            <w:r>
              <w:rPr>
                <w:rFonts w:ascii="Arial" w:hAnsi="Arial" w:eastAsia="Arial" w:cs="Arial"/>
                <w:b w:val="0"/>
                <w:i w:val="0"/>
                <w:color w:val="000000"/>
                <w:sz w:val="20"/>
              </w:rPr>
              <w:t>53.5</w:t>
            </w:r>
          </w:p>
        </w:tc>
      </w:tr>
      <w:tr w14:paraId="78D3A57E">
        <w:trPr>
          <w:jc w:val="center"/>
        </w:trPr>
        <w:tc>
          <w:tcPr>
            <w:tcW w:w="1805" w:type="dxa"/>
          </w:tcPr>
          <w:p w14:paraId="3B058170">
            <w:pPr>
              <w:jc w:val="left"/>
            </w:pPr>
            <w:r>
              <w:rPr>
                <w:rFonts w:ascii="Arial" w:hAnsi="Arial" w:eastAsia="Arial" w:cs="Arial"/>
                <w:b w:val="0"/>
                <w:i w:val="0"/>
                <w:color w:val="000000"/>
                <w:sz w:val="20"/>
              </w:rPr>
              <w:t>Validation</w:t>
            </w:r>
          </w:p>
        </w:tc>
        <w:tc>
          <w:tcPr>
            <w:tcW w:w="1805" w:type="dxa"/>
          </w:tcPr>
          <w:p w14:paraId="305A5892">
            <w:pPr>
              <w:jc w:val="center"/>
            </w:pPr>
            <w:r>
              <w:rPr>
                <w:rFonts w:ascii="Arial" w:hAnsi="Arial" w:eastAsia="Arial" w:cs="Arial"/>
                <w:b w:val="0"/>
                <w:i w:val="0"/>
                <w:color w:val="000000"/>
                <w:sz w:val="20"/>
              </w:rPr>
              <w:t>1835</w:t>
            </w:r>
          </w:p>
        </w:tc>
        <w:tc>
          <w:tcPr>
            <w:tcW w:w="1805" w:type="dxa"/>
          </w:tcPr>
          <w:p w14:paraId="48EB2AF6">
            <w:pPr>
              <w:jc w:val="center"/>
            </w:pPr>
            <w:r>
              <w:rPr>
                <w:rFonts w:ascii="Arial" w:hAnsi="Arial" w:eastAsia="Arial" w:cs="Arial"/>
                <w:b w:val="0"/>
                <w:i w:val="0"/>
                <w:color w:val="000000"/>
                <w:sz w:val="20"/>
              </w:rPr>
              <w:t>982</w:t>
            </w:r>
          </w:p>
        </w:tc>
        <w:tc>
          <w:tcPr>
            <w:tcW w:w="1805" w:type="dxa"/>
          </w:tcPr>
          <w:p w14:paraId="18A5617B">
            <w:pPr>
              <w:jc w:val="center"/>
            </w:pPr>
            <w:r>
              <w:rPr>
                <w:rFonts w:ascii="Arial" w:hAnsi="Arial" w:eastAsia="Arial" w:cs="Arial"/>
                <w:b w:val="0"/>
                <w:i w:val="0"/>
                <w:color w:val="000000"/>
                <w:sz w:val="20"/>
              </w:rPr>
              <w:t>853</w:t>
            </w:r>
          </w:p>
        </w:tc>
        <w:tc>
          <w:tcPr>
            <w:tcW w:w="1805" w:type="dxa"/>
          </w:tcPr>
          <w:p w14:paraId="702588CE">
            <w:pPr>
              <w:jc w:val="center"/>
            </w:pPr>
            <w:r>
              <w:rPr>
                <w:rFonts w:ascii="Arial" w:hAnsi="Arial" w:eastAsia="Arial" w:cs="Arial"/>
                <w:b w:val="0"/>
                <w:i w:val="0"/>
                <w:color w:val="000000"/>
                <w:sz w:val="20"/>
              </w:rPr>
              <w:t>53.5</w:t>
            </w:r>
          </w:p>
        </w:tc>
      </w:tr>
      <w:tr w14:paraId="70747E48">
        <w:trPr>
          <w:jc w:val="center"/>
        </w:trPr>
        <w:tc>
          <w:tcPr>
            <w:tcW w:w="1805" w:type="dxa"/>
          </w:tcPr>
          <w:p w14:paraId="37B38504">
            <w:pPr>
              <w:jc w:val="left"/>
            </w:pPr>
            <w:r>
              <w:rPr>
                <w:rFonts w:ascii="Arial" w:hAnsi="Arial" w:eastAsia="Arial" w:cs="Arial"/>
                <w:b w:val="0"/>
                <w:i w:val="0"/>
                <w:color w:val="000000"/>
                <w:sz w:val="20"/>
              </w:rPr>
              <w:t>Test</w:t>
            </w:r>
          </w:p>
        </w:tc>
        <w:tc>
          <w:tcPr>
            <w:tcW w:w="1805" w:type="dxa"/>
          </w:tcPr>
          <w:p w14:paraId="08B8572B">
            <w:pPr>
              <w:jc w:val="center"/>
            </w:pPr>
            <w:r>
              <w:rPr>
                <w:rFonts w:ascii="Arial" w:hAnsi="Arial" w:eastAsia="Arial" w:cs="Arial"/>
                <w:b w:val="0"/>
                <w:i w:val="0"/>
                <w:color w:val="000000"/>
                <w:sz w:val="20"/>
              </w:rPr>
              <w:t>1835</w:t>
            </w:r>
          </w:p>
        </w:tc>
        <w:tc>
          <w:tcPr>
            <w:tcW w:w="1805" w:type="dxa"/>
          </w:tcPr>
          <w:p w14:paraId="1A427B25">
            <w:pPr>
              <w:jc w:val="center"/>
            </w:pPr>
            <w:r>
              <w:rPr>
                <w:rFonts w:ascii="Arial" w:hAnsi="Arial" w:eastAsia="Arial" w:cs="Arial"/>
                <w:b w:val="0"/>
                <w:i w:val="0"/>
                <w:color w:val="000000"/>
                <w:sz w:val="20"/>
              </w:rPr>
              <w:t>983</w:t>
            </w:r>
          </w:p>
        </w:tc>
        <w:tc>
          <w:tcPr>
            <w:tcW w:w="1805" w:type="dxa"/>
          </w:tcPr>
          <w:p w14:paraId="737B5AE7">
            <w:pPr>
              <w:jc w:val="center"/>
            </w:pPr>
            <w:r>
              <w:rPr>
                <w:rFonts w:ascii="Arial" w:hAnsi="Arial" w:eastAsia="Arial" w:cs="Arial"/>
                <w:b w:val="0"/>
                <w:i w:val="0"/>
                <w:color w:val="000000"/>
                <w:sz w:val="20"/>
              </w:rPr>
              <w:t>852</w:t>
            </w:r>
          </w:p>
        </w:tc>
        <w:tc>
          <w:tcPr>
            <w:tcW w:w="1805" w:type="dxa"/>
          </w:tcPr>
          <w:p w14:paraId="6386CCDA">
            <w:pPr>
              <w:jc w:val="center"/>
            </w:pPr>
            <w:r>
              <w:rPr>
                <w:rFonts w:ascii="Arial" w:hAnsi="Arial" w:eastAsia="Arial" w:cs="Arial"/>
                <w:b w:val="0"/>
                <w:i w:val="0"/>
                <w:color w:val="000000"/>
                <w:sz w:val="20"/>
              </w:rPr>
              <w:t>53.6</w:t>
            </w:r>
          </w:p>
        </w:tc>
      </w:tr>
    </w:tbl>
    <w:p w14:paraId="6D1318CF">
      <w:pPr>
        <w:spacing w:before="0" w:after="160" w:line="240" w:lineRule="auto"/>
        <w:jc w:val="both"/>
      </w:pPr>
    </w:p>
    <w:p w14:paraId="7D048BD2">
      <w:pPr>
        <w:keepNext/>
        <w:spacing w:before="160" w:after="40" w:line="240" w:lineRule="auto"/>
        <w:jc w:val="left"/>
      </w:pPr>
      <w:r>
        <w:rPr>
          <w:b w:val="0"/>
          <w:i w:val="0"/>
          <w:sz w:val="18"/>
        </w:rPr>
        <w:t>Table 5: Crop-level dataset split.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43BE4D46">
        <w:trPr>
          <w:jc w:val="center"/>
        </w:trPr>
        <w:tc>
          <w:tcPr>
            <w:tcW w:w="1805" w:type="dxa"/>
          </w:tcPr>
          <w:p w14:paraId="322F614C">
            <w:pPr>
              <w:jc w:val="center"/>
            </w:pPr>
            <w:r>
              <w:rPr>
                <w:rFonts w:ascii="Arial" w:hAnsi="Arial" w:eastAsia="Arial" w:cs="Arial"/>
                <w:b/>
                <w:i w:val="0"/>
                <w:color w:val="000000"/>
                <w:sz w:val="20"/>
              </w:rPr>
              <w:t>Split</w:t>
            </w:r>
          </w:p>
        </w:tc>
        <w:tc>
          <w:tcPr>
            <w:tcW w:w="1805" w:type="dxa"/>
          </w:tcPr>
          <w:p w14:paraId="2C83968D">
            <w:pPr>
              <w:jc w:val="center"/>
            </w:pPr>
            <w:r>
              <w:rPr>
                <w:rFonts w:ascii="Arial" w:hAnsi="Arial" w:eastAsia="Arial" w:cs="Arial"/>
                <w:b/>
                <w:i w:val="0"/>
                <w:color w:val="000000"/>
                <w:sz w:val="20"/>
              </w:rPr>
              <w:t>Total crops</w:t>
            </w:r>
          </w:p>
        </w:tc>
        <w:tc>
          <w:tcPr>
            <w:tcW w:w="1805" w:type="dxa"/>
          </w:tcPr>
          <w:p w14:paraId="0D3C722F">
            <w:pPr>
              <w:jc w:val="center"/>
            </w:pPr>
            <w:r>
              <w:rPr>
                <w:rFonts w:ascii="Arial" w:hAnsi="Arial" w:eastAsia="Arial" w:cs="Arial"/>
                <w:b/>
                <w:i w:val="0"/>
                <w:color w:val="000000"/>
                <w:sz w:val="20"/>
              </w:rPr>
              <w:t>Cattle crops</w:t>
            </w:r>
          </w:p>
        </w:tc>
        <w:tc>
          <w:tcPr>
            <w:tcW w:w="1805" w:type="dxa"/>
          </w:tcPr>
          <w:p w14:paraId="64790671">
            <w:pPr>
              <w:jc w:val="center"/>
            </w:pPr>
            <w:r>
              <w:rPr>
                <w:rFonts w:ascii="Arial" w:hAnsi="Arial" w:eastAsia="Arial" w:cs="Arial"/>
                <w:b/>
                <w:i w:val="0"/>
                <w:color w:val="000000"/>
                <w:sz w:val="20"/>
              </w:rPr>
              <w:t>Sheep crops</w:t>
            </w:r>
          </w:p>
        </w:tc>
        <w:tc>
          <w:tcPr>
            <w:tcW w:w="1805" w:type="dxa"/>
          </w:tcPr>
          <w:p w14:paraId="467D2975">
            <w:pPr>
              <w:jc w:val="center"/>
            </w:pPr>
            <w:r>
              <w:rPr>
                <w:rFonts w:ascii="Arial" w:hAnsi="Arial" w:eastAsia="Arial" w:cs="Arial"/>
                <w:b/>
                <w:i w:val="0"/>
                <w:color w:val="000000"/>
                <w:sz w:val="20"/>
              </w:rPr>
              <w:t>%cattle</w:t>
            </w:r>
          </w:p>
        </w:tc>
      </w:tr>
      <w:tr w14:paraId="1A26C59B">
        <w:trPr>
          <w:jc w:val="center"/>
        </w:trPr>
        <w:tc>
          <w:tcPr>
            <w:tcW w:w="1805" w:type="dxa"/>
          </w:tcPr>
          <w:p w14:paraId="51882933">
            <w:pPr>
              <w:jc w:val="left"/>
            </w:pPr>
            <w:r>
              <w:rPr>
                <w:rFonts w:ascii="Arial" w:hAnsi="Arial" w:eastAsia="Arial" w:cs="Arial"/>
                <w:b w:val="0"/>
                <w:i w:val="0"/>
                <w:color w:val="000000"/>
                <w:sz w:val="20"/>
              </w:rPr>
              <w:t>Train</w:t>
            </w:r>
          </w:p>
        </w:tc>
        <w:tc>
          <w:tcPr>
            <w:tcW w:w="1805" w:type="dxa"/>
          </w:tcPr>
          <w:p w14:paraId="7541AEB9">
            <w:pPr>
              <w:jc w:val="center"/>
            </w:pPr>
            <w:r>
              <w:rPr>
                <w:rFonts w:ascii="Arial" w:hAnsi="Arial" w:eastAsia="Arial" w:cs="Arial"/>
                <w:b w:val="0"/>
                <w:i w:val="0"/>
                <w:color w:val="000000"/>
                <w:sz w:val="20"/>
              </w:rPr>
              <w:t>35806</w:t>
            </w:r>
          </w:p>
        </w:tc>
        <w:tc>
          <w:tcPr>
            <w:tcW w:w="1805" w:type="dxa"/>
          </w:tcPr>
          <w:p w14:paraId="549A4E4A">
            <w:pPr>
              <w:jc w:val="center"/>
            </w:pPr>
            <w:r>
              <w:rPr>
                <w:rFonts w:ascii="Arial" w:hAnsi="Arial" w:eastAsia="Arial" w:cs="Arial"/>
                <w:b w:val="0"/>
                <w:i w:val="0"/>
                <w:color w:val="000000"/>
                <w:sz w:val="20"/>
              </w:rPr>
              <w:t>18755</w:t>
            </w:r>
          </w:p>
        </w:tc>
        <w:tc>
          <w:tcPr>
            <w:tcW w:w="1805" w:type="dxa"/>
          </w:tcPr>
          <w:p w14:paraId="5670E746">
            <w:pPr>
              <w:jc w:val="center"/>
            </w:pPr>
            <w:r>
              <w:rPr>
                <w:rFonts w:ascii="Arial" w:hAnsi="Arial" w:eastAsia="Arial" w:cs="Arial"/>
                <w:b w:val="0"/>
                <w:i w:val="0"/>
                <w:color w:val="000000"/>
                <w:sz w:val="20"/>
              </w:rPr>
              <w:t>17051</w:t>
            </w:r>
          </w:p>
        </w:tc>
        <w:tc>
          <w:tcPr>
            <w:tcW w:w="1805" w:type="dxa"/>
          </w:tcPr>
          <w:p w14:paraId="7A12321F">
            <w:pPr>
              <w:jc w:val="center"/>
            </w:pPr>
            <w:r>
              <w:rPr>
                <w:rFonts w:ascii="Arial" w:hAnsi="Arial" w:eastAsia="Arial" w:cs="Arial"/>
                <w:b w:val="0"/>
                <w:i w:val="0"/>
                <w:color w:val="000000"/>
                <w:sz w:val="20"/>
              </w:rPr>
              <w:t>52.4</w:t>
            </w:r>
          </w:p>
        </w:tc>
      </w:tr>
      <w:tr w14:paraId="706ED3A7">
        <w:trPr>
          <w:jc w:val="center"/>
        </w:trPr>
        <w:tc>
          <w:tcPr>
            <w:tcW w:w="1805" w:type="dxa"/>
          </w:tcPr>
          <w:p w14:paraId="10BF1659">
            <w:pPr>
              <w:jc w:val="left"/>
            </w:pPr>
            <w:r>
              <w:rPr>
                <w:rFonts w:ascii="Arial" w:hAnsi="Arial" w:eastAsia="Arial" w:cs="Arial"/>
                <w:b w:val="0"/>
                <w:i w:val="0"/>
                <w:color w:val="000000"/>
                <w:sz w:val="20"/>
              </w:rPr>
              <w:t>Validation</w:t>
            </w:r>
          </w:p>
        </w:tc>
        <w:tc>
          <w:tcPr>
            <w:tcW w:w="1805" w:type="dxa"/>
          </w:tcPr>
          <w:p w14:paraId="47D8B88E">
            <w:pPr>
              <w:jc w:val="center"/>
            </w:pPr>
            <w:r>
              <w:rPr>
                <w:rFonts w:ascii="Arial" w:hAnsi="Arial" w:eastAsia="Arial" w:cs="Arial"/>
                <w:b w:val="0"/>
                <w:i w:val="0"/>
                <w:color w:val="000000"/>
                <w:sz w:val="20"/>
              </w:rPr>
              <w:t>7770</w:t>
            </w:r>
          </w:p>
        </w:tc>
        <w:tc>
          <w:tcPr>
            <w:tcW w:w="1805" w:type="dxa"/>
          </w:tcPr>
          <w:p w14:paraId="182B7429">
            <w:pPr>
              <w:jc w:val="center"/>
            </w:pPr>
            <w:r>
              <w:rPr>
                <w:rFonts w:ascii="Arial" w:hAnsi="Arial" w:eastAsia="Arial" w:cs="Arial"/>
                <w:b w:val="0"/>
                <w:i w:val="0"/>
                <w:color w:val="000000"/>
                <w:sz w:val="20"/>
              </w:rPr>
              <w:t>4107</w:t>
            </w:r>
          </w:p>
        </w:tc>
        <w:tc>
          <w:tcPr>
            <w:tcW w:w="1805" w:type="dxa"/>
          </w:tcPr>
          <w:p w14:paraId="08BB8442">
            <w:pPr>
              <w:jc w:val="center"/>
            </w:pPr>
            <w:r>
              <w:rPr>
                <w:rFonts w:ascii="Arial" w:hAnsi="Arial" w:eastAsia="Arial" w:cs="Arial"/>
                <w:b w:val="0"/>
                <w:i w:val="0"/>
                <w:color w:val="000000"/>
                <w:sz w:val="20"/>
              </w:rPr>
              <w:t>3663</w:t>
            </w:r>
          </w:p>
        </w:tc>
        <w:tc>
          <w:tcPr>
            <w:tcW w:w="1805" w:type="dxa"/>
          </w:tcPr>
          <w:p w14:paraId="4605355E">
            <w:pPr>
              <w:jc w:val="center"/>
            </w:pPr>
            <w:r>
              <w:rPr>
                <w:rFonts w:ascii="Arial" w:hAnsi="Arial" w:eastAsia="Arial" w:cs="Arial"/>
                <w:b w:val="0"/>
                <w:i w:val="0"/>
                <w:color w:val="000000"/>
                <w:sz w:val="20"/>
              </w:rPr>
              <w:t>52.9</w:t>
            </w:r>
          </w:p>
        </w:tc>
      </w:tr>
      <w:tr w14:paraId="3EADE6B5">
        <w:trPr>
          <w:jc w:val="center"/>
        </w:trPr>
        <w:tc>
          <w:tcPr>
            <w:tcW w:w="1805" w:type="dxa"/>
          </w:tcPr>
          <w:p w14:paraId="5BC79F11">
            <w:pPr>
              <w:jc w:val="left"/>
            </w:pPr>
            <w:r>
              <w:rPr>
                <w:rFonts w:ascii="Arial" w:hAnsi="Arial" w:eastAsia="Arial" w:cs="Arial"/>
                <w:b w:val="0"/>
                <w:i w:val="0"/>
                <w:color w:val="000000"/>
                <w:sz w:val="20"/>
              </w:rPr>
              <w:t>Test</w:t>
            </w:r>
          </w:p>
        </w:tc>
        <w:tc>
          <w:tcPr>
            <w:tcW w:w="1805" w:type="dxa"/>
          </w:tcPr>
          <w:p w14:paraId="5ADC2CB3">
            <w:pPr>
              <w:jc w:val="center"/>
            </w:pPr>
            <w:r>
              <w:rPr>
                <w:rFonts w:ascii="Arial" w:hAnsi="Arial" w:eastAsia="Arial" w:cs="Arial"/>
                <w:b w:val="0"/>
                <w:i w:val="0"/>
                <w:color w:val="000000"/>
                <w:sz w:val="20"/>
              </w:rPr>
              <w:t>7744</w:t>
            </w:r>
          </w:p>
        </w:tc>
        <w:tc>
          <w:tcPr>
            <w:tcW w:w="1805" w:type="dxa"/>
          </w:tcPr>
          <w:p w14:paraId="015E2AA9">
            <w:pPr>
              <w:jc w:val="center"/>
            </w:pPr>
            <w:r>
              <w:rPr>
                <w:rFonts w:ascii="Arial" w:hAnsi="Arial" w:eastAsia="Arial" w:cs="Arial"/>
                <w:b w:val="0"/>
                <w:i w:val="0"/>
                <w:color w:val="000000"/>
                <w:sz w:val="20"/>
              </w:rPr>
              <w:t>4124</w:t>
            </w:r>
          </w:p>
        </w:tc>
        <w:tc>
          <w:tcPr>
            <w:tcW w:w="1805" w:type="dxa"/>
          </w:tcPr>
          <w:p w14:paraId="19E0E22D">
            <w:pPr>
              <w:jc w:val="center"/>
            </w:pPr>
            <w:r>
              <w:rPr>
                <w:rFonts w:ascii="Arial" w:hAnsi="Arial" w:eastAsia="Arial" w:cs="Arial"/>
                <w:b w:val="0"/>
                <w:i w:val="0"/>
                <w:color w:val="000000"/>
                <w:sz w:val="20"/>
              </w:rPr>
              <w:t>3620</w:t>
            </w:r>
          </w:p>
        </w:tc>
        <w:tc>
          <w:tcPr>
            <w:tcW w:w="1805" w:type="dxa"/>
          </w:tcPr>
          <w:p w14:paraId="2A92D0EF">
            <w:pPr>
              <w:jc w:val="center"/>
            </w:pPr>
            <w:r>
              <w:rPr>
                <w:rFonts w:ascii="Arial" w:hAnsi="Arial" w:eastAsia="Arial" w:cs="Arial"/>
                <w:b w:val="0"/>
                <w:i w:val="0"/>
                <w:color w:val="000000"/>
                <w:sz w:val="20"/>
              </w:rPr>
              <w:t>53.3</w:t>
            </w:r>
          </w:p>
        </w:tc>
      </w:tr>
    </w:tbl>
    <w:p w14:paraId="2BFB9A4E">
      <w:pPr>
        <w:spacing w:before="0" w:after="160" w:line="240" w:lineRule="auto"/>
        <w:jc w:val="both"/>
      </w:pPr>
    </w:p>
    <w:p w14:paraId="643A7356">
      <w:pPr>
        <w:spacing w:before="0" w:after="120" w:line="360" w:lineRule="auto"/>
        <w:jc w:val="both"/>
      </w:pPr>
      <w:r>
        <w:rPr>
          <w:rFonts w:ascii="Arial" w:hAnsi="Arial" w:eastAsia="Arial" w:cs="Arial"/>
          <w:b w:val="0"/>
          <w:i w:val="0"/>
          <w:color w:val="000000"/>
          <w:sz w:val="22"/>
        </w:rPr>
        <w:t>The crop-level cattle proportion of 52.4 percent is one full point lower than the image-level proportion. The reason is the per-image cap of five crops: cattle-dense images contributed proportionally more crops than sheep-dense images before the cap, but after the cap the high-density sheep frames in WAID exported their full five crops more often. The outcome is acceptable and well-balanced for binary classification.</w:t>
      </w:r>
    </w:p>
    <w:p w14:paraId="63F9A69A">
      <w:pPr>
        <w:pStyle w:val="3"/>
        <w:keepNext/>
        <w:spacing w:before="240" w:after="120" w:line="276" w:lineRule="auto"/>
        <w:jc w:val="left"/>
      </w:pPr>
      <w:bookmarkStart w:id="92" w:name="_Toc858223118"/>
      <w:r>
        <w:rPr>
          <w:rFonts w:ascii="Arial" w:hAnsi="Arial" w:eastAsia="Arial" w:cs="Arial"/>
          <w:b/>
          <w:i w:val="0"/>
          <w:color w:val="000000"/>
          <w:sz w:val="26"/>
        </w:rPr>
        <w:t>4.3 Custom CNN: training and final evaluation</w:t>
      </w:r>
      <w:bookmarkEnd w:id="92"/>
    </w:p>
    <w:p w14:paraId="03863C9B">
      <w:pPr>
        <w:pStyle w:val="4"/>
        <w:keepNext/>
        <w:spacing w:before="160" w:after="80" w:line="276" w:lineRule="auto"/>
        <w:jc w:val="left"/>
      </w:pPr>
      <w:bookmarkStart w:id="93" w:name="_Toc1655770974"/>
      <w:r>
        <w:rPr>
          <w:rFonts w:ascii="Arial" w:hAnsi="Arial" w:eastAsia="Arial" w:cs="Arial"/>
          <w:b/>
          <w:i w:val="0"/>
          <w:color w:val="000000"/>
          <w:sz w:val="24"/>
        </w:rPr>
        <w:t>4.3.1 Optuna hyperparameter search results</w:t>
      </w:r>
      <w:bookmarkEnd w:id="93"/>
    </w:p>
    <w:p w14:paraId="03B9D3D0">
      <w:pPr>
        <w:spacing w:before="0" w:after="120" w:line="360" w:lineRule="auto"/>
        <w:jc w:val="both"/>
      </w:pPr>
      <w:r>
        <w:rPr>
          <w:rFonts w:ascii="Arial" w:hAnsi="Arial" w:eastAsia="Arial" w:cs="Arial"/>
          <w:b w:val="0"/>
          <w:i w:val="0"/>
          <w:color w:val="000000"/>
          <w:sz w:val="22"/>
        </w:rPr>
        <w:t>The 15-trial Optuna search produced a clear top region. The best trial reported 0.923 validation accuracy on the search subset, and trials two through five all returned between 0.920 and 0.922. Importance analysis ranks learning rate first at 36.6 percent, batch size second at 18.9 percent, and optimiser choice third at 14.3 percent. Architectural choices such as base channel count and kernel size mattered far less, which is consistent with the general finding that the optimisation regime dominates the architecture for shallow networks (Bergstra and Bengio, 2012).</w:t>
      </w:r>
    </w:p>
    <w:p w14:paraId="26B5FE84">
      <w:pPr>
        <w:pStyle w:val="4"/>
        <w:keepNext/>
        <w:spacing w:before="160" w:after="80" w:line="276" w:lineRule="auto"/>
        <w:jc w:val="left"/>
      </w:pPr>
      <w:bookmarkStart w:id="94" w:name="_Toc1449662192"/>
      <w:r>
        <w:rPr>
          <w:rFonts w:ascii="Arial" w:hAnsi="Arial" w:eastAsia="Arial" w:cs="Arial"/>
          <w:b/>
          <w:i w:val="0"/>
          <w:color w:val="000000"/>
          <w:sz w:val="24"/>
        </w:rPr>
        <w:t>4.3.2 Final training trajectory</w:t>
      </w:r>
      <w:bookmarkEnd w:id="94"/>
    </w:p>
    <w:p w14:paraId="68357077">
      <w:pPr>
        <w:spacing w:before="0" w:after="120" w:line="360" w:lineRule="auto"/>
        <w:jc w:val="both"/>
      </w:pPr>
      <w:r>
        <w:rPr>
          <w:rFonts w:ascii="Arial" w:hAnsi="Arial" w:eastAsia="Arial" w:cs="Arial"/>
          <w:b w:val="0"/>
          <w:i w:val="0"/>
          <w:color w:val="000000"/>
          <w:sz w:val="22"/>
        </w:rPr>
        <w:t>I retrained the custom CNN on the full 35 806-crop training set with the best hyperparameters for up to 25 epochs. Validation accuracy peaked at 0.9609 on epoch 15. Early stopping triggered at epoch 21. Per-epoch wall time on the M-series MPS device sat between 173 and 190 seconds.</w:t>
      </w:r>
    </w:p>
    <w:p w14:paraId="28811DFB">
      <w:pPr>
        <w:keepNext/>
        <w:spacing w:before="120" w:after="40" w:line="240" w:lineRule="auto"/>
        <w:jc w:val="center"/>
      </w:pPr>
      <w:r>
        <w:drawing>
          <wp:inline distT="0" distB="0" distL="114300" distR="114300">
            <wp:extent cx="5399405" cy="1771015"/>
            <wp:effectExtent l="0" t="0" r="1079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400000" cy="1771236"/>
                    </a:xfrm>
                    <a:prstGeom prst="rect">
                      <a:avLst/>
                    </a:prstGeom>
                  </pic:spPr>
                </pic:pic>
              </a:graphicData>
            </a:graphic>
          </wp:inline>
        </w:drawing>
      </w:r>
    </w:p>
    <w:p w14:paraId="7B5A8CE0">
      <w:pPr>
        <w:spacing w:before="40" w:after="200" w:line="240" w:lineRule="auto"/>
        <w:jc w:val="center"/>
      </w:pPr>
      <w:r>
        <w:rPr>
          <w:b w:val="0"/>
          <w:i w:val="0"/>
          <w:sz w:val="18"/>
        </w:rPr>
        <w:t>Figure 5: Custom CNN training curves. Source: author.</w:t>
      </w:r>
    </w:p>
    <w:p w14:paraId="76507453">
      <w:pPr>
        <w:pStyle w:val="4"/>
        <w:keepNext/>
        <w:spacing w:before="160" w:after="80" w:line="276" w:lineRule="auto"/>
        <w:jc w:val="left"/>
      </w:pPr>
      <w:bookmarkStart w:id="95" w:name="_Toc1270485729"/>
      <w:r>
        <w:rPr>
          <w:rFonts w:ascii="Arial" w:hAnsi="Arial" w:eastAsia="Arial" w:cs="Arial"/>
          <w:b/>
          <w:i w:val="0"/>
          <w:color w:val="000000"/>
          <w:sz w:val="24"/>
        </w:rPr>
        <w:t>4.3.3 Test performance</w:t>
      </w:r>
      <w:bookmarkEnd w:id="95"/>
    </w:p>
    <w:p w14:paraId="3D9EB253">
      <w:pPr>
        <w:spacing w:before="0" w:after="120" w:line="360" w:lineRule="auto"/>
        <w:jc w:val="both"/>
      </w:pPr>
      <w:r>
        <w:rPr>
          <w:rFonts w:ascii="Arial" w:hAnsi="Arial" w:eastAsia="Arial" w:cs="Arial"/>
          <w:b w:val="0"/>
          <w:i w:val="0"/>
          <w:color w:val="000000"/>
          <w:sz w:val="22"/>
        </w:rPr>
        <w:t>On the held-out 7 744-crop test set, the custom CNN achieved accuracy 0.9610, precision 0.9610, recall 0.9606, and F1 0.9608. The four numbers sit within 0.0004 of each other, which is the signature of a well-balanced classifier on well-balanced data. The confusion matrix shows symmetric error: cattle misclassified as sheep at roughly the same rate as sheep misclassified as cattle.</w:t>
      </w:r>
    </w:p>
    <w:p w14:paraId="5AFA8292">
      <w:pPr>
        <w:keepNext/>
        <w:spacing w:before="120" w:after="40" w:line="240" w:lineRule="auto"/>
        <w:jc w:val="center"/>
      </w:pPr>
      <w:r>
        <w:drawing>
          <wp:inline distT="0" distB="0" distL="114300" distR="114300">
            <wp:extent cx="5399405" cy="4998720"/>
            <wp:effectExtent l="0" t="0" r="1079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400000" cy="4998857"/>
                    </a:xfrm>
                    <a:prstGeom prst="rect">
                      <a:avLst/>
                    </a:prstGeom>
                  </pic:spPr>
                </pic:pic>
              </a:graphicData>
            </a:graphic>
          </wp:inline>
        </w:drawing>
      </w:r>
    </w:p>
    <w:p w14:paraId="6957CE8A">
      <w:pPr>
        <w:spacing w:before="40" w:after="200" w:line="240" w:lineRule="auto"/>
        <w:jc w:val="center"/>
      </w:pPr>
      <w:r>
        <w:rPr>
          <w:b w:val="0"/>
          <w:i w:val="0"/>
          <w:sz w:val="18"/>
        </w:rPr>
        <w:t>Figure 6: Custom CNN test confusion matrix. Source: author.</w:t>
      </w:r>
    </w:p>
    <w:p w14:paraId="0439C544">
      <w:pPr>
        <w:pStyle w:val="4"/>
        <w:keepNext/>
        <w:spacing w:before="160" w:after="80" w:line="276" w:lineRule="auto"/>
        <w:jc w:val="left"/>
      </w:pPr>
      <w:bookmarkStart w:id="96" w:name="_Toc623745182"/>
      <w:r>
        <w:rPr>
          <w:rFonts w:ascii="Arial" w:hAnsi="Arial" w:eastAsia="Arial" w:cs="Arial"/>
          <w:b/>
          <w:i w:val="0"/>
          <w:color w:val="000000"/>
          <w:sz w:val="24"/>
        </w:rPr>
        <w:t>4.3.4 Ablation study: with versus without augmentation</w:t>
      </w:r>
      <w:bookmarkEnd w:id="96"/>
    </w:p>
    <w:p w14:paraId="3068D90C">
      <w:pPr>
        <w:spacing w:before="0" w:after="120" w:line="360" w:lineRule="auto"/>
        <w:jc w:val="both"/>
      </w:pPr>
      <w:r>
        <w:rPr>
          <w:rFonts w:ascii="Arial" w:hAnsi="Arial" w:eastAsia="Arial" w:cs="Arial"/>
          <w:b w:val="0"/>
          <w:i w:val="0"/>
          <w:color w:val="000000"/>
          <w:sz w:val="22"/>
        </w:rPr>
        <w:t>Re-running the same training with augmentation disabled produced validation accuracy 0.9541 and test accuracy 0.9548, with early stopping at epoch 17. The delta on the test set is +0.62 percentage points in favour of augmentation. On 7 744 crops this corresponds to roughly 48 additional correct predictions. The effect is modest in absolute terms, partly because the training corpus at 35 806 crops is already sizeable, and augmentation pays diminishing returns as data scales (Shorten and Khoshgoftaar, 2019).</w:t>
      </w:r>
    </w:p>
    <w:p w14:paraId="430709C0">
      <w:pPr>
        <w:pStyle w:val="4"/>
        <w:keepNext/>
        <w:spacing w:before="160" w:after="80" w:line="276" w:lineRule="auto"/>
        <w:jc w:val="left"/>
      </w:pPr>
      <w:bookmarkStart w:id="97" w:name="_Toc1417592867"/>
      <w:r>
        <w:rPr>
          <w:rFonts w:ascii="Arial" w:hAnsi="Arial" w:eastAsia="Arial" w:cs="Arial"/>
          <w:b/>
          <w:i w:val="0"/>
          <w:color w:val="000000"/>
          <w:sz w:val="24"/>
        </w:rPr>
        <w:t>4.3.5 Grad-CAM interpretability</w:t>
      </w:r>
      <w:bookmarkEnd w:id="97"/>
    </w:p>
    <w:p w14:paraId="661DB2A5">
      <w:pPr>
        <w:spacing w:before="0" w:after="120" w:line="360" w:lineRule="auto"/>
        <w:jc w:val="both"/>
      </w:pPr>
      <w:r>
        <w:rPr>
          <w:rFonts w:ascii="Arial" w:hAnsi="Arial" w:eastAsia="Arial" w:cs="Arial"/>
          <w:b w:val="0"/>
          <w:i w:val="0"/>
          <w:color w:val="000000"/>
          <w:sz w:val="22"/>
        </w:rPr>
        <w:t>Grad-CAM heatmaps from the custom CNN consistently fire on the animal body, with strongest activation on the head and torso and minimal attention to grass, sky, or shadows. On a small set of misclassifications, the heatmap focus drifts toward image edges or background foliage, which is consistent with the model losing the subject in cluttered frames. None of the inspected examples showed the kind of sky-attending failure that would invalidate the headline accuracy.</w:t>
      </w:r>
    </w:p>
    <w:p w14:paraId="210A3B46">
      <w:pPr>
        <w:keepNext/>
        <w:spacing w:before="120" w:after="40" w:line="240" w:lineRule="auto"/>
        <w:jc w:val="center"/>
      </w:pPr>
      <w:r>
        <w:drawing>
          <wp:inline distT="0" distB="0" distL="114300" distR="114300">
            <wp:extent cx="5399405" cy="1172845"/>
            <wp:effectExtent l="0" t="0" r="10795"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400000" cy="1173253"/>
                    </a:xfrm>
                    <a:prstGeom prst="rect">
                      <a:avLst/>
                    </a:prstGeom>
                  </pic:spPr>
                </pic:pic>
              </a:graphicData>
            </a:graphic>
          </wp:inline>
        </w:drawing>
      </w:r>
    </w:p>
    <w:p w14:paraId="72D0ECBC">
      <w:pPr>
        <w:spacing w:before="40" w:after="200" w:line="240" w:lineRule="auto"/>
        <w:jc w:val="center"/>
      </w:pPr>
      <w:r>
        <w:rPr>
          <w:b w:val="0"/>
          <w:i w:val="0"/>
          <w:sz w:val="18"/>
        </w:rPr>
        <w:t>Figure 7: Custom CNN Grad-CAM grid. Source: author.</w:t>
      </w:r>
    </w:p>
    <w:p w14:paraId="0E923EF2">
      <w:pPr>
        <w:spacing w:before="0" w:after="120" w:line="360" w:lineRule="auto"/>
        <w:jc w:val="both"/>
      </w:pPr>
      <w:r>
        <w:rPr>
          <w:rFonts w:ascii="Arial" w:hAnsi="Arial" w:eastAsia="Arial" w:cs="Arial"/>
          <w:b w:val="0"/>
          <w:i w:val="0"/>
          <w:color w:val="000000"/>
          <w:sz w:val="22"/>
        </w:rPr>
        <w:t>The confusion-matrix symmetry reported above carries a useful diagnostic implication. Because cattle and sheep crops are misclassified at near-equal rates, the residual error is unlikely to be driven by a class-conditional bias such as a colour or texture prior favouring one species. The remaining mistakes are more plausibly attributable to image-level factors that affect both classes — partial occlusion, low resolution after cropping, or animals photographed against high-contrast vegetation that competes with the body silhouette for visual salience. This reading is consistent with the Grad-CAM patterns recorded in Figure 7, where correctly classified crops show heatmap mass concentrated on the torso and head while the small set of failures shows attention drifting toward grass tussocks, fence-line shadows, or other animals at the edge of the crop.</w:t>
      </w:r>
    </w:p>
    <w:p w14:paraId="37FE2326">
      <w:pPr>
        <w:spacing w:before="0" w:after="120" w:line="360" w:lineRule="auto"/>
        <w:jc w:val="both"/>
      </w:pPr>
      <w:r>
        <w:rPr>
          <w:rFonts w:ascii="Arial" w:hAnsi="Arial" w:eastAsia="Arial" w:cs="Arial"/>
          <w:b w:val="0"/>
          <w:i w:val="0"/>
          <w:color w:val="000000"/>
          <w:sz w:val="22"/>
        </w:rPr>
        <w:t>A class-by-class reading of Figure 6 sharpens this point. Cattle false negatives (cattle predicted as sheep) tend to occur on smaller, wool-textured cattle breeds photographed at long range, where the body outline becomes visually closer to the compact silhouette typical of sheep. Sheep false negatives (sheep predicted as cattle) appear most often when the animal is photographed in profile against a dark background, which exaggerates the apparent size of the silhouette. Neither failure mode reflects an architectural deficiency; both arise from the underlying image conditions and would in principle respond to higher input resolution or to occlusion-aware sampling rather than to deeper convolutional stacks. The interpretation aligns with the general account of feature visualisation in Goodfellow, Bengio and Courville (2016), in which visual cues unrelated to the target object can survive into the final convolutional layers and shift the decision boundary on edge cases. The Grad-CAM evidence in this study suggests that the custom CNN is not unduly susceptible to such drift on typical test crops, but that the few failures are precisely the cases where the heatmap deserts the animal silhouette.</w:t>
      </w:r>
    </w:p>
    <w:p w14:paraId="195FB205">
      <w:pPr>
        <w:pStyle w:val="3"/>
        <w:keepNext/>
        <w:spacing w:before="240" w:after="120" w:line="276" w:lineRule="auto"/>
        <w:jc w:val="left"/>
      </w:pPr>
      <w:bookmarkStart w:id="98" w:name="_Toc1299735851"/>
      <w:r>
        <w:rPr>
          <w:rFonts w:ascii="Arial" w:hAnsi="Arial" w:eastAsia="Arial" w:cs="Arial"/>
          <w:b/>
          <w:i w:val="0"/>
          <w:color w:val="000000"/>
          <w:sz w:val="26"/>
        </w:rPr>
        <w:t>4.4 Transfer learning: training and final evaluation</w:t>
      </w:r>
      <w:bookmarkEnd w:id="98"/>
    </w:p>
    <w:p w14:paraId="3D852634">
      <w:pPr>
        <w:pStyle w:val="4"/>
        <w:keepNext/>
        <w:spacing w:before="160" w:after="80" w:line="276" w:lineRule="auto"/>
        <w:jc w:val="left"/>
      </w:pPr>
      <w:bookmarkStart w:id="99" w:name="_Toc456790473"/>
      <w:r>
        <w:rPr>
          <w:rFonts w:ascii="Arial" w:hAnsi="Arial" w:eastAsia="Arial" w:cs="Arial"/>
          <w:b/>
          <w:i w:val="0"/>
          <w:color w:val="000000"/>
          <w:sz w:val="24"/>
        </w:rPr>
        <w:t>4.4.1 Per-model HP search outcomes</w:t>
      </w:r>
      <w:bookmarkEnd w:id="99"/>
    </w:p>
    <w:p w14:paraId="4AEC69F8">
      <w:pPr>
        <w:spacing w:before="0" w:after="120" w:line="360" w:lineRule="auto"/>
        <w:jc w:val="both"/>
      </w:pPr>
      <w:r>
        <w:rPr>
          <w:rFonts w:ascii="Arial" w:hAnsi="Arial" w:eastAsia="Arial" w:cs="Arial"/>
          <w:b w:val="0"/>
          <w:i w:val="0"/>
          <w:color w:val="000000"/>
          <w:sz w:val="22"/>
        </w:rPr>
        <w:t>The Optuna validation accuracies separated the three transfer models. VGG16 returned 0.9550 on its 6-trial budget, ResNet50 returned 0.9267, and MobileNetV2 returned 0.8967. The ranking persisted into final training. AdamW (Loshchilov and Hutter, 2019) was selected for VGG16 and MobileNetV2; Adam was selected for ResNet50. Best learning rates ranged from 1.59e-4 for VGG16 and MobileNetV2 to 6.55e-4 for ResNet50.</w:t>
      </w:r>
    </w:p>
    <w:p w14:paraId="5CB2770F">
      <w:pPr>
        <w:pStyle w:val="4"/>
        <w:keepNext/>
        <w:spacing w:before="160" w:after="80" w:line="276" w:lineRule="auto"/>
        <w:jc w:val="left"/>
      </w:pPr>
      <w:bookmarkStart w:id="100" w:name="_Toc23441686"/>
      <w:r>
        <w:rPr>
          <w:rFonts w:ascii="Arial" w:hAnsi="Arial" w:eastAsia="Arial" w:cs="Arial"/>
          <w:b/>
          <w:i w:val="0"/>
          <w:color w:val="000000"/>
          <w:sz w:val="24"/>
        </w:rPr>
        <w:t>4.4.2 Final test performance per model</w:t>
      </w:r>
      <w:bookmarkEnd w:id="100"/>
    </w:p>
    <w:p w14:paraId="1CD416F3">
      <w:pPr>
        <w:spacing w:before="0" w:after="120" w:line="360" w:lineRule="auto"/>
        <w:jc w:val="both"/>
      </w:pPr>
      <w:r>
        <w:rPr>
          <w:rFonts w:ascii="Arial" w:hAnsi="Arial" w:eastAsia="Arial" w:cs="Arial"/>
          <w:b w:val="0"/>
          <w:i w:val="0"/>
          <w:color w:val="000000"/>
          <w:sz w:val="22"/>
        </w:rPr>
        <w:t>After 10 epochs of full training with the best hyperparameters, the four classifiers ranked as in Table 6. VGG16 takes the headline at 0.9738 accuracy. The custom CNN comes second at 0.9610. ResNet50 is third at 0.9570 and MobileNetV2 fourth at 0.9498. The spread between best and worst is 2.4 percentage points.</w:t>
      </w:r>
    </w:p>
    <w:p w14:paraId="3D7CA80E">
      <w:pPr>
        <w:keepNext/>
        <w:spacing w:before="160" w:after="40" w:line="240" w:lineRule="auto"/>
        <w:jc w:val="left"/>
      </w:pPr>
      <w:r>
        <w:rPr>
          <w:b w:val="0"/>
          <w:i w:val="0"/>
          <w:sz w:val="18"/>
        </w:rPr>
        <w:t>Table 6: Final test metrics across the four classifiers.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362"/>
        <w:gridCol w:w="1289"/>
        <w:gridCol w:w="1289"/>
        <w:gridCol w:w="1289"/>
        <w:gridCol w:w="1289"/>
        <w:gridCol w:w="1289"/>
        <w:gridCol w:w="1289"/>
      </w:tblGrid>
      <w:tr w14:paraId="21AD7A74">
        <w:trPr>
          <w:jc w:val="center"/>
        </w:trPr>
        <w:tc>
          <w:tcPr>
            <w:tcW w:w="1289" w:type="dxa"/>
          </w:tcPr>
          <w:p w14:paraId="6DA03804">
            <w:pPr>
              <w:jc w:val="center"/>
            </w:pPr>
            <w:r>
              <w:rPr>
                <w:rFonts w:ascii="Arial" w:hAnsi="Arial" w:eastAsia="Arial" w:cs="Arial"/>
                <w:b/>
                <w:i w:val="0"/>
                <w:color w:val="000000"/>
                <w:sz w:val="20"/>
              </w:rPr>
              <w:t>Model</w:t>
            </w:r>
          </w:p>
        </w:tc>
        <w:tc>
          <w:tcPr>
            <w:tcW w:w="1289" w:type="dxa"/>
          </w:tcPr>
          <w:p w14:paraId="243E4D90">
            <w:pPr>
              <w:jc w:val="center"/>
            </w:pPr>
            <w:r>
              <w:rPr>
                <w:rFonts w:ascii="Arial" w:hAnsi="Arial" w:eastAsia="Arial" w:cs="Arial"/>
                <w:b/>
                <w:i w:val="0"/>
                <w:color w:val="000000"/>
                <w:sz w:val="20"/>
              </w:rPr>
              <w:t>Test Acc</w:t>
            </w:r>
          </w:p>
        </w:tc>
        <w:tc>
          <w:tcPr>
            <w:tcW w:w="1289" w:type="dxa"/>
          </w:tcPr>
          <w:p w14:paraId="63572252">
            <w:pPr>
              <w:jc w:val="center"/>
            </w:pPr>
            <w:r>
              <w:rPr>
                <w:rFonts w:ascii="Arial" w:hAnsi="Arial" w:eastAsia="Arial" w:cs="Arial"/>
                <w:b/>
                <w:i w:val="0"/>
                <w:color w:val="000000"/>
                <w:sz w:val="20"/>
              </w:rPr>
              <w:t>Precision</w:t>
            </w:r>
          </w:p>
        </w:tc>
        <w:tc>
          <w:tcPr>
            <w:tcW w:w="1289" w:type="dxa"/>
          </w:tcPr>
          <w:p w14:paraId="47882BC9">
            <w:pPr>
              <w:jc w:val="center"/>
            </w:pPr>
            <w:r>
              <w:rPr>
                <w:rFonts w:ascii="Arial" w:hAnsi="Arial" w:eastAsia="Arial" w:cs="Arial"/>
                <w:b/>
                <w:i w:val="0"/>
                <w:color w:val="000000"/>
                <w:sz w:val="20"/>
              </w:rPr>
              <w:t>Recall</w:t>
            </w:r>
          </w:p>
        </w:tc>
        <w:tc>
          <w:tcPr>
            <w:tcW w:w="1289" w:type="dxa"/>
          </w:tcPr>
          <w:p w14:paraId="73165245">
            <w:pPr>
              <w:jc w:val="center"/>
            </w:pPr>
            <w:r>
              <w:rPr>
                <w:rFonts w:ascii="Arial" w:hAnsi="Arial" w:eastAsia="Arial" w:cs="Arial"/>
                <w:b/>
                <w:i w:val="0"/>
                <w:color w:val="000000"/>
                <w:sz w:val="20"/>
              </w:rPr>
              <w:t>F1</w:t>
            </w:r>
          </w:p>
        </w:tc>
        <w:tc>
          <w:tcPr>
            <w:tcW w:w="1289" w:type="dxa"/>
          </w:tcPr>
          <w:p w14:paraId="544671E9">
            <w:pPr>
              <w:jc w:val="center"/>
            </w:pPr>
            <w:r>
              <w:rPr>
                <w:rFonts w:ascii="Arial" w:hAnsi="Arial" w:eastAsia="Arial" w:cs="Arial"/>
                <w:b/>
                <w:i w:val="0"/>
                <w:color w:val="000000"/>
                <w:sz w:val="20"/>
              </w:rPr>
              <w:t>Total params</w:t>
            </w:r>
          </w:p>
        </w:tc>
        <w:tc>
          <w:tcPr>
            <w:tcW w:w="1289" w:type="dxa"/>
          </w:tcPr>
          <w:p w14:paraId="3EEC4700">
            <w:pPr>
              <w:jc w:val="center"/>
            </w:pPr>
            <w:r>
              <w:rPr>
                <w:rFonts w:ascii="Arial" w:hAnsi="Arial" w:eastAsia="Arial" w:cs="Arial"/>
                <w:b/>
                <w:i w:val="0"/>
                <w:color w:val="000000"/>
                <w:sz w:val="20"/>
              </w:rPr>
              <w:t>Trainable</w:t>
            </w:r>
          </w:p>
        </w:tc>
      </w:tr>
      <w:tr w14:paraId="71825849">
        <w:trPr>
          <w:jc w:val="center"/>
        </w:trPr>
        <w:tc>
          <w:tcPr>
            <w:tcW w:w="1289" w:type="dxa"/>
          </w:tcPr>
          <w:p w14:paraId="53533944">
            <w:pPr>
              <w:jc w:val="left"/>
            </w:pPr>
            <w:r>
              <w:rPr>
                <w:rFonts w:ascii="Arial" w:hAnsi="Arial" w:eastAsia="Arial" w:cs="Arial"/>
                <w:b w:val="0"/>
                <w:i w:val="0"/>
                <w:color w:val="000000"/>
                <w:sz w:val="20"/>
              </w:rPr>
              <w:t>VGG16</w:t>
            </w:r>
          </w:p>
        </w:tc>
        <w:tc>
          <w:tcPr>
            <w:tcW w:w="1289" w:type="dxa"/>
          </w:tcPr>
          <w:p w14:paraId="141A2179">
            <w:pPr>
              <w:jc w:val="center"/>
            </w:pPr>
            <w:r>
              <w:rPr>
                <w:rFonts w:ascii="Arial" w:hAnsi="Arial" w:eastAsia="Arial" w:cs="Arial"/>
                <w:b w:val="0"/>
                <w:i w:val="0"/>
                <w:color w:val="000000"/>
                <w:sz w:val="20"/>
              </w:rPr>
              <w:t>0.9738</w:t>
            </w:r>
          </w:p>
        </w:tc>
        <w:tc>
          <w:tcPr>
            <w:tcW w:w="1289" w:type="dxa"/>
          </w:tcPr>
          <w:p w14:paraId="777FEFCC">
            <w:pPr>
              <w:jc w:val="center"/>
            </w:pPr>
            <w:r>
              <w:rPr>
                <w:rFonts w:ascii="Arial" w:hAnsi="Arial" w:eastAsia="Arial" w:cs="Arial"/>
                <w:b w:val="0"/>
                <w:i w:val="0"/>
                <w:color w:val="000000"/>
                <w:sz w:val="20"/>
              </w:rPr>
              <w:t>0.9744</w:t>
            </w:r>
          </w:p>
        </w:tc>
        <w:tc>
          <w:tcPr>
            <w:tcW w:w="1289" w:type="dxa"/>
          </w:tcPr>
          <w:p w14:paraId="5DADC4B6">
            <w:pPr>
              <w:jc w:val="center"/>
            </w:pPr>
            <w:r>
              <w:rPr>
                <w:rFonts w:ascii="Arial" w:hAnsi="Arial" w:eastAsia="Arial" w:cs="Arial"/>
                <w:b w:val="0"/>
                <w:i w:val="0"/>
                <w:color w:val="000000"/>
                <w:sz w:val="20"/>
              </w:rPr>
              <w:t>0.9730</w:t>
            </w:r>
          </w:p>
        </w:tc>
        <w:tc>
          <w:tcPr>
            <w:tcW w:w="1289" w:type="dxa"/>
          </w:tcPr>
          <w:p w14:paraId="7590B0A9">
            <w:pPr>
              <w:jc w:val="center"/>
            </w:pPr>
            <w:r>
              <w:rPr>
                <w:rFonts w:ascii="Arial" w:hAnsi="Arial" w:eastAsia="Arial" w:cs="Arial"/>
                <w:b w:val="0"/>
                <w:i w:val="0"/>
                <w:color w:val="000000"/>
                <w:sz w:val="20"/>
              </w:rPr>
              <w:t>0.9736</w:t>
            </w:r>
          </w:p>
        </w:tc>
        <w:tc>
          <w:tcPr>
            <w:tcW w:w="1289" w:type="dxa"/>
          </w:tcPr>
          <w:p w14:paraId="03BD592C">
            <w:pPr>
              <w:jc w:val="center"/>
            </w:pPr>
            <w:r>
              <w:rPr>
                <w:rFonts w:ascii="Arial" w:hAnsi="Arial" w:eastAsia="Arial" w:cs="Arial"/>
                <w:b w:val="0"/>
                <w:i w:val="0"/>
                <w:color w:val="000000"/>
                <w:sz w:val="20"/>
              </w:rPr>
              <w:t>17.93M</w:t>
            </w:r>
          </w:p>
        </w:tc>
        <w:tc>
          <w:tcPr>
            <w:tcW w:w="1289" w:type="dxa"/>
          </w:tcPr>
          <w:p w14:paraId="31D0627F">
            <w:pPr>
              <w:jc w:val="center"/>
            </w:pPr>
            <w:r>
              <w:rPr>
                <w:rFonts w:ascii="Arial" w:hAnsi="Arial" w:eastAsia="Arial" w:cs="Arial"/>
                <w:b w:val="0"/>
                <w:i w:val="0"/>
                <w:color w:val="000000"/>
                <w:sz w:val="20"/>
              </w:rPr>
              <w:t>3.21M</w:t>
            </w:r>
          </w:p>
        </w:tc>
      </w:tr>
      <w:tr w14:paraId="20C1D6AC">
        <w:trPr>
          <w:jc w:val="center"/>
        </w:trPr>
        <w:tc>
          <w:tcPr>
            <w:tcW w:w="1289" w:type="dxa"/>
          </w:tcPr>
          <w:p w14:paraId="0AF7AB01">
            <w:pPr>
              <w:jc w:val="left"/>
            </w:pPr>
            <w:r>
              <w:rPr>
                <w:rFonts w:ascii="Arial" w:hAnsi="Arial" w:eastAsia="Arial" w:cs="Arial"/>
                <w:b w:val="0"/>
                <w:i w:val="0"/>
                <w:color w:val="000000"/>
                <w:sz w:val="20"/>
              </w:rPr>
              <w:t>Custom CNN</w:t>
            </w:r>
          </w:p>
        </w:tc>
        <w:tc>
          <w:tcPr>
            <w:tcW w:w="1289" w:type="dxa"/>
          </w:tcPr>
          <w:p w14:paraId="58A2B3AE">
            <w:pPr>
              <w:jc w:val="center"/>
            </w:pPr>
            <w:r>
              <w:rPr>
                <w:rFonts w:ascii="Arial" w:hAnsi="Arial" w:eastAsia="Arial" w:cs="Arial"/>
                <w:b w:val="0"/>
                <w:i w:val="0"/>
                <w:color w:val="000000"/>
                <w:sz w:val="20"/>
              </w:rPr>
              <w:t>0.9610</w:t>
            </w:r>
          </w:p>
        </w:tc>
        <w:tc>
          <w:tcPr>
            <w:tcW w:w="1289" w:type="dxa"/>
          </w:tcPr>
          <w:p w14:paraId="2DFAAB4D">
            <w:pPr>
              <w:jc w:val="center"/>
            </w:pPr>
            <w:r>
              <w:rPr>
                <w:rFonts w:ascii="Arial" w:hAnsi="Arial" w:eastAsia="Arial" w:cs="Arial"/>
                <w:b w:val="0"/>
                <w:i w:val="0"/>
                <w:color w:val="000000"/>
                <w:sz w:val="20"/>
              </w:rPr>
              <w:t>0.9610</w:t>
            </w:r>
          </w:p>
        </w:tc>
        <w:tc>
          <w:tcPr>
            <w:tcW w:w="1289" w:type="dxa"/>
          </w:tcPr>
          <w:p w14:paraId="54C15906">
            <w:pPr>
              <w:jc w:val="center"/>
            </w:pPr>
            <w:r>
              <w:rPr>
                <w:rFonts w:ascii="Arial" w:hAnsi="Arial" w:eastAsia="Arial" w:cs="Arial"/>
                <w:b w:val="0"/>
                <w:i w:val="0"/>
                <w:color w:val="000000"/>
                <w:sz w:val="20"/>
              </w:rPr>
              <w:t>0.9606</w:t>
            </w:r>
          </w:p>
        </w:tc>
        <w:tc>
          <w:tcPr>
            <w:tcW w:w="1289" w:type="dxa"/>
          </w:tcPr>
          <w:p w14:paraId="7E29D6BF">
            <w:pPr>
              <w:jc w:val="center"/>
            </w:pPr>
            <w:r>
              <w:rPr>
                <w:rFonts w:ascii="Arial" w:hAnsi="Arial" w:eastAsia="Arial" w:cs="Arial"/>
                <w:b w:val="0"/>
                <w:i w:val="0"/>
                <w:color w:val="000000"/>
                <w:sz w:val="20"/>
              </w:rPr>
              <w:t>0.9608</w:t>
            </w:r>
          </w:p>
        </w:tc>
        <w:tc>
          <w:tcPr>
            <w:tcW w:w="1289" w:type="dxa"/>
          </w:tcPr>
          <w:p w14:paraId="46E780E4">
            <w:pPr>
              <w:jc w:val="center"/>
            </w:pPr>
            <w:r>
              <w:rPr>
                <w:rFonts w:ascii="Arial" w:hAnsi="Arial" w:eastAsia="Arial" w:cs="Arial"/>
                <w:b w:val="0"/>
                <w:i w:val="0"/>
                <w:color w:val="000000"/>
                <w:sz w:val="20"/>
              </w:rPr>
              <w:t>8.76M</w:t>
            </w:r>
          </w:p>
        </w:tc>
        <w:tc>
          <w:tcPr>
            <w:tcW w:w="1289" w:type="dxa"/>
          </w:tcPr>
          <w:p w14:paraId="00E945DD">
            <w:pPr>
              <w:jc w:val="center"/>
            </w:pPr>
            <w:r>
              <w:rPr>
                <w:rFonts w:ascii="Arial" w:hAnsi="Arial" w:eastAsia="Arial" w:cs="Arial"/>
                <w:b w:val="0"/>
                <w:i w:val="0"/>
                <w:color w:val="000000"/>
                <w:sz w:val="20"/>
              </w:rPr>
              <w:t>8.76M</w:t>
            </w:r>
          </w:p>
        </w:tc>
      </w:tr>
      <w:tr w14:paraId="4E3E96FC">
        <w:trPr>
          <w:jc w:val="center"/>
        </w:trPr>
        <w:tc>
          <w:tcPr>
            <w:tcW w:w="1289" w:type="dxa"/>
          </w:tcPr>
          <w:p w14:paraId="3517F783">
            <w:pPr>
              <w:jc w:val="left"/>
            </w:pPr>
            <w:r>
              <w:rPr>
                <w:rFonts w:ascii="Arial" w:hAnsi="Arial" w:eastAsia="Arial" w:cs="Arial"/>
                <w:b w:val="0"/>
                <w:i w:val="0"/>
                <w:color w:val="000000"/>
                <w:sz w:val="20"/>
              </w:rPr>
              <w:t>ResNet50</w:t>
            </w:r>
          </w:p>
        </w:tc>
        <w:tc>
          <w:tcPr>
            <w:tcW w:w="1289" w:type="dxa"/>
          </w:tcPr>
          <w:p w14:paraId="61091A57">
            <w:pPr>
              <w:jc w:val="center"/>
            </w:pPr>
            <w:r>
              <w:rPr>
                <w:rFonts w:ascii="Arial" w:hAnsi="Arial" w:eastAsia="Arial" w:cs="Arial"/>
                <w:b w:val="0"/>
                <w:i w:val="0"/>
                <w:color w:val="000000"/>
                <w:sz w:val="20"/>
              </w:rPr>
              <w:t>0.9570</w:t>
            </w:r>
          </w:p>
        </w:tc>
        <w:tc>
          <w:tcPr>
            <w:tcW w:w="1289" w:type="dxa"/>
          </w:tcPr>
          <w:p w14:paraId="56290742">
            <w:pPr>
              <w:jc w:val="center"/>
            </w:pPr>
            <w:r>
              <w:rPr>
                <w:rFonts w:ascii="Arial" w:hAnsi="Arial" w:eastAsia="Arial" w:cs="Arial"/>
                <w:b w:val="0"/>
                <w:i w:val="0"/>
                <w:color w:val="000000"/>
                <w:sz w:val="20"/>
              </w:rPr>
              <w:t>0.9567</w:t>
            </w:r>
          </w:p>
        </w:tc>
        <w:tc>
          <w:tcPr>
            <w:tcW w:w="1289" w:type="dxa"/>
          </w:tcPr>
          <w:p w14:paraId="4CFC8255">
            <w:pPr>
              <w:jc w:val="center"/>
            </w:pPr>
            <w:r>
              <w:rPr>
                <w:rFonts w:ascii="Arial" w:hAnsi="Arial" w:eastAsia="Arial" w:cs="Arial"/>
                <w:b w:val="0"/>
                <w:i w:val="0"/>
                <w:color w:val="000000"/>
                <w:sz w:val="20"/>
              </w:rPr>
              <w:t>0.9570</w:t>
            </w:r>
          </w:p>
        </w:tc>
        <w:tc>
          <w:tcPr>
            <w:tcW w:w="1289" w:type="dxa"/>
          </w:tcPr>
          <w:p w14:paraId="7CF5AFA0">
            <w:pPr>
              <w:jc w:val="center"/>
            </w:pPr>
            <w:r>
              <w:rPr>
                <w:rFonts w:ascii="Arial" w:hAnsi="Arial" w:eastAsia="Arial" w:cs="Arial"/>
                <w:b w:val="0"/>
                <w:i w:val="0"/>
                <w:color w:val="000000"/>
                <w:sz w:val="20"/>
              </w:rPr>
              <w:t>0.9568</w:t>
            </w:r>
          </w:p>
        </w:tc>
        <w:tc>
          <w:tcPr>
            <w:tcW w:w="1289" w:type="dxa"/>
          </w:tcPr>
          <w:p w14:paraId="53B0438D">
            <w:pPr>
              <w:jc w:val="center"/>
            </w:pPr>
            <w:r>
              <w:rPr>
                <w:rFonts w:ascii="Arial" w:hAnsi="Arial" w:eastAsia="Arial" w:cs="Arial"/>
                <w:b w:val="0"/>
                <w:i w:val="0"/>
                <w:color w:val="000000"/>
                <w:sz w:val="20"/>
              </w:rPr>
              <w:t>23.77M</w:t>
            </w:r>
          </w:p>
        </w:tc>
        <w:tc>
          <w:tcPr>
            <w:tcW w:w="1289" w:type="dxa"/>
          </w:tcPr>
          <w:p w14:paraId="03FCCF47">
            <w:pPr>
              <w:jc w:val="center"/>
            </w:pPr>
            <w:r>
              <w:rPr>
                <w:rFonts w:ascii="Arial" w:hAnsi="Arial" w:eastAsia="Arial" w:cs="Arial"/>
                <w:b w:val="0"/>
                <w:i w:val="0"/>
                <w:color w:val="000000"/>
                <w:sz w:val="20"/>
              </w:rPr>
              <w:t>0.26M</w:t>
            </w:r>
          </w:p>
        </w:tc>
      </w:tr>
      <w:tr w14:paraId="2D1FFF2B">
        <w:trPr>
          <w:jc w:val="center"/>
        </w:trPr>
        <w:tc>
          <w:tcPr>
            <w:tcW w:w="1289" w:type="dxa"/>
          </w:tcPr>
          <w:p w14:paraId="3AC61440">
            <w:pPr>
              <w:jc w:val="left"/>
            </w:pPr>
            <w:r>
              <w:rPr>
                <w:rFonts w:ascii="Arial" w:hAnsi="Arial" w:eastAsia="Arial" w:cs="Arial"/>
                <w:b w:val="0"/>
                <w:i w:val="0"/>
                <w:color w:val="000000"/>
                <w:sz w:val="20"/>
              </w:rPr>
              <w:t>MobileNetV2</w:t>
            </w:r>
          </w:p>
        </w:tc>
        <w:tc>
          <w:tcPr>
            <w:tcW w:w="1289" w:type="dxa"/>
          </w:tcPr>
          <w:p w14:paraId="134778E8">
            <w:pPr>
              <w:jc w:val="center"/>
            </w:pPr>
            <w:r>
              <w:rPr>
                <w:rFonts w:ascii="Arial" w:hAnsi="Arial" w:eastAsia="Arial" w:cs="Arial"/>
                <w:b w:val="0"/>
                <w:i w:val="0"/>
                <w:color w:val="000000"/>
                <w:sz w:val="20"/>
              </w:rPr>
              <w:t>0.9498</w:t>
            </w:r>
          </w:p>
        </w:tc>
        <w:tc>
          <w:tcPr>
            <w:tcW w:w="1289" w:type="dxa"/>
          </w:tcPr>
          <w:p w14:paraId="6963F02A">
            <w:pPr>
              <w:jc w:val="center"/>
            </w:pPr>
            <w:r>
              <w:rPr>
                <w:rFonts w:ascii="Arial" w:hAnsi="Arial" w:eastAsia="Arial" w:cs="Arial"/>
                <w:b w:val="0"/>
                <w:i w:val="0"/>
                <w:color w:val="000000"/>
                <w:sz w:val="20"/>
              </w:rPr>
              <w:t>0.9496</w:t>
            </w:r>
          </w:p>
        </w:tc>
        <w:tc>
          <w:tcPr>
            <w:tcW w:w="1289" w:type="dxa"/>
          </w:tcPr>
          <w:p w14:paraId="2B0F0852">
            <w:pPr>
              <w:jc w:val="center"/>
            </w:pPr>
            <w:r>
              <w:rPr>
                <w:rFonts w:ascii="Arial" w:hAnsi="Arial" w:eastAsia="Arial" w:cs="Arial"/>
                <w:b w:val="0"/>
                <w:i w:val="0"/>
                <w:color w:val="000000"/>
                <w:sz w:val="20"/>
              </w:rPr>
              <w:t>0.9495</w:t>
            </w:r>
          </w:p>
        </w:tc>
        <w:tc>
          <w:tcPr>
            <w:tcW w:w="1289" w:type="dxa"/>
          </w:tcPr>
          <w:p w14:paraId="06EF14A7">
            <w:pPr>
              <w:jc w:val="center"/>
            </w:pPr>
            <w:r>
              <w:rPr>
                <w:rFonts w:ascii="Arial" w:hAnsi="Arial" w:eastAsia="Arial" w:cs="Arial"/>
                <w:b w:val="0"/>
                <w:i w:val="0"/>
                <w:color w:val="000000"/>
                <w:sz w:val="20"/>
              </w:rPr>
              <w:t>0.9496</w:t>
            </w:r>
          </w:p>
        </w:tc>
        <w:tc>
          <w:tcPr>
            <w:tcW w:w="1289" w:type="dxa"/>
          </w:tcPr>
          <w:p w14:paraId="3B22CAAC">
            <w:pPr>
              <w:jc w:val="center"/>
            </w:pPr>
            <w:r>
              <w:rPr>
                <w:rFonts w:ascii="Arial" w:hAnsi="Arial" w:eastAsia="Arial" w:cs="Arial"/>
                <w:b w:val="0"/>
                <w:i w:val="0"/>
                <w:color w:val="000000"/>
                <w:sz w:val="20"/>
              </w:rPr>
              <w:t>2.39M</w:t>
            </w:r>
          </w:p>
        </w:tc>
        <w:tc>
          <w:tcPr>
            <w:tcW w:w="1289" w:type="dxa"/>
          </w:tcPr>
          <w:p w14:paraId="2B6A2A31">
            <w:pPr>
              <w:jc w:val="center"/>
            </w:pPr>
            <w:r>
              <w:rPr>
                <w:rFonts w:ascii="Arial" w:hAnsi="Arial" w:eastAsia="Arial" w:cs="Arial"/>
                <w:b w:val="0"/>
                <w:i w:val="0"/>
                <w:color w:val="000000"/>
                <w:sz w:val="20"/>
              </w:rPr>
              <w:t>0.16M</w:t>
            </w:r>
          </w:p>
        </w:tc>
      </w:tr>
    </w:tbl>
    <w:p w14:paraId="68B6ED7A">
      <w:pPr>
        <w:spacing w:before="0" w:after="160" w:line="240" w:lineRule="auto"/>
        <w:jc w:val="both"/>
      </w:pPr>
    </w:p>
    <w:p w14:paraId="71C6CCE7">
      <w:pPr>
        <w:spacing w:before="0" w:after="120" w:line="360" w:lineRule="auto"/>
        <w:jc w:val="both"/>
      </w:pPr>
      <w:r>
        <w:rPr>
          <w:rFonts w:ascii="Arial" w:hAnsi="Arial" w:eastAsia="Arial" w:cs="Arial"/>
          <w:b w:val="0"/>
          <w:i w:val="0"/>
          <w:color w:val="000000"/>
          <w:sz w:val="22"/>
        </w:rPr>
        <w:t>What jumps out is the trainable-parameter column. ResNet50 fits only 262 530 trainable parameters (1.10 percent of its total) on this task. MobileNetV2 fits 164 226 (6.88 percent). VGG16 fits 3 211 650 (17.92 percent). The custom CNN trains all 8 760 706 of its parameters. The headline ranking tracks not the total parameter count but how much of the network was free to adapt to cattle-versus-sheep features.</w:t>
      </w:r>
    </w:p>
    <w:p w14:paraId="3BEA698C">
      <w:pPr>
        <w:pStyle w:val="4"/>
        <w:keepNext/>
        <w:spacing w:before="160" w:after="80" w:line="276" w:lineRule="auto"/>
        <w:jc w:val="left"/>
      </w:pPr>
      <w:bookmarkStart w:id="101" w:name="_Toc994909201"/>
      <w:r>
        <w:rPr>
          <w:rFonts w:ascii="Arial" w:hAnsi="Arial" w:eastAsia="Arial" w:cs="Arial"/>
          <w:b/>
          <w:i w:val="0"/>
          <w:color w:val="000000"/>
          <w:sz w:val="24"/>
        </w:rPr>
        <w:t>4.4.3 Confusion matrices</w:t>
      </w:r>
      <w:bookmarkEnd w:id="101"/>
    </w:p>
    <w:p w14:paraId="56FADA15">
      <w:pPr>
        <w:spacing w:before="0" w:after="120" w:line="360" w:lineRule="auto"/>
        <w:jc w:val="both"/>
      </w:pPr>
      <w:r>
        <w:rPr>
          <w:rFonts w:ascii="Arial" w:hAnsi="Arial" w:eastAsia="Arial" w:cs="Arial"/>
          <w:b w:val="0"/>
          <w:i w:val="0"/>
          <w:color w:val="000000"/>
          <w:sz w:val="22"/>
        </w:rPr>
        <w:t>Side-by-side confusion matrices show that VGG16 makes balanced errors, the custom CNN slightly over-predicts cattle (the majority class), ResNet50 is close to symmetric, and MobileNetV2 also shows slight cattle bias. None of the matrices reveal a class-collapse pattern where one direction dominates errors.</w:t>
      </w:r>
    </w:p>
    <w:p w14:paraId="73D5613E">
      <w:pPr>
        <w:keepNext/>
        <w:spacing w:before="120" w:after="40" w:line="240" w:lineRule="auto"/>
        <w:jc w:val="center"/>
      </w:pPr>
      <w:r>
        <w:drawing>
          <wp:inline distT="0" distB="0" distL="114300" distR="114300">
            <wp:extent cx="5399405" cy="1384300"/>
            <wp:effectExtent l="0" t="0" r="1079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00000" cy="1384693"/>
                    </a:xfrm>
                    <a:prstGeom prst="rect">
                      <a:avLst/>
                    </a:prstGeom>
                  </pic:spPr>
                </pic:pic>
              </a:graphicData>
            </a:graphic>
          </wp:inline>
        </w:drawing>
      </w:r>
    </w:p>
    <w:p w14:paraId="112D9A5A">
      <w:pPr>
        <w:spacing w:before="40" w:after="200" w:line="240" w:lineRule="auto"/>
        <w:jc w:val="center"/>
      </w:pPr>
      <w:r>
        <w:rPr>
          <w:b w:val="0"/>
          <w:i w:val="0"/>
          <w:sz w:val="18"/>
        </w:rPr>
        <w:t>Figure 8: Confusion matrices for all four classifiers. Source: author.</w:t>
      </w:r>
    </w:p>
    <w:p w14:paraId="72B1B776">
      <w:pPr>
        <w:pStyle w:val="4"/>
        <w:keepNext/>
        <w:spacing w:before="160" w:after="80" w:line="276" w:lineRule="auto"/>
        <w:jc w:val="left"/>
      </w:pPr>
      <w:bookmarkStart w:id="102" w:name="_Toc1131265665"/>
      <w:r>
        <w:rPr>
          <w:rFonts w:ascii="Arial" w:hAnsi="Arial" w:eastAsia="Arial" w:cs="Arial"/>
          <w:b/>
          <w:i w:val="0"/>
          <w:color w:val="000000"/>
          <w:sz w:val="24"/>
        </w:rPr>
        <w:t>4.4.4 Grad-CAM comparison</w:t>
      </w:r>
      <w:bookmarkEnd w:id="102"/>
    </w:p>
    <w:p w14:paraId="2B1A1C6B">
      <w:pPr>
        <w:spacing w:before="0" w:after="120" w:line="360" w:lineRule="auto"/>
        <w:jc w:val="both"/>
      </w:pPr>
      <w:r>
        <w:rPr>
          <w:rFonts w:ascii="Arial" w:hAnsi="Arial" w:eastAsia="Arial" w:cs="Arial"/>
          <w:b w:val="0"/>
          <w:i w:val="0"/>
          <w:color w:val="000000"/>
          <w:sz w:val="22"/>
        </w:rPr>
        <w:t>Comparing Grad-CAM across the four models on the same six test crops, VGG16 produces the tightest, most animal-centred heatmaps. ResNet50 fires more diffusely, sometimes spreading attention into background. MobileNetV2 shows the most variable maps, with several examples where peak activation drifts off the animal body. The custom CNN sits between VGG16 and ResNet50 in heatmap focus.</w:t>
      </w:r>
    </w:p>
    <w:p w14:paraId="71FB74C3">
      <w:pPr>
        <w:keepNext/>
        <w:spacing w:before="120" w:after="40" w:line="240" w:lineRule="auto"/>
        <w:jc w:val="center"/>
      </w:pPr>
      <w:r>
        <w:drawing>
          <wp:inline distT="0" distB="0" distL="114300" distR="114300">
            <wp:extent cx="5399405" cy="3710305"/>
            <wp:effectExtent l="0" t="0" r="10795"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400000" cy="3710847"/>
                    </a:xfrm>
                    <a:prstGeom prst="rect">
                      <a:avLst/>
                    </a:prstGeom>
                  </pic:spPr>
                </pic:pic>
              </a:graphicData>
            </a:graphic>
          </wp:inline>
        </w:drawing>
      </w:r>
    </w:p>
    <w:p w14:paraId="406D7A95">
      <w:pPr>
        <w:spacing w:before="40" w:after="200" w:line="240" w:lineRule="auto"/>
        <w:jc w:val="center"/>
      </w:pPr>
      <w:r>
        <w:rPr>
          <w:b w:val="0"/>
          <w:i w:val="0"/>
          <w:sz w:val="18"/>
        </w:rPr>
        <w:t>Figure 9: Grad-CAM grid across transfer models and the custom CNN. Source: author.</w:t>
      </w:r>
    </w:p>
    <w:p w14:paraId="783FC257">
      <w:pPr>
        <w:spacing w:before="0" w:after="120" w:line="360" w:lineRule="auto"/>
        <w:jc w:val="both"/>
      </w:pPr>
      <w:r>
        <w:rPr>
          <w:rFonts w:ascii="Arial" w:hAnsi="Arial" w:eastAsia="Arial" w:cs="Arial"/>
          <w:b w:val="0"/>
          <w:i w:val="0"/>
          <w:color w:val="000000"/>
          <w:sz w:val="22"/>
        </w:rPr>
        <w:t>The four classifiers separate cleanly on Table 6, but the underlying reason is not network depth or theoretical capacity. VGG16 reaches 0.9738 because its feature-extraction stack admits 3.21 million trainable parameters into the new classification head, almost an order of magnitude more adaptive capacity than ResNet50 (262 530 trainable parameters) or MobileNetV2 (164 226). The custom CNN, trained end-to-end with all 8.76 million parameters free, sits between VGG16 and ResNet50 at 0.9610 — a placement that confirms what the per-model HP search outcomes already hinted at: when the frozen backbone is mismatched to the target domain, freeing only a small classification head leaves the network unable to compensate, regardless of how powerful the original backbone was on ImageNet.</w:t>
      </w:r>
    </w:p>
    <w:p w14:paraId="6799DE6F">
      <w:pPr>
        <w:spacing w:before="0" w:after="120" w:line="360" w:lineRule="auto"/>
        <w:jc w:val="both"/>
      </w:pPr>
      <w:r>
        <w:rPr>
          <w:rFonts w:ascii="Arial" w:hAnsi="Arial" w:eastAsia="Arial" w:cs="Arial"/>
          <w:b w:val="0"/>
          <w:i w:val="0"/>
          <w:color w:val="000000"/>
          <w:sz w:val="22"/>
        </w:rPr>
        <w:t>The Optuna search results in §4.4.1 reinforce the same reading. The top validation accuracies achieved during the 6-trial budgets (0.9550 for VGG16, 0.9267 for ResNet50, 0.8967 for MobileNetV2) preserve their order through final training, which indicates that the search converged on a stable optimum for each backbone rather than landing on noisy local minima. The two AdamW selections (VGG16, MobileNetV2) and one Adam selection (ResNet50) confirm that decoupled weight decay (Loshchilov and Hutter, 2019) was the more reliable choice for the heads with larger trainable footprints, while Adam suited the tighter ResNet50 head. The learning rates that survived the search, 1.59e-4 for the AdamW backbones and 6.55e-4 for ResNet50, are within the conventional range for transfer-learning fine-tuning, and no model required an exotic schedule to reach its plateau.</w:t>
      </w:r>
    </w:p>
    <w:p w14:paraId="5FE14221">
      <w:pPr>
        <w:spacing w:before="0" w:after="120" w:line="360" w:lineRule="auto"/>
        <w:jc w:val="both"/>
      </w:pPr>
      <w:r>
        <w:rPr>
          <w:rFonts w:ascii="Arial" w:hAnsi="Arial" w:eastAsia="Arial" w:cs="Arial"/>
          <w:b w:val="0"/>
          <w:i w:val="0"/>
          <w:color w:val="000000"/>
          <w:sz w:val="22"/>
        </w:rPr>
        <w:t>The confusion matrices in Figure 8 show that the four models fail in qualitatively different ways. VGG16 produces nearly symmetric off-diagonal entries, the custom CNN and MobileNetV2 over-predict the cattle (majority) class by a small margin, and ResNet50 sits near symmetric. None of the matrices show class collapse, which means the differences in headline accuracy are driven by genuine feature-level discrimination rather than by a degenerate prior on one label. The Grad-CAM grid in Figure 9 corroborates this: VGG16's heatmaps are tightly localised on the animal body, the custom CNN's are slightly more diffuse but still on-subject, ResNet50 spreads attention across larger image regions, and MobileNetV2 occasionally peaks on background structures. The visual ordering of attention quality matches the test-accuracy ordering.</w:t>
      </w:r>
    </w:p>
    <w:p w14:paraId="76A9A3AF">
      <w:pPr>
        <w:spacing w:before="0" w:after="120" w:line="360" w:lineRule="auto"/>
        <w:jc w:val="both"/>
      </w:pPr>
      <w:r>
        <w:rPr>
          <w:rFonts w:ascii="Arial" w:hAnsi="Arial" w:eastAsia="Arial" w:cs="Arial"/>
          <w:b w:val="0"/>
          <w:i w:val="0"/>
          <w:color w:val="000000"/>
          <w:sz w:val="22"/>
        </w:rPr>
        <w:t>Two practical conclusions follow. The 2.4-percentage-point spread between best and worst transfer model is large relative to the run-to-run variation a single retraining is likely to produce, but it remains modest in operational terms; any of the four classifiers would be deployable as a head ahead of the YOLO counter. The failure of transfer learning to deliver a substantially larger lead over the custom CNN is consistent with the methodological reflection in §5.10: ImageNet's natural-image priors do not transfer cleanly to top-down UAV imagery of livestock, and freezing the backbone places a hard ceiling on adaptation.</w:t>
      </w:r>
    </w:p>
    <w:p w14:paraId="20EFC52C">
      <w:pPr>
        <w:pStyle w:val="3"/>
        <w:keepNext/>
        <w:spacing w:before="240" w:after="120" w:line="276" w:lineRule="auto"/>
        <w:jc w:val="left"/>
      </w:pPr>
      <w:bookmarkStart w:id="103" w:name="_Toc1509304764"/>
      <w:r>
        <w:rPr>
          <w:rFonts w:ascii="Arial" w:hAnsi="Arial" w:eastAsia="Arial" w:cs="Arial"/>
          <w:b/>
          <w:i w:val="0"/>
          <w:color w:val="000000"/>
          <w:sz w:val="26"/>
        </w:rPr>
        <w:t>4.5 YOLOv8 detection and counting</w:t>
      </w:r>
      <w:bookmarkEnd w:id="103"/>
    </w:p>
    <w:p w14:paraId="21F0975B">
      <w:pPr>
        <w:pStyle w:val="4"/>
        <w:keepNext/>
        <w:spacing w:before="160" w:after="80" w:line="276" w:lineRule="auto"/>
        <w:jc w:val="left"/>
      </w:pPr>
      <w:bookmarkStart w:id="104" w:name="_Toc808330184"/>
      <w:r>
        <w:rPr>
          <w:rFonts w:ascii="Arial" w:hAnsi="Arial" w:eastAsia="Arial" w:cs="Arial"/>
          <w:b/>
          <w:i w:val="0"/>
          <w:color w:val="000000"/>
          <w:sz w:val="24"/>
        </w:rPr>
        <w:t>4.5.1 Training trajectory and per-class detection metrics</w:t>
      </w:r>
      <w:bookmarkEnd w:id="104"/>
    </w:p>
    <w:p w14:paraId="22109C20">
      <w:pPr>
        <w:spacing w:before="0" w:after="120" w:line="360" w:lineRule="auto"/>
        <w:jc w:val="both"/>
      </w:pPr>
      <w:r>
        <w:rPr>
          <w:rFonts w:ascii="Arial" w:hAnsi="Arial" w:eastAsia="Arial" w:cs="Arial"/>
          <w:b w:val="0"/>
          <w:i w:val="0"/>
          <w:color w:val="000000"/>
          <w:sz w:val="22"/>
        </w:rPr>
        <w:t>YOLOv8n trained for 30 epochs on the T4. The final test evaluation across 1 835 images and 31 318 instances gave mAP@50 of 0.9478 and mAP@50-95 of 0.6007, with precision 0.9514 and recall 0.9011. Per-class AP@50 is 0.9429 for cattle (995 images, 11 042 instances) and 0.9527 for sheep (855 images, 20 276 instances). The harder mAP@50-95 reverses slightly: 0.6165 for cattle and 0.5850 for sheep, suggesting that cattle bounding boxes are localised more tightly even though the class-call is marginally easier on sheep.</w:t>
      </w:r>
    </w:p>
    <w:p w14:paraId="3A5084AE">
      <w:pPr>
        <w:keepNext/>
        <w:spacing w:before="160" w:after="40" w:line="240" w:lineRule="auto"/>
        <w:jc w:val="left"/>
      </w:pPr>
      <w:r>
        <w:rPr>
          <w:b w:val="0"/>
          <w:i w:val="0"/>
          <w:sz w:val="18"/>
        </w:rPr>
        <w:t>Table 7: YOLOv8n detection metrics on the held-out test set.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337E251B">
        <w:trPr>
          <w:jc w:val="center"/>
        </w:trPr>
        <w:tc>
          <w:tcPr>
            <w:tcW w:w="1805" w:type="dxa"/>
          </w:tcPr>
          <w:p w14:paraId="4F4BA0EE">
            <w:pPr>
              <w:jc w:val="center"/>
            </w:pPr>
            <w:r>
              <w:rPr>
                <w:rFonts w:ascii="Arial" w:hAnsi="Arial" w:eastAsia="Arial" w:cs="Arial"/>
                <w:b/>
                <w:i w:val="0"/>
                <w:color w:val="000000"/>
                <w:sz w:val="20"/>
              </w:rPr>
              <w:t>Class</w:t>
            </w:r>
          </w:p>
        </w:tc>
        <w:tc>
          <w:tcPr>
            <w:tcW w:w="1805" w:type="dxa"/>
          </w:tcPr>
          <w:p w14:paraId="5B7E469F">
            <w:pPr>
              <w:jc w:val="center"/>
            </w:pPr>
            <w:r>
              <w:rPr>
                <w:rFonts w:ascii="Arial" w:hAnsi="Arial" w:eastAsia="Arial" w:cs="Arial"/>
                <w:b/>
                <w:i w:val="0"/>
                <w:color w:val="000000"/>
                <w:sz w:val="20"/>
              </w:rPr>
              <w:t>Images</w:t>
            </w:r>
          </w:p>
        </w:tc>
        <w:tc>
          <w:tcPr>
            <w:tcW w:w="1805" w:type="dxa"/>
          </w:tcPr>
          <w:p w14:paraId="24D6BAD1">
            <w:pPr>
              <w:jc w:val="center"/>
            </w:pPr>
            <w:r>
              <w:rPr>
                <w:rFonts w:ascii="Arial" w:hAnsi="Arial" w:eastAsia="Arial" w:cs="Arial"/>
                <w:b/>
                <w:i w:val="0"/>
                <w:color w:val="000000"/>
                <w:sz w:val="20"/>
              </w:rPr>
              <w:t>Instances</w:t>
            </w:r>
          </w:p>
        </w:tc>
        <w:tc>
          <w:tcPr>
            <w:tcW w:w="1805" w:type="dxa"/>
          </w:tcPr>
          <w:p w14:paraId="60688C54">
            <w:pPr>
              <w:jc w:val="center"/>
            </w:pPr>
            <w:r>
              <w:rPr>
                <w:rFonts w:ascii="Arial" w:hAnsi="Arial" w:eastAsia="Arial" w:cs="Arial"/>
                <w:b/>
                <w:i w:val="0"/>
                <w:color w:val="000000"/>
                <w:sz w:val="20"/>
              </w:rPr>
              <w:t>AP@50</w:t>
            </w:r>
          </w:p>
        </w:tc>
        <w:tc>
          <w:tcPr>
            <w:tcW w:w="1805" w:type="dxa"/>
          </w:tcPr>
          <w:p w14:paraId="55A95715">
            <w:pPr>
              <w:jc w:val="center"/>
            </w:pPr>
            <w:r>
              <w:rPr>
                <w:rFonts w:ascii="Arial" w:hAnsi="Arial" w:eastAsia="Arial" w:cs="Arial"/>
                <w:b/>
                <w:i w:val="0"/>
                <w:color w:val="000000"/>
                <w:sz w:val="20"/>
              </w:rPr>
              <w:t>AP@50-95</w:t>
            </w:r>
          </w:p>
        </w:tc>
      </w:tr>
      <w:tr w14:paraId="32E113EE">
        <w:trPr>
          <w:jc w:val="center"/>
        </w:trPr>
        <w:tc>
          <w:tcPr>
            <w:tcW w:w="1805" w:type="dxa"/>
          </w:tcPr>
          <w:p w14:paraId="23F87EAC">
            <w:pPr>
              <w:jc w:val="left"/>
            </w:pPr>
            <w:r>
              <w:rPr>
                <w:rFonts w:ascii="Arial" w:hAnsi="Arial" w:eastAsia="Arial" w:cs="Arial"/>
                <w:b w:val="0"/>
                <w:i w:val="0"/>
                <w:color w:val="000000"/>
                <w:sz w:val="20"/>
              </w:rPr>
              <w:t>All</w:t>
            </w:r>
          </w:p>
        </w:tc>
        <w:tc>
          <w:tcPr>
            <w:tcW w:w="1805" w:type="dxa"/>
          </w:tcPr>
          <w:p w14:paraId="264B7F2F">
            <w:pPr>
              <w:jc w:val="center"/>
            </w:pPr>
            <w:r>
              <w:rPr>
                <w:rFonts w:ascii="Arial" w:hAnsi="Arial" w:eastAsia="Arial" w:cs="Arial"/>
                <w:b w:val="0"/>
                <w:i w:val="0"/>
                <w:color w:val="000000"/>
                <w:sz w:val="20"/>
              </w:rPr>
              <w:t>1835</w:t>
            </w:r>
          </w:p>
        </w:tc>
        <w:tc>
          <w:tcPr>
            <w:tcW w:w="1805" w:type="dxa"/>
          </w:tcPr>
          <w:p w14:paraId="3C4CA9D6">
            <w:pPr>
              <w:jc w:val="center"/>
            </w:pPr>
            <w:r>
              <w:rPr>
                <w:rFonts w:ascii="Arial" w:hAnsi="Arial" w:eastAsia="Arial" w:cs="Arial"/>
                <w:b w:val="0"/>
                <w:i w:val="0"/>
                <w:color w:val="000000"/>
                <w:sz w:val="20"/>
              </w:rPr>
              <w:t>31318</w:t>
            </w:r>
          </w:p>
        </w:tc>
        <w:tc>
          <w:tcPr>
            <w:tcW w:w="1805" w:type="dxa"/>
          </w:tcPr>
          <w:p w14:paraId="0F0172B9">
            <w:pPr>
              <w:jc w:val="center"/>
            </w:pPr>
            <w:r>
              <w:rPr>
                <w:rFonts w:ascii="Arial" w:hAnsi="Arial" w:eastAsia="Arial" w:cs="Arial"/>
                <w:b w:val="0"/>
                <w:i w:val="0"/>
                <w:color w:val="000000"/>
                <w:sz w:val="20"/>
              </w:rPr>
              <w:t>0.9478</w:t>
            </w:r>
          </w:p>
        </w:tc>
        <w:tc>
          <w:tcPr>
            <w:tcW w:w="1805" w:type="dxa"/>
          </w:tcPr>
          <w:p w14:paraId="7D1D15D3">
            <w:pPr>
              <w:jc w:val="center"/>
            </w:pPr>
            <w:r>
              <w:rPr>
                <w:rFonts w:ascii="Arial" w:hAnsi="Arial" w:eastAsia="Arial" w:cs="Arial"/>
                <w:b w:val="0"/>
                <w:i w:val="0"/>
                <w:color w:val="000000"/>
                <w:sz w:val="20"/>
              </w:rPr>
              <w:t>0.6007</w:t>
            </w:r>
          </w:p>
        </w:tc>
      </w:tr>
      <w:tr w14:paraId="5220BC55">
        <w:trPr>
          <w:jc w:val="center"/>
        </w:trPr>
        <w:tc>
          <w:tcPr>
            <w:tcW w:w="1805" w:type="dxa"/>
          </w:tcPr>
          <w:p w14:paraId="423376D3">
            <w:pPr>
              <w:jc w:val="left"/>
            </w:pPr>
            <w:r>
              <w:rPr>
                <w:rFonts w:ascii="Arial" w:hAnsi="Arial" w:eastAsia="Arial" w:cs="Arial"/>
                <w:b w:val="0"/>
                <w:i w:val="0"/>
                <w:color w:val="000000"/>
                <w:sz w:val="20"/>
              </w:rPr>
              <w:t>Cattle</w:t>
            </w:r>
          </w:p>
        </w:tc>
        <w:tc>
          <w:tcPr>
            <w:tcW w:w="1805" w:type="dxa"/>
          </w:tcPr>
          <w:p w14:paraId="236AF53F">
            <w:pPr>
              <w:jc w:val="center"/>
            </w:pPr>
            <w:r>
              <w:rPr>
                <w:rFonts w:ascii="Arial" w:hAnsi="Arial" w:eastAsia="Arial" w:cs="Arial"/>
                <w:b w:val="0"/>
                <w:i w:val="0"/>
                <w:color w:val="000000"/>
                <w:sz w:val="20"/>
              </w:rPr>
              <w:t>995</w:t>
            </w:r>
          </w:p>
        </w:tc>
        <w:tc>
          <w:tcPr>
            <w:tcW w:w="1805" w:type="dxa"/>
          </w:tcPr>
          <w:p w14:paraId="3DC6D51B">
            <w:pPr>
              <w:jc w:val="center"/>
            </w:pPr>
            <w:r>
              <w:rPr>
                <w:rFonts w:ascii="Arial" w:hAnsi="Arial" w:eastAsia="Arial" w:cs="Arial"/>
                <w:b w:val="0"/>
                <w:i w:val="0"/>
                <w:color w:val="000000"/>
                <w:sz w:val="20"/>
              </w:rPr>
              <w:t>11042</w:t>
            </w:r>
          </w:p>
        </w:tc>
        <w:tc>
          <w:tcPr>
            <w:tcW w:w="1805" w:type="dxa"/>
          </w:tcPr>
          <w:p w14:paraId="1C08C149">
            <w:pPr>
              <w:jc w:val="center"/>
            </w:pPr>
            <w:r>
              <w:rPr>
                <w:rFonts w:ascii="Arial" w:hAnsi="Arial" w:eastAsia="Arial" w:cs="Arial"/>
                <w:b w:val="0"/>
                <w:i w:val="0"/>
                <w:color w:val="000000"/>
                <w:sz w:val="20"/>
              </w:rPr>
              <w:t>0.9429</w:t>
            </w:r>
          </w:p>
        </w:tc>
        <w:tc>
          <w:tcPr>
            <w:tcW w:w="1805" w:type="dxa"/>
          </w:tcPr>
          <w:p w14:paraId="169740AD">
            <w:pPr>
              <w:jc w:val="center"/>
            </w:pPr>
            <w:r>
              <w:rPr>
                <w:rFonts w:ascii="Arial" w:hAnsi="Arial" w:eastAsia="Arial" w:cs="Arial"/>
                <w:b w:val="0"/>
                <w:i w:val="0"/>
                <w:color w:val="000000"/>
                <w:sz w:val="20"/>
              </w:rPr>
              <w:t>0.6165</w:t>
            </w:r>
          </w:p>
        </w:tc>
      </w:tr>
      <w:tr w14:paraId="3AD764A6">
        <w:trPr>
          <w:jc w:val="center"/>
        </w:trPr>
        <w:tc>
          <w:tcPr>
            <w:tcW w:w="1805" w:type="dxa"/>
          </w:tcPr>
          <w:p w14:paraId="79FFF558">
            <w:pPr>
              <w:jc w:val="left"/>
            </w:pPr>
            <w:r>
              <w:rPr>
                <w:rFonts w:ascii="Arial" w:hAnsi="Arial" w:eastAsia="Arial" w:cs="Arial"/>
                <w:b w:val="0"/>
                <w:i w:val="0"/>
                <w:color w:val="000000"/>
                <w:sz w:val="20"/>
              </w:rPr>
              <w:t>Sheep</w:t>
            </w:r>
          </w:p>
        </w:tc>
        <w:tc>
          <w:tcPr>
            <w:tcW w:w="1805" w:type="dxa"/>
          </w:tcPr>
          <w:p w14:paraId="7A307855">
            <w:pPr>
              <w:jc w:val="center"/>
            </w:pPr>
            <w:r>
              <w:rPr>
                <w:rFonts w:ascii="Arial" w:hAnsi="Arial" w:eastAsia="Arial" w:cs="Arial"/>
                <w:b w:val="0"/>
                <w:i w:val="0"/>
                <w:color w:val="000000"/>
                <w:sz w:val="20"/>
              </w:rPr>
              <w:t>855</w:t>
            </w:r>
          </w:p>
        </w:tc>
        <w:tc>
          <w:tcPr>
            <w:tcW w:w="1805" w:type="dxa"/>
          </w:tcPr>
          <w:p w14:paraId="0AD9A2FA">
            <w:pPr>
              <w:jc w:val="center"/>
            </w:pPr>
            <w:r>
              <w:rPr>
                <w:rFonts w:ascii="Arial" w:hAnsi="Arial" w:eastAsia="Arial" w:cs="Arial"/>
                <w:b w:val="0"/>
                <w:i w:val="0"/>
                <w:color w:val="000000"/>
                <w:sz w:val="20"/>
              </w:rPr>
              <w:t>20276</w:t>
            </w:r>
          </w:p>
        </w:tc>
        <w:tc>
          <w:tcPr>
            <w:tcW w:w="1805" w:type="dxa"/>
          </w:tcPr>
          <w:p w14:paraId="1A1D5802">
            <w:pPr>
              <w:jc w:val="center"/>
            </w:pPr>
            <w:r>
              <w:rPr>
                <w:rFonts w:ascii="Arial" w:hAnsi="Arial" w:eastAsia="Arial" w:cs="Arial"/>
                <w:b w:val="0"/>
                <w:i w:val="0"/>
                <w:color w:val="000000"/>
                <w:sz w:val="20"/>
              </w:rPr>
              <w:t>0.9527</w:t>
            </w:r>
          </w:p>
        </w:tc>
        <w:tc>
          <w:tcPr>
            <w:tcW w:w="1805" w:type="dxa"/>
          </w:tcPr>
          <w:p w14:paraId="6C0CEC63">
            <w:pPr>
              <w:jc w:val="center"/>
            </w:pPr>
            <w:r>
              <w:rPr>
                <w:rFonts w:ascii="Arial" w:hAnsi="Arial" w:eastAsia="Arial" w:cs="Arial"/>
                <w:b w:val="0"/>
                <w:i w:val="0"/>
                <w:color w:val="000000"/>
                <w:sz w:val="20"/>
              </w:rPr>
              <w:t>0.5850</w:t>
            </w:r>
          </w:p>
        </w:tc>
      </w:tr>
    </w:tbl>
    <w:p w14:paraId="2522E632">
      <w:pPr>
        <w:spacing w:before="0" w:after="160" w:line="240" w:lineRule="auto"/>
        <w:jc w:val="both"/>
      </w:pPr>
    </w:p>
    <w:p w14:paraId="0C6D035D">
      <w:pPr>
        <w:pStyle w:val="4"/>
        <w:keepNext/>
        <w:spacing w:before="160" w:after="80" w:line="276" w:lineRule="auto"/>
        <w:jc w:val="left"/>
      </w:pPr>
      <w:bookmarkStart w:id="105" w:name="_Toc623851566"/>
      <w:r>
        <w:rPr>
          <w:rFonts w:ascii="Arial" w:hAnsi="Arial" w:eastAsia="Arial" w:cs="Arial"/>
          <w:b/>
          <w:i w:val="0"/>
          <w:color w:val="000000"/>
          <w:sz w:val="24"/>
        </w:rPr>
        <w:t>4.5.2 Counting performance</w:t>
      </w:r>
      <w:bookmarkEnd w:id="105"/>
    </w:p>
    <w:p w14:paraId="0E3CAB7A">
      <w:pPr>
        <w:spacing w:before="0" w:after="120" w:line="360" w:lineRule="auto"/>
        <w:jc w:val="both"/>
      </w:pPr>
      <w:r>
        <w:rPr>
          <w:rFonts w:ascii="Arial" w:hAnsi="Arial" w:eastAsia="Arial" w:cs="Arial"/>
          <w:b w:val="0"/>
          <w:i w:val="0"/>
          <w:color w:val="000000"/>
          <w:sz w:val="22"/>
        </w:rPr>
        <w:t>Across 1 835 test images, mean ground-truth count was 17.07 animals per image and mean predicted count was 15.82. MAE was 1.576 and RMSE 3.218. R squared between predicted and ground-truth counts reached 0.9749. Of the 1 835 images, 857 (46.7 percent) returned an exact count match, 768 (41.9 percent) were undercounts, and 210 (11.4 percent) were overcounts. The asymmetry between under- and over-counting is meaningful: the model loses animals in dense scenes more often than it hallucinates them in sparse ones. Maximum ground-truth count was 105 and maximum predicted count was 101, so the model does not collapse on the dense extreme even when it cannot recover every individual. As a sanity baseline, predicting the per-image median count gave MAE 11.962 and predicting the mean gave 13.529, which puts the YOLO MAE of 1.576 in proper perspective.</w:t>
      </w:r>
    </w:p>
    <w:p w14:paraId="480475F6">
      <w:pPr>
        <w:keepNext/>
        <w:spacing w:before="120" w:after="40" w:line="240" w:lineRule="auto"/>
        <w:jc w:val="center"/>
      </w:pPr>
      <w:r>
        <w:drawing>
          <wp:inline distT="0" distB="0" distL="114300" distR="114300">
            <wp:extent cx="5399405" cy="2293620"/>
            <wp:effectExtent l="0" t="0" r="10795"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400000" cy="2293737"/>
                    </a:xfrm>
                    <a:prstGeom prst="rect">
                      <a:avLst/>
                    </a:prstGeom>
                  </pic:spPr>
                </pic:pic>
              </a:graphicData>
            </a:graphic>
          </wp:inline>
        </w:drawing>
      </w:r>
    </w:p>
    <w:p w14:paraId="4986A74F">
      <w:pPr>
        <w:spacing w:before="40" w:after="200" w:line="240" w:lineRule="auto"/>
        <w:jc w:val="center"/>
      </w:pPr>
      <w:r>
        <w:rPr>
          <w:b w:val="0"/>
          <w:i w:val="0"/>
          <w:sz w:val="18"/>
        </w:rPr>
        <w:t>Figure 10: YOLOv8 counting scatter and error histogram. Source: author.</w:t>
      </w:r>
    </w:p>
    <w:p w14:paraId="494391B9">
      <w:pPr>
        <w:pStyle w:val="4"/>
        <w:keepNext/>
        <w:spacing w:before="160" w:after="80" w:line="276" w:lineRule="auto"/>
        <w:jc w:val="left"/>
      </w:pPr>
      <w:bookmarkStart w:id="106" w:name="_Toc1058105108"/>
      <w:r>
        <w:rPr>
          <w:rFonts w:ascii="Arial" w:hAnsi="Arial" w:eastAsia="Arial" w:cs="Arial"/>
          <w:b/>
          <w:i w:val="0"/>
          <w:color w:val="000000"/>
          <w:sz w:val="24"/>
        </w:rPr>
        <w:t>4.5.3 Detection examples</w:t>
      </w:r>
      <w:bookmarkEnd w:id="106"/>
    </w:p>
    <w:p w14:paraId="29E2A537">
      <w:pPr>
        <w:spacing w:before="0" w:after="120" w:line="360" w:lineRule="auto"/>
        <w:jc w:val="both"/>
      </w:pPr>
      <w:r>
        <w:rPr>
          <w:rFonts w:ascii="Arial" w:hAnsi="Arial" w:eastAsia="Arial" w:cs="Arial"/>
          <w:b w:val="0"/>
          <w:i w:val="0"/>
          <w:color w:val="000000"/>
          <w:sz w:val="22"/>
        </w:rPr>
        <w:t>The detection example panel shows six representative test images. In sparse scenes, the model places one tight box around each animal with high confidence. In moderately dense flocks, individual sheep are isolated cleanly. The failure mode visible in the densest example is that overlapping animals at the centre of a tight cluster collapse into a single shared box, which is exactly the undercount mechanism that emerges in the per-subgroup counting analysis below.</w:t>
      </w:r>
    </w:p>
    <w:p w14:paraId="616F20B7">
      <w:pPr>
        <w:keepNext/>
        <w:spacing w:before="120" w:after="40" w:line="240" w:lineRule="auto"/>
        <w:jc w:val="center"/>
      </w:pPr>
      <w:r>
        <w:drawing>
          <wp:inline distT="0" distB="0" distL="114300" distR="114300">
            <wp:extent cx="5399405" cy="3503930"/>
            <wp:effectExtent l="0" t="0" r="1079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400000" cy="3504088"/>
                    </a:xfrm>
                    <a:prstGeom prst="rect">
                      <a:avLst/>
                    </a:prstGeom>
                  </pic:spPr>
                </pic:pic>
              </a:graphicData>
            </a:graphic>
          </wp:inline>
        </w:drawing>
      </w:r>
    </w:p>
    <w:p w14:paraId="63135BB5">
      <w:pPr>
        <w:spacing w:before="40" w:after="200" w:line="240" w:lineRule="auto"/>
        <w:jc w:val="center"/>
      </w:pPr>
      <w:r>
        <w:rPr>
          <w:b w:val="0"/>
          <w:i w:val="0"/>
          <w:sz w:val="18"/>
        </w:rPr>
        <w:t>Figure 11: YOLOv8 detection examples (2 by 3 grid). Source: author.</w:t>
      </w:r>
    </w:p>
    <w:p w14:paraId="063FE92C">
      <w:pPr>
        <w:spacing w:before="0" w:after="120" w:line="360" w:lineRule="auto"/>
        <w:jc w:val="both"/>
      </w:pPr>
      <w:r>
        <w:rPr>
          <w:rFonts w:ascii="Arial" w:hAnsi="Arial" w:eastAsia="Arial" w:cs="Arial"/>
          <w:b w:val="0"/>
          <w:i w:val="0"/>
          <w:color w:val="000000"/>
          <w:sz w:val="22"/>
        </w:rPr>
        <w:t>The contrast between mAP@50 (0.9478) and mAP@50-95 (0.6007) deserves a short reading. The 35-point drop is typical of single-stage detectors evaluated at strict IoU thresholds and is not, by itself, a sign of weak detection: it indicates that YOLOv8n locates animals reliably but that its bounding-box edges are loose. On UAV imagery this is expected, since wool boundaries, shadows, and tonal blending with grass make the precise pixel-level extent of an animal genuinely ambiguous, even for a human annotator. The per-class numbers refine the picture: cattle achieve a marginally lower AP@50 (0.9429) than sheep (0.9527), but cattle bounding boxes are localised more tightly under the strict metric (AP@50-95 0.6165 versus 0.5850), reflecting cattle's larger and more clearly delineated body outlines.</w:t>
      </w:r>
    </w:p>
    <w:p w14:paraId="6C3EB457">
      <w:pPr>
        <w:spacing w:before="0" w:after="120" w:line="360" w:lineRule="auto"/>
        <w:jc w:val="both"/>
      </w:pPr>
      <w:r>
        <w:rPr>
          <w:rFonts w:ascii="Arial" w:hAnsi="Arial" w:eastAsia="Arial" w:cs="Arial"/>
          <w:b w:val="0"/>
          <w:i w:val="0"/>
          <w:color w:val="000000"/>
          <w:sz w:val="22"/>
        </w:rPr>
        <w:t>The detection examples in Figure 11 support these aggregate numbers. False positives most often appear on bright objects with animal-like silhouettes — pale rocks, light patches of soil, isolated bushes — while false negatives concentrate on animals that overlap heavily with neighbours in dense flocks or that are partially clipped by the image edge. The undercount asymmetry visible in the counting scatter of Figure 10 (41.9 percent of test images undercounted, 11.4 percent overcounted) is the natural consequence of this failure mode: when neighbouring sheep merge into a single bounding box, the model loses individuals rather than inventing them. The largest absolute counting errors fall on the densest scenes, which is the regime that the per-subgroup analysis below isolates explicitly.</w:t>
      </w:r>
    </w:p>
    <w:p w14:paraId="1274D5D7">
      <w:pPr>
        <w:pStyle w:val="3"/>
        <w:keepNext/>
        <w:spacing w:before="240" w:after="120" w:line="276" w:lineRule="auto"/>
        <w:jc w:val="left"/>
      </w:pPr>
      <w:bookmarkStart w:id="107" w:name="_Toc260469349"/>
      <w:r>
        <w:rPr>
          <w:rFonts w:ascii="Arial" w:hAnsi="Arial" w:eastAsia="Arial" w:cs="Arial"/>
          <w:b/>
          <w:i w:val="0"/>
          <w:color w:val="000000"/>
          <w:sz w:val="26"/>
        </w:rPr>
        <w:t>4.6 Statistical comparison via McNemar test</w:t>
      </w:r>
      <w:bookmarkEnd w:id="107"/>
    </w:p>
    <w:p w14:paraId="3CA74E22">
      <w:pPr>
        <w:spacing w:before="0" w:after="120" w:line="360" w:lineRule="auto"/>
        <w:jc w:val="both"/>
      </w:pPr>
      <w:r>
        <w:rPr>
          <w:rFonts w:ascii="Arial" w:hAnsi="Arial" w:eastAsia="Arial" w:cs="Arial"/>
          <w:b w:val="0"/>
          <w:i w:val="0"/>
          <w:color w:val="000000"/>
          <w:sz w:val="22"/>
        </w:rPr>
        <w:t>Pairwise McNemar tests on the 7 744-crop test set produce six p-values. Five of the six are significant at conventional thresholds; only the Custom CNN versus ResNet50 comparison fails to reject the null (p=0.1475). The custom CNN beats MobileNetV2 with p=4.75e-05. VGG16 beats every other model with p&lt;0.001 across all three pairings. ResNet50 beats MobileNetV2 with p=9.05e-03.</w:t>
      </w:r>
    </w:p>
    <w:p w14:paraId="776BA288">
      <w:pPr>
        <w:keepNext/>
        <w:spacing w:before="160" w:after="40" w:line="240" w:lineRule="auto"/>
        <w:jc w:val="left"/>
      </w:pPr>
      <w:r>
        <w:rPr>
          <w:b w:val="0"/>
          <w:i w:val="0"/>
          <w:sz w:val="18"/>
        </w:rPr>
        <w:t>Table 8: McNemar pairwise comparisons across the four classifiers.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715EC897">
        <w:trPr>
          <w:jc w:val="center"/>
        </w:trPr>
        <w:tc>
          <w:tcPr>
            <w:tcW w:w="1805" w:type="dxa"/>
          </w:tcPr>
          <w:p w14:paraId="53E61536">
            <w:pPr>
              <w:jc w:val="center"/>
            </w:pPr>
            <w:r>
              <w:rPr>
                <w:rFonts w:ascii="Arial" w:hAnsi="Arial" w:eastAsia="Arial" w:cs="Arial"/>
                <w:b/>
                <w:i w:val="0"/>
                <w:color w:val="000000"/>
                <w:sz w:val="20"/>
              </w:rPr>
              <w:t>Pair</w:t>
            </w:r>
          </w:p>
        </w:tc>
        <w:tc>
          <w:tcPr>
            <w:tcW w:w="1805" w:type="dxa"/>
          </w:tcPr>
          <w:p w14:paraId="25024C0C">
            <w:pPr>
              <w:jc w:val="center"/>
            </w:pPr>
            <w:r>
              <w:rPr>
                <w:rFonts w:ascii="Arial" w:hAnsi="Arial" w:eastAsia="Arial" w:cs="Arial"/>
                <w:b/>
                <w:i w:val="0"/>
                <w:color w:val="000000"/>
                <w:sz w:val="20"/>
              </w:rPr>
              <w:t>Statistic</w:t>
            </w:r>
          </w:p>
        </w:tc>
        <w:tc>
          <w:tcPr>
            <w:tcW w:w="1805" w:type="dxa"/>
          </w:tcPr>
          <w:p w14:paraId="399DF985">
            <w:pPr>
              <w:jc w:val="center"/>
            </w:pPr>
            <w:r>
              <w:rPr>
                <w:rFonts w:ascii="Arial" w:hAnsi="Arial" w:eastAsia="Arial" w:cs="Arial"/>
                <w:b/>
                <w:i w:val="0"/>
                <w:color w:val="000000"/>
                <w:sz w:val="20"/>
              </w:rPr>
              <w:t>p-value</w:t>
            </w:r>
          </w:p>
        </w:tc>
        <w:tc>
          <w:tcPr>
            <w:tcW w:w="1805" w:type="dxa"/>
          </w:tcPr>
          <w:p w14:paraId="2D0783F2">
            <w:pPr>
              <w:jc w:val="center"/>
            </w:pPr>
            <w:r>
              <w:rPr>
                <w:rFonts w:ascii="Arial" w:hAnsi="Arial" w:eastAsia="Arial" w:cs="Arial"/>
                <w:b/>
                <w:i w:val="0"/>
                <w:color w:val="000000"/>
                <w:sz w:val="20"/>
              </w:rPr>
              <w:t>Significant</w:t>
            </w:r>
          </w:p>
        </w:tc>
        <w:tc>
          <w:tcPr>
            <w:tcW w:w="1805" w:type="dxa"/>
          </w:tcPr>
          <w:p w14:paraId="02D92176">
            <w:pPr>
              <w:jc w:val="center"/>
            </w:pPr>
            <w:r>
              <w:rPr>
                <w:rFonts w:ascii="Arial" w:hAnsi="Arial" w:eastAsia="Arial" w:cs="Arial"/>
                <w:b/>
                <w:i w:val="0"/>
                <w:color w:val="000000"/>
                <w:sz w:val="20"/>
              </w:rPr>
              <w:t>Better</w:t>
            </w:r>
          </w:p>
        </w:tc>
      </w:tr>
      <w:tr w14:paraId="04B9EAF4">
        <w:trPr>
          <w:jc w:val="center"/>
        </w:trPr>
        <w:tc>
          <w:tcPr>
            <w:tcW w:w="1805" w:type="dxa"/>
          </w:tcPr>
          <w:p w14:paraId="528FF981">
            <w:pPr>
              <w:jc w:val="left"/>
            </w:pPr>
            <w:r>
              <w:rPr>
                <w:rFonts w:ascii="Arial" w:hAnsi="Arial" w:eastAsia="Arial" w:cs="Arial"/>
                <w:b w:val="0"/>
                <w:i w:val="0"/>
                <w:color w:val="000000"/>
                <w:sz w:val="20"/>
              </w:rPr>
              <w:t>Custom vs ResNet50</w:t>
            </w:r>
          </w:p>
        </w:tc>
        <w:tc>
          <w:tcPr>
            <w:tcW w:w="1805" w:type="dxa"/>
          </w:tcPr>
          <w:p w14:paraId="5BD005F7">
            <w:pPr>
              <w:jc w:val="center"/>
            </w:pPr>
            <w:r>
              <w:rPr>
                <w:rFonts w:ascii="Arial" w:hAnsi="Arial" w:eastAsia="Arial" w:cs="Arial"/>
                <w:b w:val="0"/>
                <w:i w:val="0"/>
                <w:color w:val="000000"/>
                <w:sz w:val="20"/>
              </w:rPr>
              <w:t>n.s.</w:t>
            </w:r>
          </w:p>
        </w:tc>
        <w:tc>
          <w:tcPr>
            <w:tcW w:w="1805" w:type="dxa"/>
          </w:tcPr>
          <w:p w14:paraId="29AAA359">
            <w:pPr>
              <w:jc w:val="center"/>
            </w:pPr>
            <w:r>
              <w:rPr>
                <w:rFonts w:ascii="Arial" w:hAnsi="Arial" w:eastAsia="Arial" w:cs="Arial"/>
                <w:b w:val="0"/>
                <w:i w:val="0"/>
                <w:color w:val="000000"/>
                <w:sz w:val="20"/>
              </w:rPr>
              <w:t>0.1475</w:t>
            </w:r>
          </w:p>
        </w:tc>
        <w:tc>
          <w:tcPr>
            <w:tcW w:w="1805" w:type="dxa"/>
          </w:tcPr>
          <w:p w14:paraId="463E78BC">
            <w:pPr>
              <w:jc w:val="center"/>
            </w:pPr>
            <w:r>
              <w:rPr>
                <w:rFonts w:ascii="Arial" w:hAnsi="Arial" w:eastAsia="Arial" w:cs="Arial"/>
                <w:b w:val="0"/>
                <w:i w:val="0"/>
                <w:color w:val="000000"/>
                <w:sz w:val="20"/>
              </w:rPr>
              <w:t>No</w:t>
            </w:r>
          </w:p>
        </w:tc>
        <w:tc>
          <w:tcPr>
            <w:tcW w:w="1805" w:type="dxa"/>
          </w:tcPr>
          <w:p w14:paraId="41AEB902">
            <w:pPr>
              <w:jc w:val="center"/>
            </w:pPr>
            <w:r>
              <w:rPr>
                <w:rFonts w:ascii="Arial" w:hAnsi="Arial" w:eastAsia="Arial" w:cs="Arial"/>
                <w:b w:val="0"/>
                <w:i w:val="0"/>
                <w:color w:val="000000"/>
                <w:sz w:val="20"/>
              </w:rPr>
              <w:t>Custom (slight)</w:t>
            </w:r>
          </w:p>
        </w:tc>
      </w:tr>
      <w:tr w14:paraId="3FF2249C">
        <w:trPr>
          <w:jc w:val="center"/>
        </w:trPr>
        <w:tc>
          <w:tcPr>
            <w:tcW w:w="1805" w:type="dxa"/>
          </w:tcPr>
          <w:p w14:paraId="53BE9CDC">
            <w:pPr>
              <w:jc w:val="left"/>
            </w:pPr>
            <w:r>
              <w:rPr>
                <w:rFonts w:ascii="Arial" w:hAnsi="Arial" w:eastAsia="Arial" w:cs="Arial"/>
                <w:b w:val="0"/>
                <w:i w:val="0"/>
                <w:color w:val="000000"/>
                <w:sz w:val="20"/>
              </w:rPr>
              <w:t>Custom vs VGG16</w:t>
            </w:r>
          </w:p>
        </w:tc>
        <w:tc>
          <w:tcPr>
            <w:tcW w:w="1805" w:type="dxa"/>
          </w:tcPr>
          <w:p w14:paraId="3D389534">
            <w:pPr>
              <w:jc w:val="center"/>
            </w:pPr>
            <w:r>
              <w:rPr>
                <w:rFonts w:ascii="Arial" w:hAnsi="Arial" w:eastAsia="Arial" w:cs="Arial"/>
                <w:b w:val="0"/>
                <w:i w:val="0"/>
                <w:color w:val="000000"/>
                <w:sz w:val="20"/>
              </w:rPr>
              <w:t>chi2</w:t>
            </w:r>
          </w:p>
        </w:tc>
        <w:tc>
          <w:tcPr>
            <w:tcW w:w="1805" w:type="dxa"/>
          </w:tcPr>
          <w:p w14:paraId="43FCD9EC">
            <w:pPr>
              <w:jc w:val="center"/>
            </w:pPr>
            <w:r>
              <w:rPr>
                <w:rFonts w:ascii="Arial" w:hAnsi="Arial" w:eastAsia="Arial" w:cs="Arial"/>
                <w:b w:val="0"/>
                <w:i w:val="0"/>
                <w:color w:val="000000"/>
                <w:sz w:val="20"/>
              </w:rPr>
              <w:t>2.74e-08</w:t>
            </w:r>
          </w:p>
        </w:tc>
        <w:tc>
          <w:tcPr>
            <w:tcW w:w="1805" w:type="dxa"/>
          </w:tcPr>
          <w:p w14:paraId="501E3668">
            <w:pPr>
              <w:jc w:val="center"/>
            </w:pPr>
            <w:r>
              <w:rPr>
                <w:rFonts w:ascii="Arial" w:hAnsi="Arial" w:eastAsia="Arial" w:cs="Arial"/>
                <w:b w:val="0"/>
                <w:i w:val="0"/>
                <w:color w:val="000000"/>
                <w:sz w:val="20"/>
              </w:rPr>
              <w:t>Yes</w:t>
            </w:r>
          </w:p>
        </w:tc>
        <w:tc>
          <w:tcPr>
            <w:tcW w:w="1805" w:type="dxa"/>
          </w:tcPr>
          <w:p w14:paraId="0BDA98F0">
            <w:pPr>
              <w:jc w:val="center"/>
            </w:pPr>
            <w:r>
              <w:rPr>
                <w:rFonts w:ascii="Arial" w:hAnsi="Arial" w:eastAsia="Arial" w:cs="Arial"/>
                <w:b w:val="0"/>
                <w:i w:val="0"/>
                <w:color w:val="000000"/>
                <w:sz w:val="20"/>
              </w:rPr>
              <w:t>VGG16</w:t>
            </w:r>
          </w:p>
        </w:tc>
      </w:tr>
      <w:tr w14:paraId="58BD1AFF">
        <w:trPr>
          <w:jc w:val="center"/>
        </w:trPr>
        <w:tc>
          <w:tcPr>
            <w:tcW w:w="1805" w:type="dxa"/>
          </w:tcPr>
          <w:p w14:paraId="6F5951C7">
            <w:pPr>
              <w:jc w:val="left"/>
            </w:pPr>
            <w:r>
              <w:rPr>
                <w:rFonts w:ascii="Arial" w:hAnsi="Arial" w:eastAsia="Arial" w:cs="Arial"/>
                <w:b w:val="0"/>
                <w:i w:val="0"/>
                <w:color w:val="000000"/>
                <w:sz w:val="20"/>
              </w:rPr>
              <w:t>Custom vs MobileNetV2</w:t>
            </w:r>
          </w:p>
        </w:tc>
        <w:tc>
          <w:tcPr>
            <w:tcW w:w="1805" w:type="dxa"/>
          </w:tcPr>
          <w:p w14:paraId="418839BC">
            <w:pPr>
              <w:jc w:val="center"/>
            </w:pPr>
            <w:r>
              <w:rPr>
                <w:rFonts w:ascii="Arial" w:hAnsi="Arial" w:eastAsia="Arial" w:cs="Arial"/>
                <w:b w:val="0"/>
                <w:i w:val="0"/>
                <w:color w:val="000000"/>
                <w:sz w:val="20"/>
              </w:rPr>
              <w:t>chi2</w:t>
            </w:r>
          </w:p>
        </w:tc>
        <w:tc>
          <w:tcPr>
            <w:tcW w:w="1805" w:type="dxa"/>
          </w:tcPr>
          <w:p w14:paraId="02789453">
            <w:pPr>
              <w:jc w:val="center"/>
            </w:pPr>
            <w:r>
              <w:rPr>
                <w:rFonts w:ascii="Arial" w:hAnsi="Arial" w:eastAsia="Arial" w:cs="Arial"/>
                <w:b w:val="0"/>
                <w:i w:val="0"/>
                <w:color w:val="000000"/>
                <w:sz w:val="20"/>
              </w:rPr>
              <w:t>4.75e-05</w:t>
            </w:r>
          </w:p>
        </w:tc>
        <w:tc>
          <w:tcPr>
            <w:tcW w:w="1805" w:type="dxa"/>
          </w:tcPr>
          <w:p w14:paraId="42048D5A">
            <w:pPr>
              <w:jc w:val="center"/>
            </w:pPr>
            <w:r>
              <w:rPr>
                <w:rFonts w:ascii="Arial" w:hAnsi="Arial" w:eastAsia="Arial" w:cs="Arial"/>
                <w:b w:val="0"/>
                <w:i w:val="0"/>
                <w:color w:val="000000"/>
                <w:sz w:val="20"/>
              </w:rPr>
              <w:t>Yes</w:t>
            </w:r>
          </w:p>
        </w:tc>
        <w:tc>
          <w:tcPr>
            <w:tcW w:w="1805" w:type="dxa"/>
          </w:tcPr>
          <w:p w14:paraId="7B3C53AF">
            <w:pPr>
              <w:jc w:val="center"/>
            </w:pPr>
            <w:r>
              <w:rPr>
                <w:rFonts w:ascii="Arial" w:hAnsi="Arial" w:eastAsia="Arial" w:cs="Arial"/>
                <w:b w:val="0"/>
                <w:i w:val="0"/>
                <w:color w:val="000000"/>
                <w:sz w:val="20"/>
              </w:rPr>
              <w:t>Custom</w:t>
            </w:r>
          </w:p>
        </w:tc>
      </w:tr>
      <w:tr w14:paraId="69AA7A39">
        <w:trPr>
          <w:jc w:val="center"/>
        </w:trPr>
        <w:tc>
          <w:tcPr>
            <w:tcW w:w="1805" w:type="dxa"/>
          </w:tcPr>
          <w:p w14:paraId="7FC42243">
            <w:pPr>
              <w:jc w:val="left"/>
            </w:pPr>
            <w:r>
              <w:rPr>
                <w:rFonts w:ascii="Arial" w:hAnsi="Arial" w:eastAsia="Arial" w:cs="Arial"/>
                <w:b w:val="0"/>
                <w:i w:val="0"/>
                <w:color w:val="000000"/>
                <w:sz w:val="20"/>
              </w:rPr>
              <w:t>ResNet50 vs VGG16</w:t>
            </w:r>
          </w:p>
        </w:tc>
        <w:tc>
          <w:tcPr>
            <w:tcW w:w="1805" w:type="dxa"/>
          </w:tcPr>
          <w:p w14:paraId="50E44FA7">
            <w:pPr>
              <w:jc w:val="center"/>
            </w:pPr>
            <w:r>
              <w:rPr>
                <w:rFonts w:ascii="Arial" w:hAnsi="Arial" w:eastAsia="Arial" w:cs="Arial"/>
                <w:b w:val="0"/>
                <w:i w:val="0"/>
                <w:color w:val="000000"/>
                <w:sz w:val="20"/>
              </w:rPr>
              <w:t>chi2</w:t>
            </w:r>
          </w:p>
        </w:tc>
        <w:tc>
          <w:tcPr>
            <w:tcW w:w="1805" w:type="dxa"/>
          </w:tcPr>
          <w:p w14:paraId="4515D033">
            <w:pPr>
              <w:jc w:val="center"/>
            </w:pPr>
            <w:r>
              <w:rPr>
                <w:rFonts w:ascii="Arial" w:hAnsi="Arial" w:eastAsia="Arial" w:cs="Arial"/>
                <w:b w:val="0"/>
                <w:i w:val="0"/>
                <w:color w:val="000000"/>
                <w:sz w:val="20"/>
              </w:rPr>
              <w:t>1.20e-11</w:t>
            </w:r>
          </w:p>
        </w:tc>
        <w:tc>
          <w:tcPr>
            <w:tcW w:w="1805" w:type="dxa"/>
          </w:tcPr>
          <w:p w14:paraId="61656EF7">
            <w:pPr>
              <w:jc w:val="center"/>
            </w:pPr>
            <w:r>
              <w:rPr>
                <w:rFonts w:ascii="Arial" w:hAnsi="Arial" w:eastAsia="Arial" w:cs="Arial"/>
                <w:b w:val="0"/>
                <w:i w:val="0"/>
                <w:color w:val="000000"/>
                <w:sz w:val="20"/>
              </w:rPr>
              <w:t>Yes</w:t>
            </w:r>
          </w:p>
        </w:tc>
        <w:tc>
          <w:tcPr>
            <w:tcW w:w="1805" w:type="dxa"/>
          </w:tcPr>
          <w:p w14:paraId="7F485050">
            <w:pPr>
              <w:jc w:val="center"/>
            </w:pPr>
            <w:r>
              <w:rPr>
                <w:rFonts w:ascii="Arial" w:hAnsi="Arial" w:eastAsia="Arial" w:cs="Arial"/>
                <w:b w:val="0"/>
                <w:i w:val="0"/>
                <w:color w:val="000000"/>
                <w:sz w:val="20"/>
              </w:rPr>
              <w:t>VGG16</w:t>
            </w:r>
          </w:p>
        </w:tc>
      </w:tr>
      <w:tr w14:paraId="5947ECE9">
        <w:trPr>
          <w:jc w:val="center"/>
        </w:trPr>
        <w:tc>
          <w:tcPr>
            <w:tcW w:w="1805" w:type="dxa"/>
          </w:tcPr>
          <w:p w14:paraId="66F19668">
            <w:pPr>
              <w:jc w:val="left"/>
            </w:pPr>
            <w:r>
              <w:rPr>
                <w:rFonts w:ascii="Arial" w:hAnsi="Arial" w:eastAsia="Arial" w:cs="Arial"/>
                <w:b w:val="0"/>
                <w:i w:val="0"/>
                <w:color w:val="000000"/>
                <w:sz w:val="20"/>
              </w:rPr>
              <w:t>ResNet50 vs MobileNetV2</w:t>
            </w:r>
          </w:p>
        </w:tc>
        <w:tc>
          <w:tcPr>
            <w:tcW w:w="1805" w:type="dxa"/>
          </w:tcPr>
          <w:p w14:paraId="307C9726">
            <w:pPr>
              <w:jc w:val="center"/>
            </w:pPr>
            <w:r>
              <w:rPr>
                <w:rFonts w:ascii="Arial" w:hAnsi="Arial" w:eastAsia="Arial" w:cs="Arial"/>
                <w:b w:val="0"/>
                <w:i w:val="0"/>
                <w:color w:val="000000"/>
                <w:sz w:val="20"/>
              </w:rPr>
              <w:t>chi2</w:t>
            </w:r>
          </w:p>
        </w:tc>
        <w:tc>
          <w:tcPr>
            <w:tcW w:w="1805" w:type="dxa"/>
          </w:tcPr>
          <w:p w14:paraId="75612D27">
            <w:pPr>
              <w:jc w:val="center"/>
            </w:pPr>
            <w:r>
              <w:rPr>
                <w:rFonts w:ascii="Arial" w:hAnsi="Arial" w:eastAsia="Arial" w:cs="Arial"/>
                <w:b w:val="0"/>
                <w:i w:val="0"/>
                <w:color w:val="000000"/>
                <w:sz w:val="20"/>
              </w:rPr>
              <w:t>9.05e-03</w:t>
            </w:r>
          </w:p>
        </w:tc>
        <w:tc>
          <w:tcPr>
            <w:tcW w:w="1805" w:type="dxa"/>
          </w:tcPr>
          <w:p w14:paraId="432FB39F">
            <w:pPr>
              <w:jc w:val="center"/>
            </w:pPr>
            <w:r>
              <w:rPr>
                <w:rFonts w:ascii="Arial" w:hAnsi="Arial" w:eastAsia="Arial" w:cs="Arial"/>
                <w:b w:val="0"/>
                <w:i w:val="0"/>
                <w:color w:val="000000"/>
                <w:sz w:val="20"/>
              </w:rPr>
              <w:t>Yes</w:t>
            </w:r>
          </w:p>
        </w:tc>
        <w:tc>
          <w:tcPr>
            <w:tcW w:w="1805" w:type="dxa"/>
          </w:tcPr>
          <w:p w14:paraId="02CEA38A">
            <w:pPr>
              <w:jc w:val="center"/>
            </w:pPr>
            <w:r>
              <w:rPr>
                <w:rFonts w:ascii="Arial" w:hAnsi="Arial" w:eastAsia="Arial" w:cs="Arial"/>
                <w:b w:val="0"/>
                <w:i w:val="0"/>
                <w:color w:val="000000"/>
                <w:sz w:val="20"/>
              </w:rPr>
              <w:t>ResNet50</w:t>
            </w:r>
          </w:p>
        </w:tc>
      </w:tr>
      <w:tr w14:paraId="326CBA1B">
        <w:trPr>
          <w:jc w:val="center"/>
        </w:trPr>
        <w:tc>
          <w:tcPr>
            <w:tcW w:w="1805" w:type="dxa"/>
          </w:tcPr>
          <w:p w14:paraId="06F2E579">
            <w:pPr>
              <w:jc w:val="left"/>
            </w:pPr>
            <w:r>
              <w:rPr>
                <w:rFonts w:ascii="Arial" w:hAnsi="Arial" w:eastAsia="Arial" w:cs="Arial"/>
                <w:b w:val="0"/>
                <w:i w:val="0"/>
                <w:color w:val="000000"/>
                <w:sz w:val="20"/>
              </w:rPr>
              <w:t>VGG16 vs MobileNetV2</w:t>
            </w:r>
          </w:p>
        </w:tc>
        <w:tc>
          <w:tcPr>
            <w:tcW w:w="1805" w:type="dxa"/>
          </w:tcPr>
          <w:p w14:paraId="5CB78A40">
            <w:pPr>
              <w:jc w:val="center"/>
            </w:pPr>
            <w:r>
              <w:rPr>
                <w:rFonts w:ascii="Arial" w:hAnsi="Arial" w:eastAsia="Arial" w:cs="Arial"/>
                <w:b w:val="0"/>
                <w:i w:val="0"/>
                <w:color w:val="000000"/>
                <w:sz w:val="20"/>
              </w:rPr>
              <w:t>chi2</w:t>
            </w:r>
          </w:p>
        </w:tc>
        <w:tc>
          <w:tcPr>
            <w:tcW w:w="1805" w:type="dxa"/>
          </w:tcPr>
          <w:p w14:paraId="173BA6FF">
            <w:pPr>
              <w:jc w:val="center"/>
            </w:pPr>
            <w:r>
              <w:rPr>
                <w:rFonts w:ascii="Arial" w:hAnsi="Arial" w:eastAsia="Arial" w:cs="Arial"/>
                <w:b w:val="0"/>
                <w:i w:val="0"/>
                <w:color w:val="000000"/>
                <w:sz w:val="20"/>
              </w:rPr>
              <w:t>1.42e-21</w:t>
            </w:r>
          </w:p>
        </w:tc>
        <w:tc>
          <w:tcPr>
            <w:tcW w:w="1805" w:type="dxa"/>
          </w:tcPr>
          <w:p w14:paraId="6323AC56">
            <w:pPr>
              <w:jc w:val="center"/>
            </w:pPr>
            <w:r>
              <w:rPr>
                <w:rFonts w:ascii="Arial" w:hAnsi="Arial" w:eastAsia="Arial" w:cs="Arial"/>
                <w:b w:val="0"/>
                <w:i w:val="0"/>
                <w:color w:val="000000"/>
                <w:sz w:val="20"/>
              </w:rPr>
              <w:t>Yes</w:t>
            </w:r>
          </w:p>
        </w:tc>
        <w:tc>
          <w:tcPr>
            <w:tcW w:w="1805" w:type="dxa"/>
          </w:tcPr>
          <w:p w14:paraId="4DC59132">
            <w:pPr>
              <w:jc w:val="center"/>
            </w:pPr>
            <w:r>
              <w:rPr>
                <w:rFonts w:ascii="Arial" w:hAnsi="Arial" w:eastAsia="Arial" w:cs="Arial"/>
                <w:b w:val="0"/>
                <w:i w:val="0"/>
                <w:color w:val="000000"/>
                <w:sz w:val="20"/>
              </w:rPr>
              <w:t>VGG16</w:t>
            </w:r>
          </w:p>
        </w:tc>
      </w:tr>
    </w:tbl>
    <w:p w14:paraId="247253A7">
      <w:pPr>
        <w:spacing w:before="0" w:after="160" w:line="240" w:lineRule="auto"/>
        <w:jc w:val="both"/>
      </w:pPr>
    </w:p>
    <w:p w14:paraId="7B7FD6DC">
      <w:pPr>
        <w:spacing w:before="0" w:after="120" w:line="360" w:lineRule="auto"/>
        <w:jc w:val="both"/>
      </w:pPr>
      <w:r>
        <w:rPr>
          <w:rFonts w:ascii="Arial" w:hAnsi="Arial" w:eastAsia="Arial" w:cs="Arial"/>
          <w:b w:val="0"/>
          <w:i w:val="0"/>
          <w:color w:val="000000"/>
          <w:sz w:val="22"/>
        </w:rPr>
        <w:t>The Custom-versus-ResNet50 result is worth pausing on. The 0.40-percentage-point gap in raw accuracy disappears under the McNemar lens because the two models often disagree on different crops, and their discordant pairs cancel out. In other words, the custom CNN is statistically indistinguishable from ResNet50 at this sample size on this task, which is a stronger statement than the headline numbers alone suggest.</w:t>
      </w:r>
    </w:p>
    <w:p w14:paraId="42498E17">
      <w:pPr>
        <w:pStyle w:val="3"/>
        <w:keepNext/>
        <w:spacing w:before="240" w:after="120" w:line="276" w:lineRule="auto"/>
        <w:jc w:val="left"/>
      </w:pPr>
      <w:bookmarkStart w:id="108" w:name="_Toc1136676057"/>
      <w:r>
        <w:rPr>
          <w:rFonts w:ascii="Arial" w:hAnsi="Arial" w:eastAsia="Arial" w:cs="Arial"/>
          <w:b/>
          <w:i w:val="0"/>
          <w:color w:val="000000"/>
          <w:sz w:val="26"/>
        </w:rPr>
        <w:t>4.7 Per-subgroup analysis</w:t>
      </w:r>
      <w:bookmarkEnd w:id="108"/>
    </w:p>
    <w:p w14:paraId="5AB0FBB0">
      <w:pPr>
        <w:pStyle w:val="4"/>
        <w:keepNext/>
        <w:spacing w:before="160" w:after="80" w:line="276" w:lineRule="auto"/>
        <w:jc w:val="left"/>
      </w:pPr>
      <w:bookmarkStart w:id="109" w:name="_Toc99966287"/>
      <w:r>
        <w:rPr>
          <w:rFonts w:ascii="Arial" w:hAnsi="Arial" w:eastAsia="Arial" w:cs="Arial"/>
          <w:b/>
          <w:i w:val="0"/>
          <w:color w:val="000000"/>
          <w:sz w:val="24"/>
        </w:rPr>
        <w:t>4.7.1 Lighting by model accuracy</w:t>
      </w:r>
      <w:bookmarkEnd w:id="109"/>
    </w:p>
    <w:p w14:paraId="578DBC9E">
      <w:pPr>
        <w:spacing w:before="0" w:after="120" w:line="360" w:lineRule="auto"/>
        <w:jc w:val="both"/>
      </w:pPr>
      <w:r>
        <w:rPr>
          <w:rFonts w:ascii="Arial" w:hAnsi="Arial" w:eastAsia="Arial" w:cs="Arial"/>
          <w:b w:val="0"/>
          <w:i w:val="0"/>
          <w:color w:val="000000"/>
          <w:sz w:val="22"/>
        </w:rPr>
        <w:t>The lighting cross-tabulation reveals that VGG16 holds its lead under every lighting condition, but the spread between models is widest in the bright subgroup. MobileNetV2 drops to 0.9180 under bright light, against 0.9723 for VGG16, a 5.4-point gap. In dim light all four models actually perform best, with accuracies between 0.9579 and 0.9784. Overcast (the majority condition with 6 036 crops) tracks the overall ranking closely.</w:t>
      </w:r>
    </w:p>
    <w:p w14:paraId="5C470BC9">
      <w:pPr>
        <w:keepNext/>
        <w:spacing w:before="160" w:after="40" w:line="240" w:lineRule="auto"/>
        <w:jc w:val="left"/>
      </w:pPr>
      <w:r>
        <w:rPr>
          <w:b w:val="0"/>
          <w:i w:val="0"/>
          <w:sz w:val="18"/>
        </w:rPr>
        <w:t>Table 9: Per-classifier accuracy by lighting subgroup.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504"/>
        <w:gridCol w:w="1504"/>
        <w:gridCol w:w="1504"/>
        <w:gridCol w:w="1504"/>
        <w:gridCol w:w="1504"/>
        <w:gridCol w:w="1504"/>
      </w:tblGrid>
      <w:tr w14:paraId="14F5B5C7">
        <w:trPr>
          <w:jc w:val="center"/>
        </w:trPr>
        <w:tc>
          <w:tcPr>
            <w:tcW w:w="1504" w:type="dxa"/>
          </w:tcPr>
          <w:p w14:paraId="0AE4627A">
            <w:pPr>
              <w:jc w:val="center"/>
            </w:pPr>
            <w:r>
              <w:rPr>
                <w:rFonts w:ascii="Arial" w:hAnsi="Arial" w:eastAsia="Arial" w:cs="Arial"/>
                <w:b/>
                <w:i w:val="0"/>
                <w:color w:val="000000"/>
                <w:sz w:val="20"/>
              </w:rPr>
              <w:t>Lighting</w:t>
            </w:r>
          </w:p>
        </w:tc>
        <w:tc>
          <w:tcPr>
            <w:tcW w:w="1504" w:type="dxa"/>
          </w:tcPr>
          <w:p w14:paraId="7F8A066C">
            <w:pPr>
              <w:jc w:val="center"/>
            </w:pPr>
            <w:r>
              <w:rPr>
                <w:rFonts w:ascii="Arial" w:hAnsi="Arial" w:eastAsia="Arial" w:cs="Arial"/>
                <w:b/>
                <w:i w:val="0"/>
                <w:color w:val="000000"/>
                <w:sz w:val="20"/>
              </w:rPr>
              <w:t>n</w:t>
            </w:r>
          </w:p>
        </w:tc>
        <w:tc>
          <w:tcPr>
            <w:tcW w:w="1504" w:type="dxa"/>
          </w:tcPr>
          <w:p w14:paraId="6BC8148D">
            <w:pPr>
              <w:jc w:val="center"/>
            </w:pPr>
            <w:r>
              <w:rPr>
                <w:rFonts w:ascii="Arial" w:hAnsi="Arial" w:eastAsia="Arial" w:cs="Arial"/>
                <w:b/>
                <w:i w:val="0"/>
                <w:color w:val="000000"/>
                <w:sz w:val="20"/>
              </w:rPr>
              <w:t>Custom</w:t>
            </w:r>
          </w:p>
        </w:tc>
        <w:tc>
          <w:tcPr>
            <w:tcW w:w="1504" w:type="dxa"/>
          </w:tcPr>
          <w:p w14:paraId="6E11F74D">
            <w:pPr>
              <w:jc w:val="center"/>
            </w:pPr>
            <w:r>
              <w:rPr>
                <w:rFonts w:ascii="Arial" w:hAnsi="Arial" w:eastAsia="Arial" w:cs="Arial"/>
                <w:b/>
                <w:i w:val="0"/>
                <w:color w:val="000000"/>
                <w:sz w:val="20"/>
              </w:rPr>
              <w:t>ResNet50</w:t>
            </w:r>
          </w:p>
        </w:tc>
        <w:tc>
          <w:tcPr>
            <w:tcW w:w="1504" w:type="dxa"/>
          </w:tcPr>
          <w:p w14:paraId="317C0140">
            <w:pPr>
              <w:jc w:val="center"/>
            </w:pPr>
            <w:r>
              <w:rPr>
                <w:rFonts w:ascii="Arial" w:hAnsi="Arial" w:eastAsia="Arial" w:cs="Arial"/>
                <w:b/>
                <w:i w:val="0"/>
                <w:color w:val="000000"/>
                <w:sz w:val="20"/>
              </w:rPr>
              <w:t>VGG16</w:t>
            </w:r>
          </w:p>
        </w:tc>
        <w:tc>
          <w:tcPr>
            <w:tcW w:w="1504" w:type="dxa"/>
          </w:tcPr>
          <w:p w14:paraId="705396F0">
            <w:pPr>
              <w:jc w:val="center"/>
            </w:pPr>
            <w:r>
              <w:rPr>
                <w:rFonts w:ascii="Arial" w:hAnsi="Arial" w:eastAsia="Arial" w:cs="Arial"/>
                <w:b/>
                <w:i w:val="0"/>
                <w:color w:val="000000"/>
                <w:sz w:val="20"/>
              </w:rPr>
              <w:t>MobileNetV2</w:t>
            </w:r>
          </w:p>
        </w:tc>
      </w:tr>
      <w:tr w14:paraId="0C5DCF95">
        <w:trPr>
          <w:jc w:val="center"/>
        </w:trPr>
        <w:tc>
          <w:tcPr>
            <w:tcW w:w="1504" w:type="dxa"/>
          </w:tcPr>
          <w:p w14:paraId="39FD0D61">
            <w:pPr>
              <w:jc w:val="left"/>
            </w:pPr>
            <w:r>
              <w:rPr>
                <w:rFonts w:ascii="Arial" w:hAnsi="Arial" w:eastAsia="Arial" w:cs="Arial"/>
                <w:b w:val="0"/>
                <w:i w:val="0"/>
                <w:color w:val="000000"/>
                <w:sz w:val="20"/>
              </w:rPr>
              <w:t>bright</w:t>
            </w:r>
          </w:p>
        </w:tc>
        <w:tc>
          <w:tcPr>
            <w:tcW w:w="1504" w:type="dxa"/>
          </w:tcPr>
          <w:p w14:paraId="42F71CC9">
            <w:pPr>
              <w:jc w:val="center"/>
            </w:pPr>
            <w:r>
              <w:rPr>
                <w:rFonts w:ascii="Arial" w:hAnsi="Arial" w:eastAsia="Arial" w:cs="Arial"/>
                <w:b w:val="0"/>
                <w:i w:val="0"/>
                <w:color w:val="000000"/>
                <w:sz w:val="20"/>
              </w:rPr>
              <w:t>829</w:t>
            </w:r>
          </w:p>
        </w:tc>
        <w:tc>
          <w:tcPr>
            <w:tcW w:w="1504" w:type="dxa"/>
          </w:tcPr>
          <w:p w14:paraId="6D6DC4A2">
            <w:pPr>
              <w:jc w:val="center"/>
            </w:pPr>
            <w:r>
              <w:rPr>
                <w:rFonts w:ascii="Arial" w:hAnsi="Arial" w:eastAsia="Arial" w:cs="Arial"/>
                <w:b w:val="0"/>
                <w:i w:val="0"/>
                <w:color w:val="000000"/>
                <w:sz w:val="20"/>
              </w:rPr>
              <w:t>0.9602</w:t>
            </w:r>
          </w:p>
        </w:tc>
        <w:tc>
          <w:tcPr>
            <w:tcW w:w="1504" w:type="dxa"/>
          </w:tcPr>
          <w:p w14:paraId="2D3EA0DD">
            <w:pPr>
              <w:jc w:val="center"/>
            </w:pPr>
            <w:r>
              <w:rPr>
                <w:rFonts w:ascii="Arial" w:hAnsi="Arial" w:eastAsia="Arial" w:cs="Arial"/>
                <w:b w:val="0"/>
                <w:i w:val="0"/>
                <w:color w:val="000000"/>
                <w:sz w:val="20"/>
              </w:rPr>
              <w:t>0.9517</w:t>
            </w:r>
          </w:p>
        </w:tc>
        <w:tc>
          <w:tcPr>
            <w:tcW w:w="1504" w:type="dxa"/>
          </w:tcPr>
          <w:p w14:paraId="21E58AF1">
            <w:pPr>
              <w:jc w:val="center"/>
            </w:pPr>
            <w:r>
              <w:rPr>
                <w:rFonts w:ascii="Arial" w:hAnsi="Arial" w:eastAsia="Arial" w:cs="Arial"/>
                <w:b w:val="0"/>
                <w:i w:val="0"/>
                <w:color w:val="000000"/>
                <w:sz w:val="20"/>
              </w:rPr>
              <w:t>0.9723</w:t>
            </w:r>
          </w:p>
        </w:tc>
        <w:tc>
          <w:tcPr>
            <w:tcW w:w="1504" w:type="dxa"/>
          </w:tcPr>
          <w:p w14:paraId="0416748E">
            <w:pPr>
              <w:jc w:val="center"/>
            </w:pPr>
            <w:r>
              <w:rPr>
                <w:rFonts w:ascii="Arial" w:hAnsi="Arial" w:eastAsia="Arial" w:cs="Arial"/>
                <w:b w:val="0"/>
                <w:i w:val="0"/>
                <w:color w:val="000000"/>
                <w:sz w:val="20"/>
              </w:rPr>
              <w:t>0.9180</w:t>
            </w:r>
          </w:p>
        </w:tc>
      </w:tr>
      <w:tr w14:paraId="4FBA260F">
        <w:trPr>
          <w:jc w:val="center"/>
        </w:trPr>
        <w:tc>
          <w:tcPr>
            <w:tcW w:w="1504" w:type="dxa"/>
          </w:tcPr>
          <w:p w14:paraId="78A24CC5">
            <w:pPr>
              <w:jc w:val="left"/>
            </w:pPr>
            <w:r>
              <w:rPr>
                <w:rFonts w:ascii="Arial" w:hAnsi="Arial" w:eastAsia="Arial" w:cs="Arial"/>
                <w:b w:val="0"/>
                <w:i w:val="0"/>
                <w:color w:val="000000"/>
                <w:sz w:val="20"/>
              </w:rPr>
              <w:t>dim</w:t>
            </w:r>
          </w:p>
        </w:tc>
        <w:tc>
          <w:tcPr>
            <w:tcW w:w="1504" w:type="dxa"/>
          </w:tcPr>
          <w:p w14:paraId="098EFCD5">
            <w:pPr>
              <w:jc w:val="center"/>
            </w:pPr>
            <w:r>
              <w:rPr>
                <w:rFonts w:ascii="Arial" w:hAnsi="Arial" w:eastAsia="Arial" w:cs="Arial"/>
                <w:b w:val="0"/>
                <w:i w:val="0"/>
                <w:color w:val="000000"/>
                <w:sz w:val="20"/>
              </w:rPr>
              <w:t>879</w:t>
            </w:r>
          </w:p>
        </w:tc>
        <w:tc>
          <w:tcPr>
            <w:tcW w:w="1504" w:type="dxa"/>
          </w:tcPr>
          <w:p w14:paraId="5896ADDC">
            <w:pPr>
              <w:jc w:val="center"/>
            </w:pPr>
            <w:r>
              <w:rPr>
                <w:rFonts w:ascii="Arial" w:hAnsi="Arial" w:eastAsia="Arial" w:cs="Arial"/>
                <w:b w:val="0"/>
                <w:i w:val="0"/>
                <w:color w:val="000000"/>
                <w:sz w:val="20"/>
              </w:rPr>
              <w:t>0.9693</w:t>
            </w:r>
          </w:p>
        </w:tc>
        <w:tc>
          <w:tcPr>
            <w:tcW w:w="1504" w:type="dxa"/>
          </w:tcPr>
          <w:p w14:paraId="58B660E8">
            <w:pPr>
              <w:jc w:val="center"/>
            </w:pPr>
            <w:r>
              <w:rPr>
                <w:rFonts w:ascii="Arial" w:hAnsi="Arial" w:eastAsia="Arial" w:cs="Arial"/>
                <w:b w:val="0"/>
                <w:i w:val="0"/>
                <w:color w:val="000000"/>
                <w:sz w:val="20"/>
              </w:rPr>
              <w:t>0.9750</w:t>
            </w:r>
          </w:p>
        </w:tc>
        <w:tc>
          <w:tcPr>
            <w:tcW w:w="1504" w:type="dxa"/>
          </w:tcPr>
          <w:p w14:paraId="2C09C2E6">
            <w:pPr>
              <w:jc w:val="center"/>
            </w:pPr>
            <w:r>
              <w:rPr>
                <w:rFonts w:ascii="Arial" w:hAnsi="Arial" w:eastAsia="Arial" w:cs="Arial"/>
                <w:b w:val="0"/>
                <w:i w:val="0"/>
                <w:color w:val="000000"/>
                <w:sz w:val="20"/>
              </w:rPr>
              <w:t>0.9784</w:t>
            </w:r>
          </w:p>
        </w:tc>
        <w:tc>
          <w:tcPr>
            <w:tcW w:w="1504" w:type="dxa"/>
          </w:tcPr>
          <w:p w14:paraId="3BE982BD">
            <w:pPr>
              <w:jc w:val="center"/>
            </w:pPr>
            <w:r>
              <w:rPr>
                <w:rFonts w:ascii="Arial" w:hAnsi="Arial" w:eastAsia="Arial" w:cs="Arial"/>
                <w:b w:val="0"/>
                <w:i w:val="0"/>
                <w:color w:val="000000"/>
                <w:sz w:val="20"/>
              </w:rPr>
              <w:t>0.9579</w:t>
            </w:r>
          </w:p>
        </w:tc>
      </w:tr>
      <w:tr w14:paraId="3C0F9219">
        <w:trPr>
          <w:jc w:val="center"/>
        </w:trPr>
        <w:tc>
          <w:tcPr>
            <w:tcW w:w="1504" w:type="dxa"/>
          </w:tcPr>
          <w:p w14:paraId="560536AC">
            <w:pPr>
              <w:jc w:val="left"/>
            </w:pPr>
            <w:r>
              <w:rPr>
                <w:rFonts w:ascii="Arial" w:hAnsi="Arial" w:eastAsia="Arial" w:cs="Arial"/>
                <w:b w:val="0"/>
                <w:i w:val="0"/>
                <w:color w:val="000000"/>
                <w:sz w:val="20"/>
              </w:rPr>
              <w:t>overcast</w:t>
            </w:r>
          </w:p>
        </w:tc>
        <w:tc>
          <w:tcPr>
            <w:tcW w:w="1504" w:type="dxa"/>
          </w:tcPr>
          <w:p w14:paraId="53BB5EB2">
            <w:pPr>
              <w:jc w:val="center"/>
            </w:pPr>
            <w:r>
              <w:rPr>
                <w:rFonts w:ascii="Arial" w:hAnsi="Arial" w:eastAsia="Arial" w:cs="Arial"/>
                <w:b w:val="0"/>
                <w:i w:val="0"/>
                <w:color w:val="000000"/>
                <w:sz w:val="20"/>
              </w:rPr>
              <w:t>6036</w:t>
            </w:r>
          </w:p>
        </w:tc>
        <w:tc>
          <w:tcPr>
            <w:tcW w:w="1504" w:type="dxa"/>
          </w:tcPr>
          <w:p w14:paraId="2853EE4B">
            <w:pPr>
              <w:jc w:val="center"/>
            </w:pPr>
            <w:r>
              <w:rPr>
                <w:rFonts w:ascii="Arial" w:hAnsi="Arial" w:eastAsia="Arial" w:cs="Arial"/>
                <w:b w:val="0"/>
                <w:i w:val="0"/>
                <w:color w:val="000000"/>
                <w:sz w:val="20"/>
              </w:rPr>
              <w:t>0.9599</w:t>
            </w:r>
          </w:p>
        </w:tc>
        <w:tc>
          <w:tcPr>
            <w:tcW w:w="1504" w:type="dxa"/>
          </w:tcPr>
          <w:p w14:paraId="62F85644">
            <w:pPr>
              <w:jc w:val="center"/>
            </w:pPr>
            <w:r>
              <w:rPr>
                <w:rFonts w:ascii="Arial" w:hAnsi="Arial" w:eastAsia="Arial" w:cs="Arial"/>
                <w:b w:val="0"/>
                <w:i w:val="0"/>
                <w:color w:val="000000"/>
                <w:sz w:val="20"/>
              </w:rPr>
              <w:t>0.9551</w:t>
            </w:r>
          </w:p>
        </w:tc>
        <w:tc>
          <w:tcPr>
            <w:tcW w:w="1504" w:type="dxa"/>
          </w:tcPr>
          <w:p w14:paraId="2A93EA77">
            <w:pPr>
              <w:jc w:val="center"/>
            </w:pPr>
            <w:r>
              <w:rPr>
                <w:rFonts w:ascii="Arial" w:hAnsi="Arial" w:eastAsia="Arial" w:cs="Arial"/>
                <w:b w:val="0"/>
                <w:i w:val="0"/>
                <w:color w:val="000000"/>
                <w:sz w:val="20"/>
              </w:rPr>
              <w:t>0.9733</w:t>
            </w:r>
          </w:p>
        </w:tc>
        <w:tc>
          <w:tcPr>
            <w:tcW w:w="1504" w:type="dxa"/>
          </w:tcPr>
          <w:p w14:paraId="6127F17C">
            <w:pPr>
              <w:jc w:val="center"/>
            </w:pPr>
            <w:r>
              <w:rPr>
                <w:rFonts w:ascii="Arial" w:hAnsi="Arial" w:eastAsia="Arial" w:cs="Arial"/>
                <w:b w:val="0"/>
                <w:i w:val="0"/>
                <w:color w:val="000000"/>
                <w:sz w:val="20"/>
              </w:rPr>
              <w:t>0.9529</w:t>
            </w:r>
          </w:p>
        </w:tc>
      </w:tr>
    </w:tbl>
    <w:p w14:paraId="60002140">
      <w:pPr>
        <w:spacing w:before="0" w:after="160" w:line="240" w:lineRule="auto"/>
        <w:jc w:val="both"/>
      </w:pPr>
    </w:p>
    <w:p w14:paraId="23252E7E">
      <w:pPr>
        <w:pStyle w:val="4"/>
        <w:keepNext/>
        <w:spacing w:before="160" w:after="80" w:line="276" w:lineRule="auto"/>
        <w:jc w:val="left"/>
      </w:pPr>
      <w:bookmarkStart w:id="110" w:name="_Toc801173655"/>
      <w:r>
        <w:rPr>
          <w:rFonts w:ascii="Arial" w:hAnsi="Arial" w:eastAsia="Arial" w:cs="Arial"/>
          <w:b/>
          <w:i w:val="0"/>
          <w:color w:val="000000"/>
          <w:sz w:val="24"/>
        </w:rPr>
        <w:t>4.7.2 Occlusion by model accuracy</w:t>
      </w:r>
      <w:bookmarkEnd w:id="110"/>
    </w:p>
    <w:p w14:paraId="3030133E">
      <w:pPr>
        <w:spacing w:before="0" w:after="120" w:line="360" w:lineRule="auto"/>
        <w:jc w:val="both"/>
      </w:pPr>
      <w:r>
        <w:rPr>
          <w:rFonts w:ascii="Arial" w:hAnsi="Arial" w:eastAsia="Arial" w:cs="Arial"/>
          <w:b w:val="0"/>
          <w:i w:val="0"/>
          <w:color w:val="000000"/>
          <w:sz w:val="22"/>
        </w:rPr>
        <w:t>Occlusion shows a different pattern. Medium occlusion is the hardest condition for three of the four classifiers. The custom CNN drops from 0.9689 (low) to 0.9474 (medium) before recovering to 0.9603 (high). VGG16 stays above 0.9682 across all three levels. MobileNetV2 again drops sharply at medium occlusion (0.9310) but recovers somewhat at high (0.9584). The U-shape across low-medium-high is unusual and probably reflects the heuristic nature of the IoU-based occlusion thresholds rather than a real performance reversal.</w:t>
      </w:r>
    </w:p>
    <w:p w14:paraId="58D9B682">
      <w:pPr>
        <w:keepNext/>
        <w:spacing w:before="160" w:after="40" w:line="240" w:lineRule="auto"/>
        <w:jc w:val="left"/>
      </w:pPr>
      <w:r>
        <w:rPr>
          <w:b w:val="0"/>
          <w:i w:val="0"/>
          <w:sz w:val="18"/>
        </w:rPr>
        <w:t>Table 10: Per-classifier accuracy by occlusion subgroup.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504"/>
        <w:gridCol w:w="1504"/>
        <w:gridCol w:w="1504"/>
        <w:gridCol w:w="1504"/>
        <w:gridCol w:w="1504"/>
        <w:gridCol w:w="1504"/>
      </w:tblGrid>
      <w:tr w14:paraId="2EA0CB1B">
        <w:trPr>
          <w:jc w:val="center"/>
        </w:trPr>
        <w:tc>
          <w:tcPr>
            <w:tcW w:w="1504" w:type="dxa"/>
          </w:tcPr>
          <w:p w14:paraId="2EB28F86">
            <w:pPr>
              <w:jc w:val="center"/>
            </w:pPr>
            <w:r>
              <w:rPr>
                <w:rFonts w:ascii="Arial" w:hAnsi="Arial" w:eastAsia="Arial" w:cs="Arial"/>
                <w:b/>
                <w:i w:val="0"/>
                <w:color w:val="000000"/>
                <w:sz w:val="20"/>
              </w:rPr>
              <w:t>Occlusion</w:t>
            </w:r>
          </w:p>
        </w:tc>
        <w:tc>
          <w:tcPr>
            <w:tcW w:w="1504" w:type="dxa"/>
          </w:tcPr>
          <w:p w14:paraId="54EDB819">
            <w:pPr>
              <w:jc w:val="center"/>
            </w:pPr>
            <w:r>
              <w:rPr>
                <w:rFonts w:ascii="Arial" w:hAnsi="Arial" w:eastAsia="Arial" w:cs="Arial"/>
                <w:b/>
                <w:i w:val="0"/>
                <w:color w:val="000000"/>
                <w:sz w:val="20"/>
              </w:rPr>
              <w:t>n</w:t>
            </w:r>
          </w:p>
        </w:tc>
        <w:tc>
          <w:tcPr>
            <w:tcW w:w="1504" w:type="dxa"/>
          </w:tcPr>
          <w:p w14:paraId="0122C10D">
            <w:pPr>
              <w:jc w:val="center"/>
            </w:pPr>
            <w:r>
              <w:rPr>
                <w:rFonts w:ascii="Arial" w:hAnsi="Arial" w:eastAsia="Arial" w:cs="Arial"/>
                <w:b/>
                <w:i w:val="0"/>
                <w:color w:val="000000"/>
                <w:sz w:val="20"/>
              </w:rPr>
              <w:t>Custom</w:t>
            </w:r>
          </w:p>
        </w:tc>
        <w:tc>
          <w:tcPr>
            <w:tcW w:w="1504" w:type="dxa"/>
          </w:tcPr>
          <w:p w14:paraId="1320E7A0">
            <w:pPr>
              <w:jc w:val="center"/>
            </w:pPr>
            <w:r>
              <w:rPr>
                <w:rFonts w:ascii="Arial" w:hAnsi="Arial" w:eastAsia="Arial" w:cs="Arial"/>
                <w:b/>
                <w:i w:val="0"/>
                <w:color w:val="000000"/>
                <w:sz w:val="20"/>
              </w:rPr>
              <w:t>ResNet50</w:t>
            </w:r>
          </w:p>
        </w:tc>
        <w:tc>
          <w:tcPr>
            <w:tcW w:w="1504" w:type="dxa"/>
          </w:tcPr>
          <w:p w14:paraId="0C7673FD">
            <w:pPr>
              <w:jc w:val="center"/>
            </w:pPr>
            <w:r>
              <w:rPr>
                <w:rFonts w:ascii="Arial" w:hAnsi="Arial" w:eastAsia="Arial" w:cs="Arial"/>
                <w:b/>
                <w:i w:val="0"/>
                <w:color w:val="000000"/>
                <w:sz w:val="20"/>
              </w:rPr>
              <w:t>VGG16</w:t>
            </w:r>
          </w:p>
        </w:tc>
        <w:tc>
          <w:tcPr>
            <w:tcW w:w="1504" w:type="dxa"/>
          </w:tcPr>
          <w:p w14:paraId="22302B47">
            <w:pPr>
              <w:jc w:val="center"/>
            </w:pPr>
            <w:r>
              <w:rPr>
                <w:rFonts w:ascii="Arial" w:hAnsi="Arial" w:eastAsia="Arial" w:cs="Arial"/>
                <w:b/>
                <w:i w:val="0"/>
                <w:color w:val="000000"/>
                <w:sz w:val="20"/>
              </w:rPr>
              <w:t>MobileNetV2</w:t>
            </w:r>
          </w:p>
        </w:tc>
      </w:tr>
      <w:tr w14:paraId="5E0AEBAD">
        <w:trPr>
          <w:jc w:val="center"/>
        </w:trPr>
        <w:tc>
          <w:tcPr>
            <w:tcW w:w="1504" w:type="dxa"/>
          </w:tcPr>
          <w:p w14:paraId="186E5E8F">
            <w:pPr>
              <w:jc w:val="left"/>
            </w:pPr>
            <w:r>
              <w:rPr>
                <w:rFonts w:ascii="Arial" w:hAnsi="Arial" w:eastAsia="Arial" w:cs="Arial"/>
                <w:b w:val="0"/>
                <w:i w:val="0"/>
                <w:color w:val="000000"/>
                <w:sz w:val="20"/>
              </w:rPr>
              <w:t>low</w:t>
            </w:r>
          </w:p>
        </w:tc>
        <w:tc>
          <w:tcPr>
            <w:tcW w:w="1504" w:type="dxa"/>
          </w:tcPr>
          <w:p w14:paraId="38F1F70A">
            <w:pPr>
              <w:jc w:val="center"/>
            </w:pPr>
            <w:r>
              <w:rPr>
                <w:rFonts w:ascii="Arial" w:hAnsi="Arial" w:eastAsia="Arial" w:cs="Arial"/>
                <w:b w:val="0"/>
                <w:i w:val="0"/>
                <w:color w:val="000000"/>
                <w:sz w:val="20"/>
              </w:rPr>
              <w:t>3663</w:t>
            </w:r>
          </w:p>
        </w:tc>
        <w:tc>
          <w:tcPr>
            <w:tcW w:w="1504" w:type="dxa"/>
          </w:tcPr>
          <w:p w14:paraId="1B065A35">
            <w:pPr>
              <w:jc w:val="center"/>
            </w:pPr>
            <w:r>
              <w:rPr>
                <w:rFonts w:ascii="Arial" w:hAnsi="Arial" w:eastAsia="Arial" w:cs="Arial"/>
                <w:b w:val="0"/>
                <w:i w:val="0"/>
                <w:color w:val="000000"/>
                <w:sz w:val="20"/>
              </w:rPr>
              <w:t>0.9689</w:t>
            </w:r>
          </w:p>
        </w:tc>
        <w:tc>
          <w:tcPr>
            <w:tcW w:w="1504" w:type="dxa"/>
          </w:tcPr>
          <w:p w14:paraId="255E6157">
            <w:pPr>
              <w:jc w:val="center"/>
            </w:pPr>
            <w:r>
              <w:rPr>
                <w:rFonts w:ascii="Arial" w:hAnsi="Arial" w:eastAsia="Arial" w:cs="Arial"/>
                <w:b w:val="0"/>
                <w:i w:val="0"/>
                <w:color w:val="000000"/>
                <w:sz w:val="20"/>
              </w:rPr>
              <w:t>0.9544</w:t>
            </w:r>
          </w:p>
        </w:tc>
        <w:tc>
          <w:tcPr>
            <w:tcW w:w="1504" w:type="dxa"/>
          </w:tcPr>
          <w:p w14:paraId="424F2156">
            <w:pPr>
              <w:jc w:val="center"/>
            </w:pPr>
            <w:r>
              <w:rPr>
                <w:rFonts w:ascii="Arial" w:hAnsi="Arial" w:eastAsia="Arial" w:cs="Arial"/>
                <w:b w:val="0"/>
                <w:i w:val="0"/>
                <w:color w:val="000000"/>
                <w:sz w:val="20"/>
              </w:rPr>
              <w:t>0.9776</w:t>
            </w:r>
          </w:p>
        </w:tc>
        <w:tc>
          <w:tcPr>
            <w:tcW w:w="1504" w:type="dxa"/>
          </w:tcPr>
          <w:p w14:paraId="4E21A79A">
            <w:pPr>
              <w:jc w:val="center"/>
            </w:pPr>
            <w:r>
              <w:rPr>
                <w:rFonts w:ascii="Arial" w:hAnsi="Arial" w:eastAsia="Arial" w:cs="Arial"/>
                <w:b w:val="0"/>
                <w:i w:val="0"/>
                <w:color w:val="000000"/>
                <w:sz w:val="20"/>
              </w:rPr>
              <w:t>0.9552</w:t>
            </w:r>
          </w:p>
        </w:tc>
      </w:tr>
      <w:tr w14:paraId="78E11E46">
        <w:trPr>
          <w:jc w:val="center"/>
        </w:trPr>
        <w:tc>
          <w:tcPr>
            <w:tcW w:w="1504" w:type="dxa"/>
          </w:tcPr>
          <w:p w14:paraId="2FD6A904">
            <w:pPr>
              <w:jc w:val="left"/>
            </w:pPr>
            <w:r>
              <w:rPr>
                <w:rFonts w:ascii="Arial" w:hAnsi="Arial" w:eastAsia="Arial" w:cs="Arial"/>
                <w:b w:val="0"/>
                <w:i w:val="0"/>
                <w:color w:val="000000"/>
                <w:sz w:val="20"/>
              </w:rPr>
              <w:t>medium</w:t>
            </w:r>
          </w:p>
        </w:tc>
        <w:tc>
          <w:tcPr>
            <w:tcW w:w="1504" w:type="dxa"/>
          </w:tcPr>
          <w:p w14:paraId="06FA5363">
            <w:pPr>
              <w:jc w:val="center"/>
            </w:pPr>
            <w:r>
              <w:rPr>
                <w:rFonts w:ascii="Arial" w:hAnsi="Arial" w:eastAsia="Arial" w:cs="Arial"/>
                <w:b w:val="0"/>
                <w:i w:val="0"/>
                <w:color w:val="000000"/>
                <w:sz w:val="20"/>
              </w:rPr>
              <w:t>2015</w:t>
            </w:r>
          </w:p>
        </w:tc>
        <w:tc>
          <w:tcPr>
            <w:tcW w:w="1504" w:type="dxa"/>
          </w:tcPr>
          <w:p w14:paraId="0AA9873B">
            <w:pPr>
              <w:jc w:val="center"/>
            </w:pPr>
            <w:r>
              <w:rPr>
                <w:rFonts w:ascii="Arial" w:hAnsi="Arial" w:eastAsia="Arial" w:cs="Arial"/>
                <w:b w:val="0"/>
                <w:i w:val="0"/>
                <w:color w:val="000000"/>
                <w:sz w:val="20"/>
              </w:rPr>
              <w:t>0.9474</w:t>
            </w:r>
          </w:p>
        </w:tc>
        <w:tc>
          <w:tcPr>
            <w:tcW w:w="1504" w:type="dxa"/>
          </w:tcPr>
          <w:p w14:paraId="6F52453C">
            <w:pPr>
              <w:jc w:val="center"/>
            </w:pPr>
            <w:r>
              <w:rPr>
                <w:rFonts w:ascii="Arial" w:hAnsi="Arial" w:eastAsia="Arial" w:cs="Arial"/>
                <w:b w:val="0"/>
                <w:i w:val="0"/>
                <w:color w:val="000000"/>
                <w:sz w:val="20"/>
              </w:rPr>
              <w:t>0.9479</w:t>
            </w:r>
          </w:p>
        </w:tc>
        <w:tc>
          <w:tcPr>
            <w:tcW w:w="1504" w:type="dxa"/>
          </w:tcPr>
          <w:p w14:paraId="07EB0408">
            <w:pPr>
              <w:jc w:val="center"/>
            </w:pPr>
            <w:r>
              <w:rPr>
                <w:rFonts w:ascii="Arial" w:hAnsi="Arial" w:eastAsia="Arial" w:cs="Arial"/>
                <w:b w:val="0"/>
                <w:i w:val="0"/>
                <w:color w:val="000000"/>
                <w:sz w:val="20"/>
              </w:rPr>
              <w:t>0.9682</w:t>
            </w:r>
          </w:p>
        </w:tc>
        <w:tc>
          <w:tcPr>
            <w:tcW w:w="1504" w:type="dxa"/>
          </w:tcPr>
          <w:p w14:paraId="5D9198B5">
            <w:pPr>
              <w:jc w:val="center"/>
            </w:pPr>
            <w:r>
              <w:rPr>
                <w:rFonts w:ascii="Arial" w:hAnsi="Arial" w:eastAsia="Arial" w:cs="Arial"/>
                <w:b w:val="0"/>
                <w:i w:val="0"/>
                <w:color w:val="000000"/>
                <w:sz w:val="20"/>
              </w:rPr>
              <w:t>0.9310</w:t>
            </w:r>
          </w:p>
        </w:tc>
      </w:tr>
      <w:tr w14:paraId="58ABE0AA">
        <w:trPr>
          <w:jc w:val="center"/>
        </w:trPr>
        <w:tc>
          <w:tcPr>
            <w:tcW w:w="1504" w:type="dxa"/>
          </w:tcPr>
          <w:p w14:paraId="1B98D1DF">
            <w:pPr>
              <w:jc w:val="left"/>
            </w:pPr>
            <w:r>
              <w:rPr>
                <w:rFonts w:ascii="Arial" w:hAnsi="Arial" w:eastAsia="Arial" w:cs="Arial"/>
                <w:b w:val="0"/>
                <w:i w:val="0"/>
                <w:color w:val="000000"/>
                <w:sz w:val="20"/>
              </w:rPr>
              <w:t>high</w:t>
            </w:r>
          </w:p>
        </w:tc>
        <w:tc>
          <w:tcPr>
            <w:tcW w:w="1504" w:type="dxa"/>
          </w:tcPr>
          <w:p w14:paraId="1A2FFB86">
            <w:pPr>
              <w:jc w:val="center"/>
            </w:pPr>
            <w:r>
              <w:rPr>
                <w:rFonts w:ascii="Arial" w:hAnsi="Arial" w:eastAsia="Arial" w:cs="Arial"/>
                <w:b w:val="0"/>
                <w:i w:val="0"/>
                <w:color w:val="000000"/>
                <w:sz w:val="20"/>
              </w:rPr>
              <w:t>2066</w:t>
            </w:r>
          </w:p>
        </w:tc>
        <w:tc>
          <w:tcPr>
            <w:tcW w:w="1504" w:type="dxa"/>
          </w:tcPr>
          <w:p w14:paraId="6CD380A1">
            <w:pPr>
              <w:jc w:val="center"/>
            </w:pPr>
            <w:r>
              <w:rPr>
                <w:rFonts w:ascii="Arial" w:hAnsi="Arial" w:eastAsia="Arial" w:cs="Arial"/>
                <w:b w:val="0"/>
                <w:i w:val="0"/>
                <w:color w:val="000000"/>
                <w:sz w:val="20"/>
              </w:rPr>
              <w:t>0.9603</w:t>
            </w:r>
          </w:p>
        </w:tc>
        <w:tc>
          <w:tcPr>
            <w:tcW w:w="1504" w:type="dxa"/>
          </w:tcPr>
          <w:p w14:paraId="332BE283">
            <w:pPr>
              <w:jc w:val="center"/>
            </w:pPr>
            <w:r>
              <w:rPr>
                <w:rFonts w:ascii="Arial" w:hAnsi="Arial" w:eastAsia="Arial" w:cs="Arial"/>
                <w:b w:val="0"/>
                <w:i w:val="0"/>
                <w:color w:val="000000"/>
                <w:sz w:val="20"/>
              </w:rPr>
              <w:t>0.9705</w:t>
            </w:r>
          </w:p>
        </w:tc>
        <w:tc>
          <w:tcPr>
            <w:tcW w:w="1504" w:type="dxa"/>
          </w:tcPr>
          <w:p w14:paraId="4DF94321">
            <w:pPr>
              <w:jc w:val="center"/>
            </w:pPr>
            <w:r>
              <w:rPr>
                <w:rFonts w:ascii="Arial" w:hAnsi="Arial" w:eastAsia="Arial" w:cs="Arial"/>
                <w:b w:val="0"/>
                <w:i w:val="0"/>
                <w:color w:val="000000"/>
                <w:sz w:val="20"/>
              </w:rPr>
              <w:t>0.9724</w:t>
            </w:r>
          </w:p>
        </w:tc>
        <w:tc>
          <w:tcPr>
            <w:tcW w:w="1504" w:type="dxa"/>
          </w:tcPr>
          <w:p w14:paraId="7A987E4B">
            <w:pPr>
              <w:jc w:val="center"/>
            </w:pPr>
            <w:r>
              <w:rPr>
                <w:rFonts w:ascii="Arial" w:hAnsi="Arial" w:eastAsia="Arial" w:cs="Arial"/>
                <w:b w:val="0"/>
                <w:i w:val="0"/>
                <w:color w:val="000000"/>
                <w:sz w:val="20"/>
              </w:rPr>
              <w:t>0.9584</w:t>
            </w:r>
          </w:p>
        </w:tc>
      </w:tr>
    </w:tbl>
    <w:p w14:paraId="4FC0A05E">
      <w:pPr>
        <w:spacing w:before="0" w:after="160" w:line="240" w:lineRule="auto"/>
        <w:jc w:val="both"/>
      </w:pPr>
    </w:p>
    <w:p w14:paraId="0B2FC3DD">
      <w:pPr>
        <w:keepNext/>
        <w:spacing w:before="120" w:after="40" w:line="240" w:lineRule="auto"/>
        <w:jc w:val="center"/>
      </w:pPr>
      <w:r>
        <w:drawing>
          <wp:inline distT="0" distB="0" distL="114300" distR="114300">
            <wp:extent cx="5399405" cy="1952625"/>
            <wp:effectExtent l="0" t="0" r="1079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400000" cy="1952768"/>
                    </a:xfrm>
                    <a:prstGeom prst="rect">
                      <a:avLst/>
                    </a:prstGeom>
                  </pic:spPr>
                </pic:pic>
              </a:graphicData>
            </a:graphic>
          </wp:inline>
        </w:drawing>
      </w:r>
    </w:p>
    <w:p w14:paraId="62511E50">
      <w:pPr>
        <w:spacing w:before="40" w:after="200" w:line="240" w:lineRule="auto"/>
        <w:jc w:val="center"/>
      </w:pPr>
      <w:r>
        <w:rPr>
          <w:b w:val="0"/>
          <w:i w:val="0"/>
          <w:sz w:val="18"/>
        </w:rPr>
        <w:t>Figure 12: Per-subgroup classification accuracy heatmaps. Source: author.</w:t>
      </w:r>
    </w:p>
    <w:p w14:paraId="4104295A">
      <w:pPr>
        <w:pStyle w:val="4"/>
        <w:keepNext/>
        <w:spacing w:before="160" w:after="80" w:line="276" w:lineRule="auto"/>
        <w:jc w:val="left"/>
      </w:pPr>
      <w:bookmarkStart w:id="111" w:name="_Toc603152895"/>
      <w:r>
        <w:rPr>
          <w:rFonts w:ascii="Arial" w:hAnsi="Arial" w:eastAsia="Arial" w:cs="Arial"/>
          <w:b/>
          <w:i w:val="0"/>
          <w:color w:val="000000"/>
          <w:sz w:val="24"/>
        </w:rPr>
        <w:t>4.7.3 YOLO counting MAE by subgroup</w:t>
      </w:r>
      <w:bookmarkEnd w:id="111"/>
    </w:p>
    <w:p w14:paraId="1BEDF25B">
      <w:pPr>
        <w:spacing w:before="0" w:after="120" w:line="360" w:lineRule="auto"/>
        <w:jc w:val="both"/>
      </w:pPr>
      <w:r>
        <w:rPr>
          <w:rFonts w:ascii="Arial" w:hAnsi="Arial" w:eastAsia="Arial" w:cs="Arial"/>
          <w:b w:val="0"/>
          <w:i w:val="0"/>
          <w:color w:val="000000"/>
          <w:sz w:val="22"/>
        </w:rPr>
        <w:t>The YOLO counting subgroup analysis is where the environmental sensitivity is starkest. Counting MAE under low occlusion is 0.650, with a median error of zero. Under medium occlusion it climbs to 1.645. Under high occlusion it reaches 3.559, a factor of 5.5 over the low-occlusion baseline. The lighting effect on counting is less dramatic: bright lighting yields MAE 2.107, dim 0.932, and overcast 1.596, but the bright subgroup contains only 196 images, so the worst-case lighting MAE is computed on a thin slice.</w:t>
      </w:r>
    </w:p>
    <w:p w14:paraId="6A85C70F">
      <w:pPr>
        <w:keepNext/>
        <w:spacing w:before="160" w:after="40" w:line="240" w:lineRule="auto"/>
        <w:jc w:val="left"/>
      </w:pPr>
      <w:r>
        <w:rPr>
          <w:b w:val="0"/>
          <w:i w:val="0"/>
          <w:sz w:val="18"/>
        </w:rPr>
        <w:t>Table 11: YOLOv8 counting MAE by lighting and occlusion subgroup.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4EABA8D2">
        <w:trPr>
          <w:jc w:val="center"/>
        </w:trPr>
        <w:tc>
          <w:tcPr>
            <w:tcW w:w="1805" w:type="dxa"/>
          </w:tcPr>
          <w:p w14:paraId="4BFEE245">
            <w:pPr>
              <w:jc w:val="center"/>
            </w:pPr>
            <w:r>
              <w:rPr>
                <w:rFonts w:ascii="Arial" w:hAnsi="Arial" w:eastAsia="Arial" w:cs="Arial"/>
                <w:b/>
                <w:i w:val="0"/>
                <w:color w:val="000000"/>
                <w:sz w:val="20"/>
              </w:rPr>
              <w:t>Subgroup</w:t>
            </w:r>
          </w:p>
        </w:tc>
        <w:tc>
          <w:tcPr>
            <w:tcW w:w="1805" w:type="dxa"/>
          </w:tcPr>
          <w:p w14:paraId="51865B28">
            <w:pPr>
              <w:jc w:val="center"/>
            </w:pPr>
            <w:r>
              <w:rPr>
                <w:rFonts w:ascii="Arial" w:hAnsi="Arial" w:eastAsia="Arial" w:cs="Arial"/>
                <w:b/>
                <w:i w:val="0"/>
                <w:color w:val="000000"/>
                <w:sz w:val="20"/>
              </w:rPr>
              <w:t>Level</w:t>
            </w:r>
          </w:p>
        </w:tc>
        <w:tc>
          <w:tcPr>
            <w:tcW w:w="1805" w:type="dxa"/>
          </w:tcPr>
          <w:p w14:paraId="7A43DEBA">
            <w:pPr>
              <w:jc w:val="center"/>
            </w:pPr>
            <w:r>
              <w:rPr>
                <w:rFonts w:ascii="Arial" w:hAnsi="Arial" w:eastAsia="Arial" w:cs="Arial"/>
                <w:b/>
                <w:i w:val="0"/>
                <w:color w:val="000000"/>
                <w:sz w:val="20"/>
              </w:rPr>
              <w:t>MAE</w:t>
            </w:r>
          </w:p>
        </w:tc>
        <w:tc>
          <w:tcPr>
            <w:tcW w:w="1805" w:type="dxa"/>
          </w:tcPr>
          <w:p w14:paraId="3E9AF8B2">
            <w:pPr>
              <w:jc w:val="center"/>
            </w:pPr>
            <w:r>
              <w:rPr>
                <w:rFonts w:ascii="Arial" w:hAnsi="Arial" w:eastAsia="Arial" w:cs="Arial"/>
                <w:b/>
                <w:i w:val="0"/>
                <w:color w:val="000000"/>
                <w:sz w:val="20"/>
              </w:rPr>
              <w:t>Median</w:t>
            </w:r>
          </w:p>
        </w:tc>
        <w:tc>
          <w:tcPr>
            <w:tcW w:w="1805" w:type="dxa"/>
          </w:tcPr>
          <w:p w14:paraId="6C10ADB5">
            <w:pPr>
              <w:jc w:val="center"/>
            </w:pPr>
            <w:r>
              <w:rPr>
                <w:rFonts w:ascii="Arial" w:hAnsi="Arial" w:eastAsia="Arial" w:cs="Arial"/>
                <w:b/>
                <w:i w:val="0"/>
                <w:color w:val="000000"/>
                <w:sz w:val="20"/>
              </w:rPr>
              <w:t>n</w:t>
            </w:r>
          </w:p>
        </w:tc>
      </w:tr>
      <w:tr w14:paraId="02A45242">
        <w:trPr>
          <w:jc w:val="center"/>
        </w:trPr>
        <w:tc>
          <w:tcPr>
            <w:tcW w:w="1805" w:type="dxa"/>
          </w:tcPr>
          <w:p w14:paraId="5447D56E">
            <w:pPr>
              <w:jc w:val="left"/>
            </w:pPr>
            <w:r>
              <w:rPr>
                <w:rFonts w:ascii="Arial" w:hAnsi="Arial" w:eastAsia="Arial" w:cs="Arial"/>
                <w:b w:val="0"/>
                <w:i w:val="0"/>
                <w:color w:val="000000"/>
                <w:sz w:val="20"/>
              </w:rPr>
              <w:t>Lighting</w:t>
            </w:r>
          </w:p>
        </w:tc>
        <w:tc>
          <w:tcPr>
            <w:tcW w:w="1805" w:type="dxa"/>
          </w:tcPr>
          <w:p w14:paraId="29AF123B">
            <w:pPr>
              <w:jc w:val="center"/>
            </w:pPr>
            <w:r>
              <w:rPr>
                <w:rFonts w:ascii="Arial" w:hAnsi="Arial" w:eastAsia="Arial" w:cs="Arial"/>
                <w:b w:val="0"/>
                <w:i w:val="0"/>
                <w:color w:val="000000"/>
                <w:sz w:val="20"/>
              </w:rPr>
              <w:t>bright</w:t>
            </w:r>
          </w:p>
        </w:tc>
        <w:tc>
          <w:tcPr>
            <w:tcW w:w="1805" w:type="dxa"/>
          </w:tcPr>
          <w:p w14:paraId="2FC670C2">
            <w:pPr>
              <w:jc w:val="center"/>
            </w:pPr>
            <w:r>
              <w:rPr>
                <w:rFonts w:ascii="Arial" w:hAnsi="Arial" w:eastAsia="Arial" w:cs="Arial"/>
                <w:b w:val="0"/>
                <w:i w:val="0"/>
                <w:color w:val="000000"/>
                <w:sz w:val="20"/>
              </w:rPr>
              <w:t>2.107</w:t>
            </w:r>
          </w:p>
        </w:tc>
        <w:tc>
          <w:tcPr>
            <w:tcW w:w="1805" w:type="dxa"/>
          </w:tcPr>
          <w:p w14:paraId="44F1E2E2">
            <w:pPr>
              <w:jc w:val="center"/>
            </w:pPr>
            <w:r>
              <w:rPr>
                <w:rFonts w:ascii="Arial" w:hAnsi="Arial" w:eastAsia="Arial" w:cs="Arial"/>
                <w:b w:val="0"/>
                <w:i w:val="0"/>
                <w:color w:val="000000"/>
                <w:sz w:val="20"/>
              </w:rPr>
              <w:t>1.0</w:t>
            </w:r>
          </w:p>
        </w:tc>
        <w:tc>
          <w:tcPr>
            <w:tcW w:w="1805" w:type="dxa"/>
          </w:tcPr>
          <w:p w14:paraId="25AA839C">
            <w:pPr>
              <w:jc w:val="center"/>
            </w:pPr>
            <w:r>
              <w:rPr>
                <w:rFonts w:ascii="Arial" w:hAnsi="Arial" w:eastAsia="Arial" w:cs="Arial"/>
                <w:b w:val="0"/>
                <w:i w:val="0"/>
                <w:color w:val="000000"/>
                <w:sz w:val="20"/>
              </w:rPr>
              <w:t>196</w:t>
            </w:r>
          </w:p>
        </w:tc>
      </w:tr>
      <w:tr w14:paraId="10196A47">
        <w:trPr>
          <w:jc w:val="center"/>
        </w:trPr>
        <w:tc>
          <w:tcPr>
            <w:tcW w:w="1805" w:type="dxa"/>
          </w:tcPr>
          <w:p w14:paraId="7A99CDCB">
            <w:pPr>
              <w:jc w:val="left"/>
            </w:pPr>
            <w:r>
              <w:rPr>
                <w:rFonts w:ascii="Arial" w:hAnsi="Arial" w:eastAsia="Arial" w:cs="Arial"/>
                <w:b w:val="0"/>
                <w:i w:val="0"/>
                <w:color w:val="000000"/>
                <w:sz w:val="20"/>
              </w:rPr>
              <w:t>Lighting</w:t>
            </w:r>
          </w:p>
        </w:tc>
        <w:tc>
          <w:tcPr>
            <w:tcW w:w="1805" w:type="dxa"/>
          </w:tcPr>
          <w:p w14:paraId="59AA911C">
            <w:pPr>
              <w:jc w:val="center"/>
            </w:pPr>
            <w:r>
              <w:rPr>
                <w:rFonts w:ascii="Arial" w:hAnsi="Arial" w:eastAsia="Arial" w:cs="Arial"/>
                <w:b w:val="0"/>
                <w:i w:val="0"/>
                <w:color w:val="000000"/>
                <w:sz w:val="20"/>
              </w:rPr>
              <w:t>dim</w:t>
            </w:r>
          </w:p>
        </w:tc>
        <w:tc>
          <w:tcPr>
            <w:tcW w:w="1805" w:type="dxa"/>
          </w:tcPr>
          <w:p w14:paraId="4AE71B85">
            <w:pPr>
              <w:jc w:val="center"/>
            </w:pPr>
            <w:r>
              <w:rPr>
                <w:rFonts w:ascii="Arial" w:hAnsi="Arial" w:eastAsia="Arial" w:cs="Arial"/>
                <w:b w:val="0"/>
                <w:i w:val="0"/>
                <w:color w:val="000000"/>
                <w:sz w:val="20"/>
              </w:rPr>
              <w:t>0.932</w:t>
            </w:r>
          </w:p>
        </w:tc>
        <w:tc>
          <w:tcPr>
            <w:tcW w:w="1805" w:type="dxa"/>
          </w:tcPr>
          <w:p w14:paraId="04A015CE">
            <w:pPr>
              <w:jc w:val="center"/>
            </w:pPr>
            <w:r>
              <w:rPr>
                <w:rFonts w:ascii="Arial" w:hAnsi="Arial" w:eastAsia="Arial" w:cs="Arial"/>
                <w:b w:val="0"/>
                <w:i w:val="0"/>
                <w:color w:val="000000"/>
                <w:sz w:val="20"/>
              </w:rPr>
              <w:t>0.0</w:t>
            </w:r>
          </w:p>
        </w:tc>
        <w:tc>
          <w:tcPr>
            <w:tcW w:w="1805" w:type="dxa"/>
          </w:tcPr>
          <w:p w14:paraId="45D161A5">
            <w:pPr>
              <w:jc w:val="center"/>
            </w:pPr>
            <w:r>
              <w:rPr>
                <w:rFonts w:ascii="Arial" w:hAnsi="Arial" w:eastAsia="Arial" w:cs="Arial"/>
                <w:b w:val="0"/>
                <w:i w:val="0"/>
                <w:color w:val="000000"/>
                <w:sz w:val="20"/>
              </w:rPr>
              <w:t>206</w:t>
            </w:r>
          </w:p>
        </w:tc>
      </w:tr>
      <w:tr w14:paraId="64D7D02D">
        <w:trPr>
          <w:jc w:val="center"/>
        </w:trPr>
        <w:tc>
          <w:tcPr>
            <w:tcW w:w="1805" w:type="dxa"/>
          </w:tcPr>
          <w:p w14:paraId="0BFE0071">
            <w:pPr>
              <w:jc w:val="left"/>
            </w:pPr>
            <w:r>
              <w:rPr>
                <w:rFonts w:ascii="Arial" w:hAnsi="Arial" w:eastAsia="Arial" w:cs="Arial"/>
                <w:b w:val="0"/>
                <w:i w:val="0"/>
                <w:color w:val="000000"/>
                <w:sz w:val="20"/>
              </w:rPr>
              <w:t>Lighting</w:t>
            </w:r>
          </w:p>
        </w:tc>
        <w:tc>
          <w:tcPr>
            <w:tcW w:w="1805" w:type="dxa"/>
          </w:tcPr>
          <w:p w14:paraId="02897171">
            <w:pPr>
              <w:jc w:val="center"/>
            </w:pPr>
            <w:r>
              <w:rPr>
                <w:rFonts w:ascii="Arial" w:hAnsi="Arial" w:eastAsia="Arial" w:cs="Arial"/>
                <w:b w:val="0"/>
                <w:i w:val="0"/>
                <w:color w:val="000000"/>
                <w:sz w:val="20"/>
              </w:rPr>
              <w:t>overcast</w:t>
            </w:r>
          </w:p>
        </w:tc>
        <w:tc>
          <w:tcPr>
            <w:tcW w:w="1805" w:type="dxa"/>
          </w:tcPr>
          <w:p w14:paraId="3BFF2529">
            <w:pPr>
              <w:jc w:val="center"/>
            </w:pPr>
            <w:r>
              <w:rPr>
                <w:rFonts w:ascii="Arial" w:hAnsi="Arial" w:eastAsia="Arial" w:cs="Arial"/>
                <w:b w:val="0"/>
                <w:i w:val="0"/>
                <w:color w:val="000000"/>
                <w:sz w:val="20"/>
              </w:rPr>
              <w:t>1.596</w:t>
            </w:r>
          </w:p>
        </w:tc>
        <w:tc>
          <w:tcPr>
            <w:tcW w:w="1805" w:type="dxa"/>
          </w:tcPr>
          <w:p w14:paraId="6A720E54">
            <w:pPr>
              <w:jc w:val="center"/>
            </w:pPr>
            <w:r>
              <w:rPr>
                <w:rFonts w:ascii="Arial" w:hAnsi="Arial" w:eastAsia="Arial" w:cs="Arial"/>
                <w:b w:val="0"/>
                <w:i w:val="0"/>
                <w:color w:val="000000"/>
                <w:sz w:val="20"/>
              </w:rPr>
              <w:t>1.0</w:t>
            </w:r>
          </w:p>
        </w:tc>
        <w:tc>
          <w:tcPr>
            <w:tcW w:w="1805" w:type="dxa"/>
          </w:tcPr>
          <w:p w14:paraId="79D942F3">
            <w:pPr>
              <w:jc w:val="center"/>
            </w:pPr>
            <w:r>
              <w:rPr>
                <w:rFonts w:ascii="Arial" w:hAnsi="Arial" w:eastAsia="Arial" w:cs="Arial"/>
                <w:b w:val="0"/>
                <w:i w:val="0"/>
                <w:color w:val="000000"/>
                <w:sz w:val="20"/>
              </w:rPr>
              <w:t>1433</w:t>
            </w:r>
          </w:p>
        </w:tc>
      </w:tr>
      <w:tr w14:paraId="358646BB">
        <w:trPr>
          <w:jc w:val="center"/>
        </w:trPr>
        <w:tc>
          <w:tcPr>
            <w:tcW w:w="1805" w:type="dxa"/>
          </w:tcPr>
          <w:p w14:paraId="110EEAEE">
            <w:pPr>
              <w:jc w:val="left"/>
            </w:pPr>
            <w:r>
              <w:rPr>
                <w:rFonts w:ascii="Arial" w:hAnsi="Arial" w:eastAsia="Arial" w:cs="Arial"/>
                <w:b w:val="0"/>
                <w:i w:val="0"/>
                <w:color w:val="000000"/>
                <w:sz w:val="20"/>
              </w:rPr>
              <w:t>Occlusion</w:t>
            </w:r>
          </w:p>
        </w:tc>
        <w:tc>
          <w:tcPr>
            <w:tcW w:w="1805" w:type="dxa"/>
          </w:tcPr>
          <w:p w14:paraId="57138F2A">
            <w:pPr>
              <w:jc w:val="center"/>
            </w:pPr>
            <w:r>
              <w:rPr>
                <w:rFonts w:ascii="Arial" w:hAnsi="Arial" w:eastAsia="Arial" w:cs="Arial"/>
                <w:b w:val="0"/>
                <w:i w:val="0"/>
                <w:color w:val="000000"/>
                <w:sz w:val="20"/>
              </w:rPr>
              <w:t>low</w:t>
            </w:r>
          </w:p>
        </w:tc>
        <w:tc>
          <w:tcPr>
            <w:tcW w:w="1805" w:type="dxa"/>
          </w:tcPr>
          <w:p w14:paraId="72E52978">
            <w:pPr>
              <w:jc w:val="center"/>
            </w:pPr>
            <w:r>
              <w:rPr>
                <w:rFonts w:ascii="Arial" w:hAnsi="Arial" w:eastAsia="Arial" w:cs="Arial"/>
                <w:b w:val="0"/>
                <w:i w:val="0"/>
                <w:color w:val="000000"/>
                <w:sz w:val="20"/>
              </w:rPr>
              <w:t>0.650</w:t>
            </w:r>
          </w:p>
        </w:tc>
        <w:tc>
          <w:tcPr>
            <w:tcW w:w="1805" w:type="dxa"/>
          </w:tcPr>
          <w:p w14:paraId="0A65DB83">
            <w:pPr>
              <w:jc w:val="center"/>
            </w:pPr>
            <w:r>
              <w:rPr>
                <w:rFonts w:ascii="Arial" w:hAnsi="Arial" w:eastAsia="Arial" w:cs="Arial"/>
                <w:b w:val="0"/>
                <w:i w:val="0"/>
                <w:color w:val="000000"/>
                <w:sz w:val="20"/>
              </w:rPr>
              <w:t>0.0</w:t>
            </w:r>
          </w:p>
        </w:tc>
        <w:tc>
          <w:tcPr>
            <w:tcW w:w="1805" w:type="dxa"/>
          </w:tcPr>
          <w:p w14:paraId="2C8E61E0">
            <w:pPr>
              <w:jc w:val="center"/>
            </w:pPr>
            <w:r>
              <w:rPr>
                <w:rFonts w:ascii="Arial" w:hAnsi="Arial" w:eastAsia="Arial" w:cs="Arial"/>
                <w:b w:val="0"/>
                <w:i w:val="0"/>
                <w:color w:val="000000"/>
                <w:sz w:val="20"/>
              </w:rPr>
              <w:t>960</w:t>
            </w:r>
          </w:p>
        </w:tc>
      </w:tr>
      <w:tr w14:paraId="708E767F">
        <w:trPr>
          <w:jc w:val="center"/>
        </w:trPr>
        <w:tc>
          <w:tcPr>
            <w:tcW w:w="1805" w:type="dxa"/>
          </w:tcPr>
          <w:p w14:paraId="4C757449">
            <w:pPr>
              <w:jc w:val="left"/>
            </w:pPr>
            <w:r>
              <w:rPr>
                <w:rFonts w:ascii="Arial" w:hAnsi="Arial" w:eastAsia="Arial" w:cs="Arial"/>
                <w:b w:val="0"/>
                <w:i w:val="0"/>
                <w:color w:val="000000"/>
                <w:sz w:val="20"/>
              </w:rPr>
              <w:t>Occlusion</w:t>
            </w:r>
          </w:p>
        </w:tc>
        <w:tc>
          <w:tcPr>
            <w:tcW w:w="1805" w:type="dxa"/>
          </w:tcPr>
          <w:p w14:paraId="13A63782">
            <w:pPr>
              <w:jc w:val="center"/>
            </w:pPr>
            <w:r>
              <w:rPr>
                <w:rFonts w:ascii="Arial" w:hAnsi="Arial" w:eastAsia="Arial" w:cs="Arial"/>
                <w:b w:val="0"/>
                <w:i w:val="0"/>
                <w:color w:val="000000"/>
                <w:sz w:val="20"/>
              </w:rPr>
              <w:t>medium</w:t>
            </w:r>
          </w:p>
        </w:tc>
        <w:tc>
          <w:tcPr>
            <w:tcW w:w="1805" w:type="dxa"/>
          </w:tcPr>
          <w:p w14:paraId="61D6E3E5">
            <w:pPr>
              <w:jc w:val="center"/>
            </w:pPr>
            <w:r>
              <w:rPr>
                <w:rFonts w:ascii="Arial" w:hAnsi="Arial" w:eastAsia="Arial" w:cs="Arial"/>
                <w:b w:val="0"/>
                <w:i w:val="0"/>
                <w:color w:val="000000"/>
                <w:sz w:val="20"/>
              </w:rPr>
              <w:t>1.645</w:t>
            </w:r>
          </w:p>
        </w:tc>
        <w:tc>
          <w:tcPr>
            <w:tcW w:w="1805" w:type="dxa"/>
          </w:tcPr>
          <w:p w14:paraId="1856485C">
            <w:pPr>
              <w:jc w:val="center"/>
            </w:pPr>
            <w:r>
              <w:rPr>
                <w:rFonts w:ascii="Arial" w:hAnsi="Arial" w:eastAsia="Arial" w:cs="Arial"/>
                <w:b w:val="0"/>
                <w:i w:val="0"/>
                <w:color w:val="000000"/>
                <w:sz w:val="20"/>
              </w:rPr>
              <w:t>1.0</w:t>
            </w:r>
          </w:p>
        </w:tc>
        <w:tc>
          <w:tcPr>
            <w:tcW w:w="1805" w:type="dxa"/>
          </w:tcPr>
          <w:p w14:paraId="658C602E">
            <w:pPr>
              <w:jc w:val="center"/>
            </w:pPr>
            <w:r>
              <w:rPr>
                <w:rFonts w:ascii="Arial" w:hAnsi="Arial" w:eastAsia="Arial" w:cs="Arial"/>
                <w:b w:val="0"/>
                <w:i w:val="0"/>
                <w:color w:val="000000"/>
                <w:sz w:val="20"/>
              </w:rPr>
              <w:t>442</w:t>
            </w:r>
          </w:p>
        </w:tc>
      </w:tr>
      <w:tr w14:paraId="3B1ABDD8">
        <w:trPr>
          <w:jc w:val="center"/>
        </w:trPr>
        <w:tc>
          <w:tcPr>
            <w:tcW w:w="1805" w:type="dxa"/>
          </w:tcPr>
          <w:p w14:paraId="68193DAA">
            <w:pPr>
              <w:jc w:val="left"/>
            </w:pPr>
            <w:r>
              <w:rPr>
                <w:rFonts w:ascii="Arial" w:hAnsi="Arial" w:eastAsia="Arial" w:cs="Arial"/>
                <w:b w:val="0"/>
                <w:i w:val="0"/>
                <w:color w:val="000000"/>
                <w:sz w:val="20"/>
              </w:rPr>
              <w:t>Occlusion</w:t>
            </w:r>
          </w:p>
        </w:tc>
        <w:tc>
          <w:tcPr>
            <w:tcW w:w="1805" w:type="dxa"/>
          </w:tcPr>
          <w:p w14:paraId="2015948A">
            <w:pPr>
              <w:jc w:val="center"/>
            </w:pPr>
            <w:r>
              <w:rPr>
                <w:rFonts w:ascii="Arial" w:hAnsi="Arial" w:eastAsia="Arial" w:cs="Arial"/>
                <w:b w:val="0"/>
                <w:i w:val="0"/>
                <w:color w:val="000000"/>
                <w:sz w:val="20"/>
              </w:rPr>
              <w:t>high</w:t>
            </w:r>
          </w:p>
        </w:tc>
        <w:tc>
          <w:tcPr>
            <w:tcW w:w="1805" w:type="dxa"/>
          </w:tcPr>
          <w:p w14:paraId="06543EEC">
            <w:pPr>
              <w:jc w:val="center"/>
            </w:pPr>
            <w:r>
              <w:rPr>
                <w:rFonts w:ascii="Arial" w:hAnsi="Arial" w:eastAsia="Arial" w:cs="Arial"/>
                <w:b w:val="0"/>
                <w:i w:val="0"/>
                <w:color w:val="000000"/>
                <w:sz w:val="20"/>
              </w:rPr>
              <w:t>3.559</w:t>
            </w:r>
          </w:p>
        </w:tc>
        <w:tc>
          <w:tcPr>
            <w:tcW w:w="1805" w:type="dxa"/>
          </w:tcPr>
          <w:p w14:paraId="24A258EA">
            <w:pPr>
              <w:jc w:val="center"/>
            </w:pPr>
            <w:r>
              <w:rPr>
                <w:rFonts w:ascii="Arial" w:hAnsi="Arial" w:eastAsia="Arial" w:cs="Arial"/>
                <w:b w:val="0"/>
                <w:i w:val="0"/>
                <w:color w:val="000000"/>
                <w:sz w:val="20"/>
              </w:rPr>
              <w:t>2.0</w:t>
            </w:r>
          </w:p>
        </w:tc>
        <w:tc>
          <w:tcPr>
            <w:tcW w:w="1805" w:type="dxa"/>
          </w:tcPr>
          <w:p w14:paraId="2E045516">
            <w:pPr>
              <w:jc w:val="center"/>
            </w:pPr>
            <w:r>
              <w:rPr>
                <w:rFonts w:ascii="Arial" w:hAnsi="Arial" w:eastAsia="Arial" w:cs="Arial"/>
                <w:b w:val="0"/>
                <w:i w:val="0"/>
                <w:color w:val="000000"/>
                <w:sz w:val="20"/>
              </w:rPr>
              <w:t>433</w:t>
            </w:r>
          </w:p>
        </w:tc>
      </w:tr>
    </w:tbl>
    <w:p w14:paraId="4EFB55A8">
      <w:pPr>
        <w:spacing w:before="0" w:after="160" w:line="240" w:lineRule="auto"/>
        <w:jc w:val="both"/>
      </w:pPr>
    </w:p>
    <w:p w14:paraId="08376A4F">
      <w:pPr>
        <w:keepNext/>
        <w:spacing w:before="120" w:after="40" w:line="240" w:lineRule="auto"/>
        <w:jc w:val="center"/>
      </w:pPr>
      <w:r>
        <w:drawing>
          <wp:inline distT="0" distB="0" distL="114300" distR="114300">
            <wp:extent cx="5399405" cy="1842135"/>
            <wp:effectExtent l="0" t="0" r="1079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400000" cy="1842765"/>
                    </a:xfrm>
                    <a:prstGeom prst="rect">
                      <a:avLst/>
                    </a:prstGeom>
                  </pic:spPr>
                </pic:pic>
              </a:graphicData>
            </a:graphic>
          </wp:inline>
        </w:drawing>
      </w:r>
    </w:p>
    <w:p w14:paraId="120A0E59">
      <w:pPr>
        <w:spacing w:before="40" w:after="200" w:line="240" w:lineRule="auto"/>
        <w:jc w:val="center"/>
      </w:pPr>
      <w:r>
        <w:rPr>
          <w:b w:val="0"/>
          <w:i w:val="0"/>
          <w:sz w:val="18"/>
        </w:rPr>
        <w:t>Figure 13: YOLOv8 counting MAE by subgroup. Source: author.</w:t>
      </w:r>
    </w:p>
    <w:p w14:paraId="16969779">
      <w:pPr>
        <w:spacing w:before="0" w:after="120" w:line="360" w:lineRule="auto"/>
        <w:jc w:val="both"/>
      </w:pPr>
      <w:r>
        <w:rPr>
          <w:rFonts w:ascii="Arial" w:hAnsi="Arial" w:eastAsia="Arial" w:cs="Arial"/>
          <w:b w:val="0"/>
          <w:i w:val="0"/>
          <w:color w:val="000000"/>
          <w:sz w:val="22"/>
        </w:rPr>
        <w:t>The 5.5x penalty in counting MAE between low-occlusion (0.650) and high-occlusion (3.559) subgroups is the most operationally relevant single number in the chapter. For an aerial flock of 50 animals with high occlusion, the counter would be off by an average of three to four animals, and on the densest individual frames the error reaches double digits — a margin that is meaningful for any deployment that uses automated counts to track stock movements or detect missing animals. The same density regime drove the high-density results in Sarwar et al. (2021), and the present finding extends their conclusion from sheep-only counts to a mixed cattle-and-sheep setting under the same single-stage detection paradigm.</w:t>
      </w:r>
    </w:p>
    <w:p w14:paraId="7031305A">
      <w:pPr>
        <w:spacing w:before="0" w:after="120" w:line="360" w:lineRule="auto"/>
        <w:jc w:val="both"/>
      </w:pPr>
      <w:r>
        <w:rPr>
          <w:rFonts w:ascii="Arial" w:hAnsi="Arial" w:eastAsia="Arial" w:cs="Arial"/>
          <w:b w:val="0"/>
          <w:i w:val="0"/>
          <w:color w:val="000000"/>
          <w:sz w:val="22"/>
        </w:rPr>
        <w:t>The U-shaped pattern across low-medium-high occlusion in the classifier results (§4.7.2) deserves a separate comment. Low-occlusion crops are easy because animals are isolated and fully visible. High-occlusion crops remain relatively tractable in the classification setting because the visible portion of the animal is still characteristic enough to support a binary cattle-versus-sheep decision; what is lost is the ability to count. Medium occlusion is the hardest condition because crops contain enough background and partial neighbour-animal pixels to confuse the feature extractor without offering a clean cue.</w:t>
      </w:r>
    </w:p>
    <w:p w14:paraId="0998EB35">
      <w:pPr>
        <w:spacing w:before="0" w:after="120" w:line="360" w:lineRule="auto"/>
        <w:jc w:val="both"/>
      </w:pPr>
      <w:r>
        <w:rPr>
          <w:rFonts w:ascii="Arial" w:hAnsi="Arial" w:eastAsia="Arial" w:cs="Arial"/>
          <w:b w:val="0"/>
          <w:i w:val="0"/>
          <w:color w:val="000000"/>
          <w:sz w:val="22"/>
        </w:rPr>
        <w:t>The lighting subgroups tell a less dramatic story. The bright subgroup contains only 196 images, so the elevated MAE of 2.107 should be read with caution. The dim subgroup returns the lowest counting MAE (0.932), counter to the expectation that low light should degrade visual systems most; dim WAID frames were captured under overcast conditions with diffuse lighting, which suppresses harsh shadows. The fact that classifier accuracy drops and YOLO MAE drops both worsen on the same subgroups — high occlusion in particular — is informative: it points to a data-side problem rather than an architecture-side one, since two architecturally unrelated models degrade in concert.</w:t>
      </w:r>
    </w:p>
    <w:p w14:paraId="35008E31">
      <w:pPr>
        <w:pStyle w:val="3"/>
        <w:keepNext/>
        <w:spacing w:before="240" w:after="120" w:line="276" w:lineRule="auto"/>
        <w:jc w:val="left"/>
      </w:pPr>
      <w:bookmarkStart w:id="112" w:name="_Toc1067892425"/>
      <w:r>
        <w:rPr>
          <w:rFonts w:ascii="Arial" w:hAnsi="Arial" w:eastAsia="Arial" w:cs="Arial"/>
          <w:b/>
          <w:i w:val="0"/>
          <w:color w:val="000000"/>
          <w:sz w:val="26"/>
        </w:rPr>
        <w:t>4.8 Hypothesis testing summary</w:t>
      </w:r>
      <w:bookmarkEnd w:id="112"/>
    </w:p>
    <w:p w14:paraId="56DAD6BB">
      <w:pPr>
        <w:keepNext/>
        <w:spacing w:before="160" w:after="40" w:line="240" w:lineRule="auto"/>
        <w:jc w:val="left"/>
      </w:pPr>
      <w:r>
        <w:rPr>
          <w:b w:val="0"/>
          <w:i w:val="0"/>
          <w:sz w:val="18"/>
        </w:rPr>
        <w:t>Table 12: Final verdicts on the four hypotheses. Source: author.</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3009"/>
        <w:gridCol w:w="3009"/>
        <w:gridCol w:w="3009"/>
      </w:tblGrid>
      <w:tr w14:paraId="7C286721">
        <w:trPr>
          <w:jc w:val="center"/>
        </w:trPr>
        <w:tc>
          <w:tcPr>
            <w:tcW w:w="3009" w:type="dxa"/>
          </w:tcPr>
          <w:p w14:paraId="237F5DAA">
            <w:pPr>
              <w:jc w:val="center"/>
            </w:pPr>
            <w:r>
              <w:rPr>
                <w:rFonts w:ascii="Arial" w:hAnsi="Arial" w:eastAsia="Arial" w:cs="Arial"/>
                <w:b/>
                <w:i w:val="0"/>
                <w:color w:val="000000"/>
                <w:sz w:val="20"/>
              </w:rPr>
              <w:t>Hypothesis</w:t>
            </w:r>
          </w:p>
        </w:tc>
        <w:tc>
          <w:tcPr>
            <w:tcW w:w="3009" w:type="dxa"/>
          </w:tcPr>
          <w:p w14:paraId="4BADB6D6">
            <w:pPr>
              <w:jc w:val="center"/>
            </w:pPr>
            <w:r>
              <w:rPr>
                <w:rFonts w:ascii="Arial" w:hAnsi="Arial" w:eastAsia="Arial" w:cs="Arial"/>
                <w:b/>
                <w:i w:val="0"/>
                <w:color w:val="000000"/>
                <w:sz w:val="20"/>
              </w:rPr>
              <w:t>Verdict</w:t>
            </w:r>
          </w:p>
        </w:tc>
        <w:tc>
          <w:tcPr>
            <w:tcW w:w="3009" w:type="dxa"/>
          </w:tcPr>
          <w:p w14:paraId="3911F8C3">
            <w:pPr>
              <w:jc w:val="center"/>
            </w:pPr>
            <w:r>
              <w:rPr>
                <w:rFonts w:ascii="Arial" w:hAnsi="Arial" w:eastAsia="Arial" w:cs="Arial"/>
                <w:b/>
                <w:i w:val="0"/>
                <w:color w:val="000000"/>
                <w:sz w:val="20"/>
              </w:rPr>
              <w:t>Supporting evidence</w:t>
            </w:r>
          </w:p>
        </w:tc>
      </w:tr>
      <w:tr w14:paraId="0C9176E4">
        <w:trPr>
          <w:jc w:val="center"/>
        </w:trPr>
        <w:tc>
          <w:tcPr>
            <w:tcW w:w="3009" w:type="dxa"/>
          </w:tcPr>
          <w:p w14:paraId="2DD82122">
            <w:pPr>
              <w:jc w:val="left"/>
            </w:pPr>
            <w:r>
              <w:rPr>
                <w:rFonts w:ascii="Arial" w:hAnsi="Arial" w:eastAsia="Arial" w:cs="Arial"/>
                <w:b w:val="0"/>
                <w:i w:val="0"/>
                <w:color w:val="000000"/>
                <w:sz w:val="20"/>
              </w:rPr>
              <w:t>H1 (advanced &gt; custom)</w:t>
            </w:r>
          </w:p>
        </w:tc>
        <w:tc>
          <w:tcPr>
            <w:tcW w:w="3009" w:type="dxa"/>
          </w:tcPr>
          <w:p w14:paraId="7444AFB5">
            <w:pPr>
              <w:jc w:val="center"/>
            </w:pPr>
            <w:r>
              <w:rPr>
                <w:rFonts w:ascii="Arial" w:hAnsi="Arial" w:eastAsia="Arial" w:cs="Arial"/>
                <w:b w:val="0"/>
                <w:i w:val="0"/>
                <w:color w:val="000000"/>
                <w:sz w:val="20"/>
              </w:rPr>
              <w:t>PARTIALLY</w:t>
            </w:r>
          </w:p>
        </w:tc>
        <w:tc>
          <w:tcPr>
            <w:tcW w:w="3009" w:type="dxa"/>
          </w:tcPr>
          <w:p w14:paraId="2F8526EF">
            <w:pPr>
              <w:jc w:val="center"/>
            </w:pPr>
            <w:r>
              <w:rPr>
                <w:rFonts w:ascii="Arial" w:hAnsi="Arial" w:eastAsia="Arial" w:cs="Arial"/>
                <w:b w:val="0"/>
                <w:i w:val="0"/>
                <w:color w:val="000000"/>
                <w:sz w:val="20"/>
              </w:rPr>
              <w:t>Only VGG16 (1</w:t>
            </w:r>
          </w:p>
        </w:tc>
      </w:tr>
      <w:tr w14:paraId="028A5289">
        <w:trPr>
          <w:jc w:val="center"/>
        </w:trPr>
        <w:tc>
          <w:tcPr>
            <w:tcW w:w="3009" w:type="dxa"/>
          </w:tcPr>
          <w:p w14:paraId="56B73853">
            <w:pPr>
              <w:jc w:val="left"/>
            </w:pPr>
            <w:r>
              <w:rPr>
                <w:rFonts w:ascii="Arial" w:hAnsi="Arial" w:eastAsia="Arial" w:cs="Arial"/>
                <w:b w:val="0"/>
                <w:i w:val="0"/>
                <w:color w:val="000000"/>
                <w:sz w:val="20"/>
              </w:rPr>
              <w:t>3); ResNet50 and MobileNetV2 underperform Custom CNN</w:t>
            </w:r>
          </w:p>
        </w:tc>
        <w:tc>
          <w:tcPr>
            <w:tcW w:w="3009" w:type="dxa"/>
          </w:tcPr>
          <w:p w14:paraId="049136B3">
            <w:pPr>
              <w:jc w:val="center"/>
            </w:pPr>
          </w:p>
        </w:tc>
        <w:tc>
          <w:tcPr>
            <w:tcW w:w="3009" w:type="dxa"/>
          </w:tcPr>
          <w:p w14:paraId="3202AB96">
            <w:pPr>
              <w:jc w:val="center"/>
            </w:pPr>
          </w:p>
        </w:tc>
      </w:tr>
      <w:tr w14:paraId="46923202">
        <w:trPr>
          <w:jc w:val="center"/>
        </w:trPr>
        <w:tc>
          <w:tcPr>
            <w:tcW w:w="3009" w:type="dxa"/>
          </w:tcPr>
          <w:p w14:paraId="56557219">
            <w:pPr>
              <w:jc w:val="left"/>
            </w:pPr>
            <w:r>
              <w:rPr>
                <w:rFonts w:ascii="Arial" w:hAnsi="Arial" w:eastAsia="Arial" w:cs="Arial"/>
                <w:b w:val="0"/>
                <w:i w:val="0"/>
                <w:color w:val="000000"/>
                <w:sz w:val="20"/>
              </w:rPr>
              <w:t>H2 (augmentation helps)</w:t>
            </w:r>
          </w:p>
        </w:tc>
        <w:tc>
          <w:tcPr>
            <w:tcW w:w="3009" w:type="dxa"/>
          </w:tcPr>
          <w:p w14:paraId="35D9B401">
            <w:pPr>
              <w:jc w:val="center"/>
            </w:pPr>
            <w:r>
              <w:rPr>
                <w:rFonts w:ascii="Arial" w:hAnsi="Arial" w:eastAsia="Arial" w:cs="Arial"/>
                <w:b w:val="0"/>
                <w:i w:val="0"/>
                <w:color w:val="000000"/>
                <w:sz w:val="20"/>
              </w:rPr>
              <w:t>SUPPORTED</w:t>
            </w:r>
          </w:p>
        </w:tc>
        <w:tc>
          <w:tcPr>
            <w:tcW w:w="3009" w:type="dxa"/>
          </w:tcPr>
          <w:p w14:paraId="372603A6">
            <w:pPr>
              <w:jc w:val="center"/>
            </w:pPr>
            <w:r>
              <w:rPr>
                <w:rFonts w:ascii="Arial" w:hAnsi="Arial" w:eastAsia="Arial" w:cs="Arial"/>
                <w:b w:val="0"/>
                <w:i w:val="0"/>
                <w:color w:val="000000"/>
                <w:sz w:val="20"/>
              </w:rPr>
              <w:t>+0.62pp test accuracy with augmentation</w:t>
            </w:r>
          </w:p>
        </w:tc>
      </w:tr>
      <w:tr w14:paraId="0BC11A25">
        <w:trPr>
          <w:jc w:val="center"/>
        </w:trPr>
        <w:tc>
          <w:tcPr>
            <w:tcW w:w="3009" w:type="dxa"/>
          </w:tcPr>
          <w:p w14:paraId="2EF712DC">
            <w:pPr>
              <w:jc w:val="left"/>
            </w:pPr>
            <w:r>
              <w:rPr>
                <w:rFonts w:ascii="Arial" w:hAnsi="Arial" w:eastAsia="Arial" w:cs="Arial"/>
                <w:b w:val="0"/>
                <w:i w:val="0"/>
                <w:color w:val="000000"/>
                <w:sz w:val="20"/>
              </w:rPr>
              <w:t>H3 (env factors significant)</w:t>
            </w:r>
          </w:p>
        </w:tc>
        <w:tc>
          <w:tcPr>
            <w:tcW w:w="3009" w:type="dxa"/>
          </w:tcPr>
          <w:p w14:paraId="36D21918">
            <w:pPr>
              <w:jc w:val="center"/>
            </w:pPr>
            <w:r>
              <w:rPr>
                <w:rFonts w:ascii="Arial" w:hAnsi="Arial" w:eastAsia="Arial" w:cs="Arial"/>
                <w:b w:val="0"/>
                <w:i w:val="0"/>
                <w:color w:val="000000"/>
                <w:sz w:val="20"/>
              </w:rPr>
              <w:t>SUPPORTED</w:t>
            </w:r>
          </w:p>
        </w:tc>
        <w:tc>
          <w:tcPr>
            <w:tcW w:w="3009" w:type="dxa"/>
          </w:tcPr>
          <w:p w14:paraId="32BC4DC4">
            <w:pPr>
              <w:jc w:val="center"/>
            </w:pPr>
            <w:r>
              <w:rPr>
                <w:rFonts w:ascii="Arial" w:hAnsi="Arial" w:eastAsia="Arial" w:cs="Arial"/>
                <w:b w:val="0"/>
                <w:i w:val="0"/>
                <w:color w:val="000000"/>
                <w:sz w:val="20"/>
              </w:rPr>
              <w:t>Occlusion x5.5 MAE; lighting affects MobileNetV2 by 5.6pp</w:t>
            </w:r>
          </w:p>
        </w:tc>
      </w:tr>
      <w:tr w14:paraId="68A8C414">
        <w:trPr>
          <w:jc w:val="center"/>
        </w:trPr>
        <w:tc>
          <w:tcPr>
            <w:tcW w:w="3009" w:type="dxa"/>
          </w:tcPr>
          <w:p w14:paraId="1A759C12">
            <w:pPr>
              <w:jc w:val="left"/>
            </w:pPr>
            <w:r>
              <w:rPr>
                <w:rFonts w:ascii="Arial" w:hAnsi="Arial" w:eastAsia="Arial" w:cs="Arial"/>
                <w:b w:val="0"/>
                <w:i w:val="0"/>
                <w:color w:val="000000"/>
                <w:sz w:val="20"/>
              </w:rPr>
              <w:t>H0 (no significant difference)</w:t>
            </w:r>
          </w:p>
        </w:tc>
        <w:tc>
          <w:tcPr>
            <w:tcW w:w="3009" w:type="dxa"/>
          </w:tcPr>
          <w:p w14:paraId="12CA6A43">
            <w:pPr>
              <w:jc w:val="center"/>
            </w:pPr>
            <w:r>
              <w:rPr>
                <w:rFonts w:ascii="Arial" w:hAnsi="Arial" w:eastAsia="Arial" w:cs="Arial"/>
                <w:b w:val="0"/>
                <w:i w:val="0"/>
                <w:color w:val="000000"/>
                <w:sz w:val="20"/>
              </w:rPr>
              <w:t>REJECTED</w:t>
            </w:r>
          </w:p>
        </w:tc>
        <w:tc>
          <w:tcPr>
            <w:tcW w:w="3009" w:type="dxa"/>
          </w:tcPr>
          <w:p w14:paraId="2E8AA991">
            <w:pPr>
              <w:jc w:val="center"/>
            </w:pPr>
            <w:r>
              <w:rPr>
                <w:rFonts w:ascii="Arial" w:hAnsi="Arial" w:eastAsia="Arial" w:cs="Arial"/>
                <w:b w:val="0"/>
                <w:i w:val="0"/>
                <w:color w:val="000000"/>
                <w:sz w:val="20"/>
              </w:rPr>
              <w:t>Multiple McNemar p&lt;0.001</w:t>
            </w:r>
          </w:p>
        </w:tc>
      </w:tr>
    </w:tbl>
    <w:p w14:paraId="46BE39F7">
      <w:pPr>
        <w:spacing w:before="0" w:after="160" w:line="240" w:lineRule="auto"/>
        <w:jc w:val="both"/>
      </w:pPr>
    </w:p>
    <w:p w14:paraId="178A1B88">
      <w:pPr>
        <w:pStyle w:val="2"/>
        <w:keepNext/>
        <w:pageBreakBefore/>
        <w:spacing w:before="360" w:after="240" w:line="276" w:lineRule="auto"/>
        <w:jc w:val="left"/>
      </w:pPr>
      <w:bookmarkStart w:id="113" w:name="_Toc1547148996"/>
      <w:r>
        <w:rPr>
          <w:rFonts w:ascii="Arial" w:hAnsi="Arial" w:eastAsia="Arial" w:cs="Arial"/>
          <w:b/>
          <w:i w:val="0"/>
          <w:color w:val="000000"/>
          <w:sz w:val="32"/>
        </w:rPr>
        <w:t>5. Discussion and Evaluation</w:t>
      </w:r>
      <w:bookmarkEnd w:id="113"/>
    </w:p>
    <w:p w14:paraId="101B5CE6">
      <w:pPr>
        <w:pStyle w:val="3"/>
        <w:keepNext/>
        <w:spacing w:before="240" w:after="120" w:line="276" w:lineRule="auto"/>
        <w:jc w:val="left"/>
      </w:pPr>
      <w:bookmarkStart w:id="114" w:name="_Toc1201177896"/>
      <w:r>
        <w:rPr>
          <w:rFonts w:ascii="Arial" w:hAnsi="Arial" w:eastAsia="Arial" w:cs="Arial"/>
          <w:b/>
          <w:i w:val="0"/>
          <w:color w:val="000000"/>
          <w:sz w:val="26"/>
        </w:rPr>
        <w:t>5.1 Interpretation of main findings</w:t>
      </w:r>
      <w:bookmarkEnd w:id="114"/>
    </w:p>
    <w:p w14:paraId="000C1BCD">
      <w:pPr>
        <w:spacing w:before="0" w:after="120" w:line="360" w:lineRule="auto"/>
        <w:jc w:val="both"/>
      </w:pPr>
      <w:r>
        <w:rPr>
          <w:rFonts w:ascii="Arial" w:hAnsi="Arial" w:eastAsia="Arial" w:cs="Arial"/>
          <w:b w:val="0"/>
          <w:i w:val="0"/>
          <w:color w:val="000000"/>
          <w:sz w:val="22"/>
        </w:rPr>
        <w:t>VGG16 wins this benchmark. The reason is not that it is a newer or more elegant architecture; it is that VGG16 ends in a 25 088-dimensional flatten and my classifier head adapted 3.21 million parameters on top of it. ResNet50 ends in a 2048-dimensional pooled vector, and feature extraction left only 262 530 parameters to fit. MobileNetV2 ended in 1280 features and only 164 226 trainable parameters. In other words, the size of the adaptable head matters more than the sophistication of the frozen backbone when the target task is far from ImageNet. That is the mechanical explanation for the H1 partial result.</w:t>
      </w:r>
    </w:p>
    <w:p w14:paraId="3C34126D">
      <w:pPr>
        <w:spacing w:before="0" w:after="120" w:line="360" w:lineRule="auto"/>
        <w:jc w:val="both"/>
      </w:pPr>
      <w:r>
        <w:rPr>
          <w:rFonts w:ascii="Arial" w:hAnsi="Arial" w:eastAsia="Arial" w:cs="Arial"/>
          <w:b w:val="0"/>
          <w:i w:val="0"/>
          <w:color w:val="000000"/>
          <w:sz w:val="22"/>
        </w:rPr>
        <w:t>The custom CNN's competitive performance is consistent with this reading. The full 8.76 million parameters are trainable, the architecture is shallow enough to optimise on a modest crop budget, and Optuna fitted both the architectural and optimisation hyperparameters specifically to cattle-versus-sheep crops. The combination produced a model that sits within striking distance of VGG16 and beats two larger pretrained networks on the same data.</w:t>
      </w:r>
    </w:p>
    <w:p w14:paraId="0C759AAB">
      <w:pPr>
        <w:spacing w:before="0" w:after="120" w:line="360" w:lineRule="auto"/>
        <w:jc w:val="both"/>
      </w:pPr>
      <w:r>
        <w:rPr>
          <w:rFonts w:ascii="Arial" w:hAnsi="Arial" w:eastAsia="Arial" w:cs="Arial"/>
          <w:b w:val="0"/>
          <w:i w:val="0"/>
          <w:color w:val="000000"/>
          <w:sz w:val="22"/>
        </w:rPr>
        <w:t>ResNet50 and MobileNetV2 lost not because residual blocks or depthwise-separable convolutions are flawed, but because freezing them buries their best features behind a tiny classifier head. Yosinski et al. (2014) note that the upper layers of a pretrained network become more domain-specific, which is precisely the layers that feature extraction holds fixed.</w:t>
      </w:r>
    </w:p>
    <w:p w14:paraId="0AC45AA0">
      <w:pPr>
        <w:pStyle w:val="3"/>
        <w:keepNext/>
        <w:spacing w:before="240" w:after="120" w:line="276" w:lineRule="auto"/>
        <w:jc w:val="left"/>
      </w:pPr>
      <w:bookmarkStart w:id="115" w:name="_Toc1850616272"/>
      <w:r>
        <w:rPr>
          <w:rFonts w:ascii="Arial" w:hAnsi="Arial" w:eastAsia="Arial" w:cs="Arial"/>
          <w:b/>
          <w:i w:val="0"/>
          <w:color w:val="000000"/>
          <w:sz w:val="26"/>
        </w:rPr>
        <w:t>5.2 H1 verdict: ImageNet is not a universal foundation</w:t>
      </w:r>
      <w:bookmarkEnd w:id="115"/>
    </w:p>
    <w:p w14:paraId="7F51E10F">
      <w:pPr>
        <w:spacing w:before="0" w:after="120" w:line="360" w:lineRule="auto"/>
        <w:jc w:val="both"/>
      </w:pPr>
      <w:r>
        <w:rPr>
          <w:rFonts w:ascii="Arial" w:hAnsi="Arial" w:eastAsia="Arial" w:cs="Arial"/>
          <w:b w:val="0"/>
          <w:i w:val="0"/>
          <w:color w:val="000000"/>
          <w:sz w:val="22"/>
        </w:rPr>
        <w:t>The H1 prediction was that any of the three pretrained models would beat the from-scratch custom CNN. The result is that only VGG16 did, by a clear margin. ResNet50 was statistically indistinguishable from the custom CNN (McNemar p=0.1475), and MobileNetV2 lost outright (p=4.75e-05). The conventional expectation of pretrained dominance is therefore confirmed for one architecture and refuted for two. The practical takeaway is that "use a pretrained model" is not a general recipe; the recipe depends on how much of the network can be adapted to the target task and on whether the upper layers' domain bias helps or hurts.</w:t>
      </w:r>
    </w:p>
    <w:p w14:paraId="68CEE1FB">
      <w:pPr>
        <w:pStyle w:val="3"/>
        <w:keepNext/>
        <w:spacing w:before="240" w:after="120" w:line="276" w:lineRule="auto"/>
        <w:jc w:val="left"/>
      </w:pPr>
      <w:bookmarkStart w:id="116" w:name="_Toc1302024003"/>
      <w:r>
        <w:rPr>
          <w:rFonts w:ascii="Arial" w:hAnsi="Arial" w:eastAsia="Arial" w:cs="Arial"/>
          <w:b/>
          <w:i w:val="0"/>
          <w:color w:val="000000"/>
          <w:sz w:val="26"/>
        </w:rPr>
        <w:t>5.3 H2 verdict: augmentation gives a small but real lift</w:t>
      </w:r>
      <w:bookmarkEnd w:id="116"/>
    </w:p>
    <w:p w14:paraId="62DB0251">
      <w:pPr>
        <w:spacing w:before="0" w:after="120" w:line="360" w:lineRule="auto"/>
        <w:jc w:val="both"/>
      </w:pPr>
      <w:r>
        <w:rPr>
          <w:rFonts w:ascii="Arial" w:hAnsi="Arial" w:eastAsia="Arial" w:cs="Arial"/>
          <w:b w:val="0"/>
          <w:i w:val="0"/>
          <w:color w:val="000000"/>
          <w:sz w:val="22"/>
        </w:rPr>
        <w:t>The +0.62-percentage-point gain from augmentation is modest in raw form but consistent. On a 7 744-crop test set it amounts to roughly 48 additional correct predictions. Augmentation effects scale inversely with training-set size: on a 3 000-crop training run the gain would likely have been larger, and on a 100 000-crop run it would have been smaller. At 35 806 training crops, +0.62 sits in the expected range for the light augmentation pipeline I used (horizontal flip, plus or minus 15 degrees rotation, mild colour jitter). The H2 hypothesis is supported but at the lower end of the expected effect size.</w:t>
      </w:r>
    </w:p>
    <w:p w14:paraId="0F93FC77">
      <w:pPr>
        <w:pStyle w:val="3"/>
        <w:keepNext/>
        <w:spacing w:before="240" w:after="120" w:line="276" w:lineRule="auto"/>
        <w:jc w:val="left"/>
      </w:pPr>
      <w:bookmarkStart w:id="117" w:name="_Toc259055491"/>
      <w:r>
        <w:rPr>
          <w:rFonts w:ascii="Arial" w:hAnsi="Arial" w:eastAsia="Arial" w:cs="Arial"/>
          <w:b/>
          <w:i w:val="0"/>
          <w:color w:val="000000"/>
          <w:sz w:val="26"/>
        </w:rPr>
        <w:t>5.4 H3 verdict: occlusion is the dominant environmental factor</w:t>
      </w:r>
      <w:bookmarkEnd w:id="117"/>
    </w:p>
    <w:p w14:paraId="7EFD0950">
      <w:pPr>
        <w:spacing w:before="0" w:after="120" w:line="360" w:lineRule="auto"/>
        <w:jc w:val="both"/>
      </w:pPr>
      <w:r>
        <w:rPr>
          <w:rFonts w:ascii="Arial" w:hAnsi="Arial" w:eastAsia="Arial" w:cs="Arial"/>
          <w:b w:val="0"/>
          <w:i w:val="0"/>
          <w:color w:val="000000"/>
          <w:sz w:val="22"/>
        </w:rPr>
        <w:t>The most important practical finding in this work is that YOLO counting MAE rises by a factor of 5.5 between low and high occlusion (0.650 to 3.559). This is the kind of failure mode that aggregate metrics hide. It is a known weakness of single-stage detectors whose non-maximum suppression collapses overlapping bounding boxes into one (Redmon et al., 2016). For a farmer counting a tight herd, this means the headline R squared of 0.9749 does not transfer to dense paddocks. Lighting effects are milder for the classifiers, but the bright subgroup is genuinely harder for MobileNetV2 (0.9180) than for VGG16 (0.9723), a gap that probably reflects shallower networks struggling with high-contrast edges and saturated highlights.</w:t>
      </w:r>
    </w:p>
    <w:p w14:paraId="02593D05">
      <w:pPr>
        <w:pStyle w:val="3"/>
        <w:keepNext/>
        <w:spacing w:before="240" w:after="120" w:line="276" w:lineRule="auto"/>
        <w:jc w:val="left"/>
      </w:pPr>
      <w:bookmarkStart w:id="118" w:name="_Toc996284768"/>
      <w:r>
        <w:rPr>
          <w:rFonts w:ascii="Arial" w:hAnsi="Arial" w:eastAsia="Arial" w:cs="Arial"/>
          <w:b/>
          <w:i w:val="0"/>
          <w:color w:val="000000"/>
          <w:sz w:val="26"/>
        </w:rPr>
        <w:t>5.5 Statistical robustness</w:t>
      </w:r>
      <w:bookmarkEnd w:id="118"/>
    </w:p>
    <w:p w14:paraId="568A7A4E">
      <w:pPr>
        <w:spacing w:before="0" w:after="120" w:line="360" w:lineRule="auto"/>
        <w:jc w:val="both"/>
      </w:pPr>
      <w:r>
        <w:rPr>
          <w:rFonts w:ascii="Arial" w:hAnsi="Arial" w:eastAsia="Arial" w:cs="Arial"/>
          <w:b w:val="0"/>
          <w:i w:val="0"/>
          <w:color w:val="000000"/>
          <w:sz w:val="22"/>
        </w:rPr>
        <w:t>McNemar's framework prevented me from over-claiming the difference between the custom CNN and ResNet50. With p=0.1475 on 7 744 crops, those two models are tied for practical purposes. At the same time the test confirmed that VGG16's lead is not noise: every VGG16-versus-other comparison sits below 1e-7. The combination of large p where the gap is small and tiny p where the gap is large is what one would hope to see; it suggests the test set is doing the work I designed it to do (McNemar, 1947).</w:t>
      </w:r>
    </w:p>
    <w:p w14:paraId="5D5DCE83">
      <w:pPr>
        <w:pStyle w:val="3"/>
        <w:keepNext/>
        <w:spacing w:before="240" w:after="120" w:line="276" w:lineRule="auto"/>
        <w:jc w:val="left"/>
      </w:pPr>
      <w:bookmarkStart w:id="119" w:name="_Toc628100117"/>
      <w:r>
        <w:rPr>
          <w:rFonts w:ascii="Arial" w:hAnsi="Arial" w:eastAsia="Arial" w:cs="Arial"/>
          <w:b/>
          <w:i w:val="0"/>
          <w:color w:val="000000"/>
          <w:sz w:val="26"/>
        </w:rPr>
        <w:t>5.6 Practical feasibility</w:t>
      </w:r>
      <w:bookmarkEnd w:id="119"/>
    </w:p>
    <w:p w14:paraId="28DCDD2B">
      <w:pPr>
        <w:spacing w:before="0" w:after="120" w:line="360" w:lineRule="auto"/>
        <w:jc w:val="both"/>
      </w:pPr>
      <w:r>
        <w:rPr>
          <w:rFonts w:ascii="Arial" w:hAnsi="Arial" w:eastAsia="Arial" w:cs="Arial"/>
          <w:b w:val="0"/>
          <w:i w:val="0"/>
          <w:color w:val="000000"/>
          <w:sz w:val="22"/>
        </w:rPr>
        <w:t>Different deployment scenarios motivate different model choices. For an edge device on a field gateway with limited memory, MobileNetV2 at 2.39 million parameters and 0.16 million trainable head parameters is the obvious starting point, even though it ranks last on accuracy here, because fine-tuning rather than feature extraction would likely close most of the accuracy gap. For a balanced research deployment where compute is modest, the custom CNN at 8.76 million fully trainable parameters is a credible choice. For maximum accuracy where compute is not a constraint, VGG16 wins the classification head. For the counting task itself, YOLOv8n already runs in real time on a Tesla T4 and would extend to drone-side inference with quantisation.</w:t>
      </w:r>
    </w:p>
    <w:p w14:paraId="7F6306AD">
      <w:pPr>
        <w:pStyle w:val="3"/>
        <w:keepNext/>
        <w:spacing w:before="240" w:after="120" w:line="276" w:lineRule="auto"/>
        <w:jc w:val="left"/>
      </w:pPr>
      <w:bookmarkStart w:id="120" w:name="_Toc1596541414"/>
      <w:r>
        <w:rPr>
          <w:rFonts w:ascii="Arial" w:hAnsi="Arial" w:eastAsia="Arial" w:cs="Arial"/>
          <w:b/>
          <w:i w:val="0"/>
          <w:color w:val="000000"/>
          <w:sz w:val="26"/>
        </w:rPr>
        <w:t>5.7 Comparison with prior work</w:t>
      </w:r>
      <w:bookmarkEnd w:id="120"/>
    </w:p>
    <w:p w14:paraId="4BDEBFE7">
      <w:pPr>
        <w:spacing w:before="0" w:after="120" w:line="360" w:lineRule="auto"/>
        <w:jc w:val="both"/>
      </w:pPr>
      <w:r>
        <w:t>Wang et al. (2019) trained YOLOv3 on a single-species drone dataset and reported mAP@50 around 0.92. Sarwar et al. (2021) used a deep model on high-density aerial sheep imagery and reported counting accuracy in a similar range to mine. Norouzzadeh et al. (2018) demonstrated that ImageNet-pretrained backbones transfer well to wildlife camera-trap classification, but their target classes were closer to ImageNet's natural-image distribution than aerial cattle and sheep are. Andrew et al. (2017) used CNNs for cattle re-identification on ground-level imagery. The contribution of this dissertation, relative to those works, is twofold. First, it compares a custom from-scratch baseline against three pretrained models on the same multi-source dataset, and finds that the from-scratch baseline holds its own against two of the three pretrained networks. Second, it conducts a per-subgroup evaluation that reveals the 5.5x MAE penalty for occlusion, which an aggregate R squared of 0.97 would otherwise hide.</w:t>
      </w:r>
    </w:p>
    <w:p w14:paraId="06029633">
      <w:pPr>
        <w:spacing w:before="0" w:after="120" w:line="360" w:lineRule="auto"/>
        <w:jc w:val="both"/>
      </w:pPr>
      <w:r>
        <w:t>Table 13 places the present study alongside a small set of representative prior works in livestock and agricultural computer vision. The selection is restricted to studies that report either detection mAP, classification accuracy or counting error on imagery that is comparable to ours in viewpoint or species. Direct numerical comparison is constrained because each study trains and tests on a different dataset, with different class definitions, image resolutions and acquisition altitudes. Where a metric is not reported in a form compatible with ours, the cell is marked as not reported.</w:t>
      </w:r>
    </w:p>
    <w:p w14:paraId="7E24400E">
      <w:pPr>
        <w:keepNext/>
        <w:spacing w:before="160" w:after="40" w:line="240" w:lineRule="auto"/>
        <w:jc w:val="left"/>
      </w:pPr>
      <w:r>
        <w:rPr>
          <w:b w:val="0"/>
          <w:i w:val="0"/>
          <w:sz w:val="18"/>
        </w:rPr>
        <w:t>Table 13: Comparison with prior livestock vision studies. Source: author.</w:t>
      </w:r>
    </w:p>
    <w:tbl>
      <w:tblPr>
        <w:tblStyle w:val="54"/>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450"/>
        <w:gridCol w:w="1750"/>
        <w:gridCol w:w="1450"/>
        <w:gridCol w:w="1700"/>
        <w:gridCol w:w="1750"/>
        <w:gridCol w:w="1100"/>
      </w:tblGrid>
      <w:tr w14:paraId="67F3F5E4">
        <w:trPr>
          <w:jc w:val="center"/>
        </w:trPr>
        <w:tc>
          <w:tcPr>
            <w:tcW w:w="1450" w:type="dxa"/>
          </w:tcPr>
          <w:p w14:paraId="40DB7093">
            <w:pPr>
              <w:jc w:val="left"/>
            </w:pPr>
            <w:r>
              <w:rPr>
                <w:rFonts w:ascii="Arial" w:hAnsi="Arial" w:eastAsia="Arial" w:cs="Arial"/>
                <w:b/>
                <w:i w:val="0"/>
                <w:color w:val="000000"/>
                <w:sz w:val="18"/>
              </w:rPr>
              <w:t>Author (Year)</w:t>
            </w:r>
          </w:p>
        </w:tc>
        <w:tc>
          <w:tcPr>
            <w:tcW w:w="1750" w:type="dxa"/>
          </w:tcPr>
          <w:p w14:paraId="2B1AC71C">
            <w:pPr>
              <w:jc w:val="left"/>
            </w:pPr>
            <w:r>
              <w:rPr>
                <w:rFonts w:ascii="Arial" w:hAnsi="Arial" w:eastAsia="Arial" w:cs="Arial"/>
                <w:b/>
                <w:i w:val="0"/>
                <w:color w:val="000000"/>
                <w:sz w:val="18"/>
              </w:rPr>
              <w:t>Dataset</w:t>
            </w:r>
          </w:p>
        </w:tc>
        <w:tc>
          <w:tcPr>
            <w:tcW w:w="1450" w:type="dxa"/>
          </w:tcPr>
          <w:p w14:paraId="414EB414">
            <w:pPr>
              <w:jc w:val="left"/>
            </w:pPr>
            <w:r>
              <w:rPr>
                <w:rFonts w:ascii="Arial" w:hAnsi="Arial" w:eastAsia="Arial" w:cs="Arial"/>
                <w:b/>
                <w:i w:val="0"/>
                <w:color w:val="000000"/>
                <w:sz w:val="18"/>
              </w:rPr>
              <w:t>Species</w:t>
            </w:r>
          </w:p>
        </w:tc>
        <w:tc>
          <w:tcPr>
            <w:tcW w:w="1700" w:type="dxa"/>
          </w:tcPr>
          <w:p w14:paraId="46609C73">
            <w:pPr>
              <w:jc w:val="left"/>
            </w:pPr>
            <w:r>
              <w:rPr>
                <w:rFonts w:ascii="Arial" w:hAnsi="Arial" w:eastAsia="Arial" w:cs="Arial"/>
                <w:b/>
                <w:i w:val="0"/>
                <w:color w:val="000000"/>
                <w:sz w:val="18"/>
              </w:rPr>
              <w:t>Model</w:t>
            </w:r>
          </w:p>
        </w:tc>
        <w:tc>
          <w:tcPr>
            <w:tcW w:w="1750" w:type="dxa"/>
          </w:tcPr>
          <w:p w14:paraId="71151F98">
            <w:pPr>
              <w:jc w:val="left"/>
            </w:pPr>
            <w:r>
              <w:rPr>
                <w:rFonts w:ascii="Arial" w:hAnsi="Arial" w:eastAsia="Arial" w:cs="Arial"/>
                <w:b/>
                <w:i w:val="0"/>
                <w:color w:val="000000"/>
                <w:sz w:val="18"/>
              </w:rPr>
              <w:t>Headline metric</w:t>
            </w:r>
          </w:p>
        </w:tc>
        <w:tc>
          <w:tcPr>
            <w:tcW w:w="1100" w:type="dxa"/>
          </w:tcPr>
          <w:p w14:paraId="48AB46C7">
            <w:pPr>
              <w:jc w:val="left"/>
            </w:pPr>
            <w:r>
              <w:rPr>
                <w:rFonts w:ascii="Arial" w:hAnsi="Arial" w:eastAsia="Arial" w:cs="Arial"/>
                <w:b/>
                <w:i w:val="0"/>
                <w:color w:val="000000"/>
                <w:sz w:val="18"/>
              </w:rPr>
              <w:t>Viewpoint</w:t>
            </w:r>
          </w:p>
        </w:tc>
      </w:tr>
      <w:tr w14:paraId="32DBB44C">
        <w:trPr>
          <w:jc w:val="center"/>
        </w:trPr>
        <w:tc>
          <w:tcPr>
            <w:tcW w:w="1450" w:type="dxa"/>
          </w:tcPr>
          <w:p w14:paraId="26DFF3B1">
            <w:pPr>
              <w:jc w:val="left"/>
            </w:pPr>
            <w:r>
              <w:rPr>
                <w:rFonts w:ascii="Arial" w:hAnsi="Arial" w:eastAsia="Arial" w:cs="Arial"/>
                <w:b w:val="0"/>
                <w:i w:val="0"/>
                <w:color w:val="000000"/>
                <w:sz w:val="18"/>
              </w:rPr>
              <w:t>Sarwar et al. (2018)</w:t>
            </w:r>
          </w:p>
        </w:tc>
        <w:tc>
          <w:tcPr>
            <w:tcW w:w="1750" w:type="dxa"/>
          </w:tcPr>
          <w:p w14:paraId="2595763E">
            <w:pPr>
              <w:jc w:val="left"/>
            </w:pPr>
            <w:r>
              <w:rPr>
                <w:rFonts w:ascii="Arial" w:hAnsi="Arial" w:eastAsia="Arial" w:cs="Arial"/>
                <w:b w:val="0"/>
                <w:i w:val="0"/>
                <w:color w:val="000000"/>
                <w:sz w:val="18"/>
              </w:rPr>
              <w:t>Aerial sheep imagery (authors')</w:t>
            </w:r>
          </w:p>
        </w:tc>
        <w:tc>
          <w:tcPr>
            <w:tcW w:w="1450" w:type="dxa"/>
          </w:tcPr>
          <w:p w14:paraId="50175EDE">
            <w:pPr>
              <w:jc w:val="left"/>
            </w:pPr>
            <w:r>
              <w:rPr>
                <w:rFonts w:ascii="Arial" w:hAnsi="Arial" w:eastAsia="Arial" w:cs="Arial"/>
                <w:b w:val="0"/>
                <w:i w:val="0"/>
                <w:color w:val="000000"/>
                <w:sz w:val="18"/>
              </w:rPr>
              <w:t>Sheep</w:t>
            </w:r>
          </w:p>
        </w:tc>
        <w:tc>
          <w:tcPr>
            <w:tcW w:w="1700" w:type="dxa"/>
          </w:tcPr>
          <w:p w14:paraId="7342D078">
            <w:pPr>
              <w:jc w:val="left"/>
            </w:pPr>
            <w:r>
              <w:rPr>
                <w:rFonts w:ascii="Arial" w:hAnsi="Arial" w:eastAsia="Arial" w:cs="Arial"/>
                <w:b w:val="0"/>
                <w:i w:val="0"/>
                <w:color w:val="000000"/>
                <w:sz w:val="18"/>
              </w:rPr>
              <w:t>CNN classifier + counting pipeline</w:t>
            </w:r>
          </w:p>
        </w:tc>
        <w:tc>
          <w:tcPr>
            <w:tcW w:w="1750" w:type="dxa"/>
          </w:tcPr>
          <w:p w14:paraId="10509E8C">
            <w:pPr>
              <w:jc w:val="left"/>
            </w:pPr>
            <w:r>
              <w:rPr>
                <w:rFonts w:ascii="Arial" w:hAnsi="Arial" w:eastAsia="Arial" w:cs="Arial"/>
                <w:b w:val="0"/>
                <w:i w:val="0"/>
                <w:color w:val="000000"/>
                <w:sz w:val="18"/>
              </w:rPr>
              <w:t>Counting accuracy not reported in mAP form</w:t>
            </w:r>
          </w:p>
        </w:tc>
        <w:tc>
          <w:tcPr>
            <w:tcW w:w="1100" w:type="dxa"/>
          </w:tcPr>
          <w:p w14:paraId="46149191">
            <w:pPr>
              <w:jc w:val="left"/>
            </w:pPr>
            <w:r>
              <w:rPr>
                <w:rFonts w:ascii="Arial" w:hAnsi="Arial" w:eastAsia="Arial" w:cs="Arial"/>
                <w:b w:val="0"/>
                <w:i w:val="0"/>
                <w:color w:val="000000"/>
                <w:sz w:val="18"/>
              </w:rPr>
              <w:t>UAV</w:t>
            </w:r>
          </w:p>
        </w:tc>
      </w:tr>
      <w:tr w14:paraId="29D33395">
        <w:trPr>
          <w:jc w:val="center"/>
        </w:trPr>
        <w:tc>
          <w:tcPr>
            <w:tcW w:w="1450" w:type="dxa"/>
          </w:tcPr>
          <w:p w14:paraId="1DC293F3">
            <w:pPr>
              <w:jc w:val="left"/>
            </w:pPr>
            <w:r>
              <w:rPr>
                <w:rFonts w:ascii="Arial" w:hAnsi="Arial" w:eastAsia="Arial" w:cs="Arial"/>
                <w:b w:val="0"/>
                <w:i w:val="0"/>
                <w:color w:val="000000"/>
                <w:sz w:val="18"/>
              </w:rPr>
              <w:t>Sarwar et al. (2021)</w:t>
            </w:r>
          </w:p>
        </w:tc>
        <w:tc>
          <w:tcPr>
            <w:tcW w:w="1750" w:type="dxa"/>
          </w:tcPr>
          <w:p w14:paraId="590A7EEA">
            <w:pPr>
              <w:jc w:val="left"/>
            </w:pPr>
            <w:r>
              <w:rPr>
                <w:rFonts w:ascii="Arial" w:hAnsi="Arial" w:eastAsia="Arial" w:cs="Arial"/>
                <w:b w:val="0"/>
                <w:i w:val="0"/>
                <w:color w:val="000000"/>
                <w:sz w:val="18"/>
              </w:rPr>
              <w:t>High-density aerial sheep</w:t>
            </w:r>
          </w:p>
        </w:tc>
        <w:tc>
          <w:tcPr>
            <w:tcW w:w="1450" w:type="dxa"/>
          </w:tcPr>
          <w:p w14:paraId="255B2513">
            <w:pPr>
              <w:jc w:val="left"/>
            </w:pPr>
            <w:r>
              <w:rPr>
                <w:rFonts w:ascii="Arial" w:hAnsi="Arial" w:eastAsia="Arial" w:cs="Arial"/>
                <w:b w:val="0"/>
                <w:i w:val="0"/>
                <w:color w:val="000000"/>
                <w:sz w:val="18"/>
              </w:rPr>
              <w:t>Sheep</w:t>
            </w:r>
          </w:p>
        </w:tc>
        <w:tc>
          <w:tcPr>
            <w:tcW w:w="1700" w:type="dxa"/>
          </w:tcPr>
          <w:p w14:paraId="76EE2053">
            <w:pPr>
              <w:jc w:val="left"/>
            </w:pPr>
            <w:r>
              <w:rPr>
                <w:rFonts w:ascii="Arial" w:hAnsi="Arial" w:eastAsia="Arial" w:cs="Arial"/>
                <w:b w:val="0"/>
                <w:i w:val="0"/>
                <w:color w:val="000000"/>
                <w:sz w:val="18"/>
              </w:rPr>
              <w:t>Density-aware deep network</w:t>
            </w:r>
          </w:p>
        </w:tc>
        <w:tc>
          <w:tcPr>
            <w:tcW w:w="1750" w:type="dxa"/>
          </w:tcPr>
          <w:p w14:paraId="5E5B5A4D">
            <w:pPr>
              <w:jc w:val="left"/>
            </w:pPr>
            <w:r>
              <w:rPr>
                <w:rFonts w:ascii="Arial" w:hAnsi="Arial" w:eastAsia="Arial" w:cs="Arial"/>
                <w:b w:val="0"/>
                <w:i w:val="0"/>
                <w:color w:val="000000"/>
                <w:sz w:val="18"/>
              </w:rPr>
              <w:t>Counting MAE in dense flocks: dominant error source</w:t>
            </w:r>
          </w:p>
        </w:tc>
        <w:tc>
          <w:tcPr>
            <w:tcW w:w="1100" w:type="dxa"/>
          </w:tcPr>
          <w:p w14:paraId="2EC71601">
            <w:pPr>
              <w:jc w:val="left"/>
            </w:pPr>
            <w:r>
              <w:rPr>
                <w:rFonts w:ascii="Arial" w:hAnsi="Arial" w:eastAsia="Arial" w:cs="Arial"/>
                <w:b w:val="0"/>
                <w:i w:val="0"/>
                <w:color w:val="000000"/>
                <w:sz w:val="18"/>
              </w:rPr>
              <w:t>UAV</w:t>
            </w:r>
          </w:p>
        </w:tc>
      </w:tr>
      <w:tr w14:paraId="0FFC381D">
        <w:trPr>
          <w:jc w:val="center"/>
        </w:trPr>
        <w:tc>
          <w:tcPr>
            <w:tcW w:w="1450" w:type="dxa"/>
          </w:tcPr>
          <w:p w14:paraId="504C6483">
            <w:pPr>
              <w:jc w:val="left"/>
            </w:pPr>
            <w:r>
              <w:rPr>
                <w:rFonts w:ascii="Arial" w:hAnsi="Arial" w:eastAsia="Arial" w:cs="Arial"/>
                <w:b w:val="0"/>
                <w:i w:val="0"/>
                <w:color w:val="000000"/>
                <w:sz w:val="18"/>
              </w:rPr>
              <w:t>Wang, Shao and Yue (2019)</w:t>
            </w:r>
          </w:p>
        </w:tc>
        <w:tc>
          <w:tcPr>
            <w:tcW w:w="1750" w:type="dxa"/>
          </w:tcPr>
          <w:p w14:paraId="72CD9F77">
            <w:pPr>
              <w:jc w:val="left"/>
            </w:pPr>
            <w:r>
              <w:rPr>
                <w:rFonts w:ascii="Arial" w:hAnsi="Arial" w:eastAsia="Arial" w:cs="Arial"/>
                <w:b w:val="0"/>
                <w:i w:val="0"/>
                <w:color w:val="000000"/>
                <w:sz w:val="18"/>
              </w:rPr>
              <w:t>Review of UAV/UAS wildlife studies</w:t>
            </w:r>
          </w:p>
        </w:tc>
        <w:tc>
          <w:tcPr>
            <w:tcW w:w="1450" w:type="dxa"/>
          </w:tcPr>
          <w:p w14:paraId="17E561E1">
            <w:pPr>
              <w:jc w:val="left"/>
            </w:pPr>
            <w:r>
              <w:rPr>
                <w:rFonts w:ascii="Arial" w:hAnsi="Arial" w:eastAsia="Arial" w:cs="Arial"/>
                <w:b w:val="0"/>
                <w:i w:val="0"/>
                <w:color w:val="000000"/>
                <w:sz w:val="18"/>
              </w:rPr>
              <w:t>Mixed wildlife and livestock</w:t>
            </w:r>
          </w:p>
        </w:tc>
        <w:tc>
          <w:tcPr>
            <w:tcW w:w="1700" w:type="dxa"/>
          </w:tcPr>
          <w:p w14:paraId="305CF5A5">
            <w:pPr>
              <w:jc w:val="left"/>
            </w:pPr>
            <w:r>
              <w:rPr>
                <w:rFonts w:ascii="Arial" w:hAnsi="Arial" w:eastAsia="Arial" w:cs="Arial"/>
                <w:b w:val="0"/>
                <w:i w:val="0"/>
                <w:color w:val="000000"/>
                <w:sz w:val="18"/>
              </w:rPr>
              <w:t>Review (multiple)</w:t>
            </w:r>
          </w:p>
        </w:tc>
        <w:tc>
          <w:tcPr>
            <w:tcW w:w="1750" w:type="dxa"/>
          </w:tcPr>
          <w:p w14:paraId="27E3172E">
            <w:pPr>
              <w:jc w:val="left"/>
            </w:pPr>
            <w:r>
              <w:rPr>
                <w:rFonts w:ascii="Arial" w:hAnsi="Arial" w:eastAsia="Arial" w:cs="Arial"/>
                <w:b w:val="0"/>
                <w:i w:val="0"/>
                <w:color w:val="000000"/>
                <w:sz w:val="18"/>
              </w:rPr>
              <w:t>Not reported (review article)</w:t>
            </w:r>
          </w:p>
        </w:tc>
        <w:tc>
          <w:tcPr>
            <w:tcW w:w="1100" w:type="dxa"/>
          </w:tcPr>
          <w:p w14:paraId="3A5E8D9C">
            <w:pPr>
              <w:jc w:val="left"/>
            </w:pPr>
            <w:r>
              <w:rPr>
                <w:rFonts w:ascii="Arial" w:hAnsi="Arial" w:eastAsia="Arial" w:cs="Arial"/>
                <w:b w:val="0"/>
                <w:i w:val="0"/>
                <w:color w:val="000000"/>
                <w:sz w:val="18"/>
              </w:rPr>
              <w:t>UAV / aircraft / satellite</w:t>
            </w:r>
          </w:p>
        </w:tc>
      </w:tr>
      <w:tr w14:paraId="51C86B0F">
        <w:trPr>
          <w:jc w:val="center"/>
        </w:trPr>
        <w:tc>
          <w:tcPr>
            <w:tcW w:w="1450" w:type="dxa"/>
          </w:tcPr>
          <w:p w14:paraId="0926B7A2">
            <w:pPr>
              <w:jc w:val="left"/>
            </w:pPr>
            <w:r>
              <w:rPr>
                <w:rFonts w:ascii="Arial" w:hAnsi="Arial" w:eastAsia="Arial" w:cs="Arial"/>
                <w:b w:val="0"/>
                <w:i w:val="0"/>
                <w:color w:val="000000"/>
                <w:sz w:val="18"/>
              </w:rPr>
              <w:t>Andrew et al. (2017)</w:t>
            </w:r>
          </w:p>
        </w:tc>
        <w:tc>
          <w:tcPr>
            <w:tcW w:w="1750" w:type="dxa"/>
          </w:tcPr>
          <w:p w14:paraId="3BF09AE2">
            <w:pPr>
              <w:jc w:val="left"/>
            </w:pPr>
            <w:r>
              <w:rPr>
                <w:rFonts w:ascii="Arial" w:hAnsi="Arial" w:eastAsia="Arial" w:cs="Arial"/>
                <w:b w:val="0"/>
                <w:i w:val="0"/>
                <w:color w:val="000000"/>
                <w:sz w:val="18"/>
              </w:rPr>
              <w:t>Holstein Friesian cattle (authors')</w:t>
            </w:r>
          </w:p>
        </w:tc>
        <w:tc>
          <w:tcPr>
            <w:tcW w:w="1450" w:type="dxa"/>
          </w:tcPr>
          <w:p w14:paraId="065BC1D4">
            <w:pPr>
              <w:jc w:val="left"/>
            </w:pPr>
            <w:r>
              <w:rPr>
                <w:rFonts w:ascii="Arial" w:hAnsi="Arial" w:eastAsia="Arial" w:cs="Arial"/>
                <w:b w:val="0"/>
                <w:i w:val="0"/>
                <w:color w:val="000000"/>
                <w:sz w:val="18"/>
              </w:rPr>
              <w:t>Cattle (individual ID)</w:t>
            </w:r>
          </w:p>
        </w:tc>
        <w:tc>
          <w:tcPr>
            <w:tcW w:w="1700" w:type="dxa"/>
          </w:tcPr>
          <w:p w14:paraId="5D76371C">
            <w:pPr>
              <w:jc w:val="left"/>
            </w:pPr>
            <w:r>
              <w:rPr>
                <w:rFonts w:ascii="Arial" w:hAnsi="Arial" w:eastAsia="Arial" w:cs="Arial"/>
                <w:b w:val="0"/>
                <w:i w:val="0"/>
                <w:color w:val="000000"/>
                <w:sz w:val="18"/>
              </w:rPr>
              <w:t>CNN re-identification</w:t>
            </w:r>
          </w:p>
        </w:tc>
        <w:tc>
          <w:tcPr>
            <w:tcW w:w="1750" w:type="dxa"/>
          </w:tcPr>
          <w:p w14:paraId="5BDE9431">
            <w:pPr>
              <w:jc w:val="left"/>
            </w:pPr>
            <w:r>
              <w:rPr>
                <w:rFonts w:ascii="Arial" w:hAnsi="Arial" w:eastAsia="Arial" w:cs="Arial"/>
                <w:b w:val="0"/>
                <w:i w:val="0"/>
                <w:color w:val="000000"/>
                <w:sz w:val="18"/>
              </w:rPr>
              <w:t>Identification accuracy reported, not mAP</w:t>
            </w:r>
          </w:p>
        </w:tc>
        <w:tc>
          <w:tcPr>
            <w:tcW w:w="1100" w:type="dxa"/>
          </w:tcPr>
          <w:p w14:paraId="24C5BB5B">
            <w:pPr>
              <w:jc w:val="left"/>
            </w:pPr>
            <w:r>
              <w:rPr>
                <w:rFonts w:ascii="Arial" w:hAnsi="Arial" w:eastAsia="Arial" w:cs="Arial"/>
                <w:b w:val="0"/>
                <w:i w:val="0"/>
                <w:color w:val="000000"/>
                <w:sz w:val="18"/>
              </w:rPr>
              <w:t>Ground-level</w:t>
            </w:r>
          </w:p>
        </w:tc>
      </w:tr>
      <w:tr w14:paraId="7E3F543B">
        <w:trPr>
          <w:jc w:val="center"/>
        </w:trPr>
        <w:tc>
          <w:tcPr>
            <w:tcW w:w="1450" w:type="dxa"/>
          </w:tcPr>
          <w:p w14:paraId="2F8B0A56">
            <w:pPr>
              <w:jc w:val="left"/>
            </w:pPr>
            <w:r>
              <w:rPr>
                <w:rFonts w:ascii="Arial" w:hAnsi="Arial" w:eastAsia="Arial" w:cs="Arial"/>
                <w:b w:val="0"/>
                <w:i w:val="0"/>
                <w:color w:val="000000"/>
                <w:sz w:val="18"/>
              </w:rPr>
              <w:t>Xu et al. (2020)</w:t>
            </w:r>
          </w:p>
        </w:tc>
        <w:tc>
          <w:tcPr>
            <w:tcW w:w="1750" w:type="dxa"/>
          </w:tcPr>
          <w:p w14:paraId="32B5917A">
            <w:pPr>
              <w:jc w:val="left"/>
            </w:pPr>
            <w:r>
              <w:rPr>
                <w:rFonts w:ascii="Arial" w:hAnsi="Arial" w:eastAsia="Arial" w:cs="Arial"/>
                <w:b w:val="0"/>
                <w:i w:val="0"/>
                <w:color w:val="000000"/>
                <w:sz w:val="18"/>
              </w:rPr>
              <w:t>Quadcopter aerial livestock</w:t>
            </w:r>
          </w:p>
        </w:tc>
        <w:tc>
          <w:tcPr>
            <w:tcW w:w="1450" w:type="dxa"/>
          </w:tcPr>
          <w:p w14:paraId="1F93F875">
            <w:pPr>
              <w:jc w:val="left"/>
            </w:pPr>
            <w:r>
              <w:rPr>
                <w:rFonts w:ascii="Arial" w:hAnsi="Arial" w:eastAsia="Arial" w:cs="Arial"/>
                <w:b w:val="0"/>
                <w:i w:val="0"/>
                <w:color w:val="000000"/>
                <w:sz w:val="18"/>
              </w:rPr>
              <w:t>Cattle and sheep</w:t>
            </w:r>
          </w:p>
        </w:tc>
        <w:tc>
          <w:tcPr>
            <w:tcW w:w="1700" w:type="dxa"/>
          </w:tcPr>
          <w:p w14:paraId="7B70610A">
            <w:pPr>
              <w:jc w:val="left"/>
            </w:pPr>
            <w:r>
              <w:rPr>
                <w:rFonts w:ascii="Arial" w:hAnsi="Arial" w:eastAsia="Arial" w:cs="Arial"/>
                <w:b w:val="0"/>
                <w:i w:val="0"/>
                <w:color w:val="000000"/>
                <w:sz w:val="18"/>
              </w:rPr>
              <w:t>Mask R-CNN</w:t>
            </w:r>
          </w:p>
        </w:tc>
        <w:tc>
          <w:tcPr>
            <w:tcW w:w="1750" w:type="dxa"/>
          </w:tcPr>
          <w:p w14:paraId="0BC856B7">
            <w:pPr>
              <w:jc w:val="left"/>
            </w:pPr>
            <w:r>
              <w:rPr>
                <w:rFonts w:ascii="Arial" w:hAnsi="Arial" w:eastAsia="Arial" w:cs="Arial"/>
                <w:b w:val="0"/>
                <w:i w:val="0"/>
                <w:color w:val="000000"/>
                <w:sz w:val="18"/>
              </w:rPr>
              <w:t>Detection and counting metrics reported per class</w:t>
            </w:r>
          </w:p>
        </w:tc>
        <w:tc>
          <w:tcPr>
            <w:tcW w:w="1100" w:type="dxa"/>
          </w:tcPr>
          <w:p w14:paraId="29C6917E">
            <w:pPr>
              <w:jc w:val="left"/>
            </w:pPr>
            <w:r>
              <w:rPr>
                <w:rFonts w:ascii="Arial" w:hAnsi="Arial" w:eastAsia="Arial" w:cs="Arial"/>
                <w:b w:val="0"/>
                <w:i w:val="0"/>
                <w:color w:val="000000"/>
                <w:sz w:val="18"/>
              </w:rPr>
              <w:t>UAV</w:t>
            </w:r>
          </w:p>
        </w:tc>
      </w:tr>
      <w:tr w14:paraId="0A5C3123">
        <w:trPr>
          <w:jc w:val="center"/>
        </w:trPr>
        <w:tc>
          <w:tcPr>
            <w:tcW w:w="1450" w:type="dxa"/>
          </w:tcPr>
          <w:p w14:paraId="135A4B32">
            <w:pPr>
              <w:jc w:val="left"/>
            </w:pPr>
            <w:r>
              <w:rPr>
                <w:rFonts w:ascii="Arial" w:hAnsi="Arial" w:eastAsia="Arial" w:cs="Arial"/>
                <w:b w:val="0"/>
                <w:i w:val="0"/>
                <w:color w:val="000000"/>
                <w:sz w:val="18"/>
              </w:rPr>
              <w:t>Tian et al. (2019)</w:t>
            </w:r>
          </w:p>
        </w:tc>
        <w:tc>
          <w:tcPr>
            <w:tcW w:w="1750" w:type="dxa"/>
          </w:tcPr>
          <w:p w14:paraId="53457140">
            <w:pPr>
              <w:jc w:val="left"/>
            </w:pPr>
            <w:r>
              <w:rPr>
                <w:rFonts w:ascii="Arial" w:hAnsi="Arial" w:eastAsia="Arial" w:cs="Arial"/>
                <w:b w:val="0"/>
                <w:i w:val="0"/>
                <w:color w:val="000000"/>
                <w:sz w:val="18"/>
              </w:rPr>
              <w:t>Apple orchard imagery (authors')</w:t>
            </w:r>
          </w:p>
        </w:tc>
        <w:tc>
          <w:tcPr>
            <w:tcW w:w="1450" w:type="dxa"/>
          </w:tcPr>
          <w:p w14:paraId="2545DB9D">
            <w:pPr>
              <w:jc w:val="left"/>
            </w:pPr>
            <w:r>
              <w:rPr>
                <w:rFonts w:ascii="Arial" w:hAnsi="Arial" w:eastAsia="Arial" w:cs="Arial"/>
                <w:b w:val="0"/>
                <w:i w:val="0"/>
                <w:color w:val="000000"/>
                <w:sz w:val="18"/>
              </w:rPr>
              <w:t>Apples (fruit, non-livestock CV reference)</w:t>
            </w:r>
          </w:p>
        </w:tc>
        <w:tc>
          <w:tcPr>
            <w:tcW w:w="1700" w:type="dxa"/>
          </w:tcPr>
          <w:p w14:paraId="39369F9F">
            <w:pPr>
              <w:jc w:val="left"/>
            </w:pPr>
            <w:r>
              <w:rPr>
                <w:rFonts w:ascii="Arial" w:hAnsi="Arial" w:eastAsia="Arial" w:cs="Arial"/>
                <w:b w:val="0"/>
                <w:i w:val="0"/>
                <w:color w:val="000000"/>
                <w:sz w:val="18"/>
              </w:rPr>
              <w:t>Improved YOLO-V3</w:t>
            </w:r>
          </w:p>
        </w:tc>
        <w:tc>
          <w:tcPr>
            <w:tcW w:w="1750" w:type="dxa"/>
          </w:tcPr>
          <w:p w14:paraId="70D21E2F">
            <w:pPr>
              <w:jc w:val="left"/>
            </w:pPr>
            <w:r>
              <w:rPr>
                <w:rFonts w:ascii="Arial" w:hAnsi="Arial" w:eastAsia="Arial" w:cs="Arial"/>
                <w:b w:val="0"/>
                <w:i w:val="0"/>
                <w:color w:val="000000"/>
                <w:sz w:val="18"/>
              </w:rPr>
              <w:t>Detection mAP reported on apple growth stages</w:t>
            </w:r>
          </w:p>
        </w:tc>
        <w:tc>
          <w:tcPr>
            <w:tcW w:w="1100" w:type="dxa"/>
          </w:tcPr>
          <w:p w14:paraId="2682015C">
            <w:pPr>
              <w:jc w:val="left"/>
            </w:pPr>
            <w:r>
              <w:rPr>
                <w:rFonts w:ascii="Arial" w:hAnsi="Arial" w:eastAsia="Arial" w:cs="Arial"/>
                <w:b w:val="0"/>
                <w:i w:val="0"/>
                <w:color w:val="000000"/>
                <w:sz w:val="18"/>
              </w:rPr>
              <w:t>Ground / orchard</w:t>
            </w:r>
          </w:p>
        </w:tc>
      </w:tr>
      <w:tr w14:paraId="438382FC">
        <w:trPr>
          <w:jc w:val="center"/>
        </w:trPr>
        <w:tc>
          <w:tcPr>
            <w:tcW w:w="1450" w:type="dxa"/>
          </w:tcPr>
          <w:p w14:paraId="62A57ACC">
            <w:pPr>
              <w:jc w:val="left"/>
            </w:pPr>
            <w:r>
              <w:rPr>
                <w:rFonts w:ascii="Arial" w:hAnsi="Arial" w:eastAsia="Arial" w:cs="Arial"/>
                <w:b w:val="0"/>
                <w:i w:val="0"/>
                <w:color w:val="000000"/>
                <w:sz w:val="18"/>
              </w:rPr>
              <w:t>Sadgrove et al. (2018)</w:t>
            </w:r>
          </w:p>
        </w:tc>
        <w:tc>
          <w:tcPr>
            <w:tcW w:w="1750" w:type="dxa"/>
          </w:tcPr>
          <w:p w14:paraId="65666ADC">
            <w:pPr>
              <w:jc w:val="left"/>
            </w:pPr>
            <w:r>
              <w:rPr>
                <w:rFonts w:ascii="Arial" w:hAnsi="Arial" w:eastAsia="Arial" w:cs="Arial"/>
                <w:b w:val="0"/>
                <w:i w:val="0"/>
                <w:color w:val="000000"/>
                <w:sz w:val="18"/>
              </w:rPr>
              <w:t>Agricultural / remote environments</w:t>
            </w:r>
          </w:p>
        </w:tc>
        <w:tc>
          <w:tcPr>
            <w:tcW w:w="1450" w:type="dxa"/>
          </w:tcPr>
          <w:p w14:paraId="6AC87B31">
            <w:pPr>
              <w:jc w:val="left"/>
            </w:pPr>
            <w:r>
              <w:rPr>
                <w:rFonts w:ascii="Arial" w:hAnsi="Arial" w:eastAsia="Arial" w:cs="Arial"/>
                <w:b w:val="0"/>
                <w:i w:val="0"/>
                <w:color w:val="000000"/>
                <w:sz w:val="18"/>
              </w:rPr>
              <w:t>Mixed agricultural objects</w:t>
            </w:r>
          </w:p>
        </w:tc>
        <w:tc>
          <w:tcPr>
            <w:tcW w:w="1700" w:type="dxa"/>
          </w:tcPr>
          <w:p w14:paraId="17E4EC58">
            <w:pPr>
              <w:jc w:val="left"/>
            </w:pPr>
            <w:r>
              <w:rPr>
                <w:rFonts w:ascii="Arial" w:hAnsi="Arial" w:eastAsia="Arial" w:cs="Arial"/>
                <w:b w:val="0"/>
                <w:i w:val="0"/>
                <w:color w:val="000000"/>
                <w:sz w:val="18"/>
              </w:rPr>
              <w:t>MEC-ELM real-time detector</w:t>
            </w:r>
          </w:p>
        </w:tc>
        <w:tc>
          <w:tcPr>
            <w:tcW w:w="1750" w:type="dxa"/>
          </w:tcPr>
          <w:p w14:paraId="075176DF">
            <w:pPr>
              <w:jc w:val="left"/>
            </w:pPr>
            <w:r>
              <w:rPr>
                <w:rFonts w:ascii="Arial" w:hAnsi="Arial" w:eastAsia="Arial" w:cs="Arial"/>
                <w:b w:val="0"/>
                <w:i w:val="0"/>
                <w:color w:val="000000"/>
                <w:sz w:val="18"/>
              </w:rPr>
              <w:t>Real-time detection accuracy reported</w:t>
            </w:r>
          </w:p>
        </w:tc>
        <w:tc>
          <w:tcPr>
            <w:tcW w:w="1100" w:type="dxa"/>
          </w:tcPr>
          <w:p w14:paraId="55A03B6C">
            <w:pPr>
              <w:jc w:val="left"/>
            </w:pPr>
            <w:r>
              <w:rPr>
                <w:rFonts w:ascii="Arial" w:hAnsi="Arial" w:eastAsia="Arial" w:cs="Arial"/>
                <w:b w:val="0"/>
                <w:i w:val="0"/>
                <w:color w:val="000000"/>
                <w:sz w:val="18"/>
              </w:rPr>
              <w:t>Ground / fixed camera</w:t>
            </w:r>
          </w:p>
        </w:tc>
      </w:tr>
      <w:tr w14:paraId="40AF0228">
        <w:trPr>
          <w:jc w:val="center"/>
        </w:trPr>
        <w:tc>
          <w:tcPr>
            <w:tcW w:w="1450" w:type="dxa"/>
          </w:tcPr>
          <w:p w14:paraId="5564F8C4">
            <w:pPr>
              <w:jc w:val="left"/>
            </w:pPr>
            <w:r>
              <w:rPr>
                <w:rFonts w:ascii="Arial" w:hAnsi="Arial" w:eastAsia="Arial" w:cs="Arial"/>
                <w:b w:val="0"/>
                <w:i w:val="0"/>
                <w:color w:val="000000"/>
                <w:sz w:val="18"/>
              </w:rPr>
              <w:t>Norouzzadeh et al. (2018)</w:t>
            </w:r>
          </w:p>
        </w:tc>
        <w:tc>
          <w:tcPr>
            <w:tcW w:w="1750" w:type="dxa"/>
          </w:tcPr>
          <w:p w14:paraId="7FA76706">
            <w:pPr>
              <w:jc w:val="left"/>
            </w:pPr>
            <w:r>
              <w:rPr>
                <w:rFonts w:ascii="Arial" w:hAnsi="Arial" w:eastAsia="Arial" w:cs="Arial"/>
                <w:b w:val="0"/>
                <w:i w:val="0"/>
                <w:color w:val="000000"/>
                <w:sz w:val="18"/>
              </w:rPr>
              <w:t>Snapshot Serengeti camera traps</w:t>
            </w:r>
          </w:p>
        </w:tc>
        <w:tc>
          <w:tcPr>
            <w:tcW w:w="1450" w:type="dxa"/>
          </w:tcPr>
          <w:p w14:paraId="3C32C468">
            <w:pPr>
              <w:jc w:val="left"/>
            </w:pPr>
            <w:r>
              <w:rPr>
                <w:rFonts w:ascii="Arial" w:hAnsi="Arial" w:eastAsia="Arial" w:cs="Arial"/>
                <w:b w:val="0"/>
                <w:i w:val="0"/>
                <w:color w:val="000000"/>
                <w:sz w:val="18"/>
              </w:rPr>
              <w:t>Wildlife (multi-species)</w:t>
            </w:r>
          </w:p>
        </w:tc>
        <w:tc>
          <w:tcPr>
            <w:tcW w:w="1700" w:type="dxa"/>
          </w:tcPr>
          <w:p w14:paraId="222874F7">
            <w:pPr>
              <w:jc w:val="left"/>
            </w:pPr>
            <w:r>
              <w:rPr>
                <w:rFonts w:ascii="Arial" w:hAnsi="Arial" w:eastAsia="Arial" w:cs="Arial"/>
                <w:b w:val="0"/>
                <w:i w:val="0"/>
                <w:color w:val="000000"/>
                <w:sz w:val="18"/>
              </w:rPr>
              <w:t>Deep CNN ensemble</w:t>
            </w:r>
          </w:p>
        </w:tc>
        <w:tc>
          <w:tcPr>
            <w:tcW w:w="1750" w:type="dxa"/>
          </w:tcPr>
          <w:p w14:paraId="3FE3FC8D">
            <w:pPr>
              <w:jc w:val="left"/>
            </w:pPr>
            <w:r>
              <w:rPr>
                <w:rFonts w:ascii="Arial" w:hAnsi="Arial" w:eastAsia="Arial" w:cs="Arial"/>
                <w:b w:val="0"/>
                <w:i w:val="0"/>
                <w:color w:val="000000"/>
                <w:sz w:val="18"/>
              </w:rPr>
              <w:t>Classification accuracy on camera-trap images</w:t>
            </w:r>
          </w:p>
        </w:tc>
        <w:tc>
          <w:tcPr>
            <w:tcW w:w="1100" w:type="dxa"/>
          </w:tcPr>
          <w:p w14:paraId="0282DDAA">
            <w:pPr>
              <w:jc w:val="left"/>
            </w:pPr>
            <w:r>
              <w:rPr>
                <w:rFonts w:ascii="Arial" w:hAnsi="Arial" w:eastAsia="Arial" w:cs="Arial"/>
                <w:b w:val="0"/>
                <w:i w:val="0"/>
                <w:color w:val="000000"/>
                <w:sz w:val="18"/>
              </w:rPr>
              <w:t>Fixed camera trap</w:t>
            </w:r>
          </w:p>
        </w:tc>
      </w:tr>
      <w:tr w14:paraId="035B43C7">
        <w:trPr>
          <w:jc w:val="center"/>
        </w:trPr>
        <w:tc>
          <w:tcPr>
            <w:tcW w:w="1450" w:type="dxa"/>
          </w:tcPr>
          <w:p w14:paraId="2D3183EA">
            <w:pPr>
              <w:jc w:val="left"/>
            </w:pPr>
            <w:r>
              <w:rPr>
                <w:rFonts w:ascii="Arial" w:hAnsi="Arial" w:eastAsia="Arial" w:cs="Arial"/>
                <w:b w:val="0"/>
                <w:i w:val="0"/>
                <w:color w:val="000000"/>
                <w:sz w:val="18"/>
              </w:rPr>
              <w:t>This work (2026)</w:t>
            </w:r>
          </w:p>
        </w:tc>
        <w:tc>
          <w:tcPr>
            <w:tcW w:w="1750" w:type="dxa"/>
          </w:tcPr>
          <w:p w14:paraId="7771D8FA">
            <w:pPr>
              <w:jc w:val="left"/>
            </w:pPr>
            <w:r>
              <w:rPr>
                <w:rFonts w:ascii="Arial" w:hAnsi="Arial" w:eastAsia="Arial" w:cs="Arial"/>
                <w:b w:val="0"/>
                <w:i w:val="0"/>
                <w:color w:val="000000"/>
                <w:sz w:val="18"/>
              </w:rPr>
              <w:t>WAID + COCO cattle/sheep subset</w:t>
            </w:r>
          </w:p>
        </w:tc>
        <w:tc>
          <w:tcPr>
            <w:tcW w:w="1450" w:type="dxa"/>
          </w:tcPr>
          <w:p w14:paraId="437C8865">
            <w:pPr>
              <w:jc w:val="left"/>
            </w:pPr>
            <w:r>
              <w:rPr>
                <w:rFonts w:ascii="Arial" w:hAnsi="Arial" w:eastAsia="Arial" w:cs="Arial"/>
                <w:b w:val="0"/>
                <w:i w:val="0"/>
                <w:color w:val="000000"/>
                <w:sz w:val="18"/>
              </w:rPr>
              <w:t>Cattle and sheep</w:t>
            </w:r>
          </w:p>
        </w:tc>
        <w:tc>
          <w:tcPr>
            <w:tcW w:w="1700" w:type="dxa"/>
          </w:tcPr>
          <w:p w14:paraId="7D1797D8">
            <w:pPr>
              <w:jc w:val="left"/>
            </w:pPr>
            <w:r>
              <w:rPr>
                <w:rFonts w:ascii="Arial" w:hAnsi="Arial" w:eastAsia="Arial" w:cs="Arial"/>
                <w:b w:val="0"/>
                <w:i w:val="0"/>
                <w:color w:val="000000"/>
                <w:sz w:val="18"/>
              </w:rPr>
              <w:t>Custom CNN, VGG16, ResNet50, MobileNetV2, YOLOv8n</w:t>
            </w:r>
          </w:p>
        </w:tc>
        <w:tc>
          <w:tcPr>
            <w:tcW w:w="1750" w:type="dxa"/>
          </w:tcPr>
          <w:p w14:paraId="24A1F879">
            <w:pPr>
              <w:jc w:val="left"/>
            </w:pPr>
            <w:r>
              <w:rPr>
                <w:rFonts w:ascii="Arial" w:hAnsi="Arial" w:eastAsia="Arial" w:cs="Arial"/>
                <w:b w:val="0"/>
                <w:i w:val="0"/>
                <w:color w:val="000000"/>
                <w:sz w:val="18"/>
              </w:rPr>
              <w:t>VGG16 test acc 0.9648; YOLOv8n mAP@50 0.9665, mAP@50-95 0.7322; counting MAE varies 5.5x by occlusion</w:t>
            </w:r>
          </w:p>
        </w:tc>
        <w:tc>
          <w:tcPr>
            <w:tcW w:w="1100" w:type="dxa"/>
          </w:tcPr>
          <w:p w14:paraId="45B2FB45">
            <w:pPr>
              <w:jc w:val="left"/>
            </w:pPr>
            <w:r>
              <w:rPr>
                <w:rFonts w:ascii="Arial" w:hAnsi="Arial" w:eastAsia="Arial" w:cs="Arial"/>
                <w:b w:val="0"/>
                <w:i w:val="0"/>
                <w:color w:val="000000"/>
                <w:sz w:val="18"/>
              </w:rPr>
              <w:t>UAV + ground-level</w:t>
            </w:r>
          </w:p>
        </w:tc>
      </w:tr>
    </w:tbl>
    <w:p w14:paraId="0BD3EE27">
      <w:pPr>
        <w:spacing w:before="0" w:after="120" w:line="360" w:lineRule="auto"/>
        <w:jc w:val="both"/>
      </w:pPr>
      <w:r>
        <w:t>Two patterns are visible across the table. First, most prior livestock detection work targets a single species and a single viewpoint: Sarwar et al. (2018, 2021) on aerial sheep, Andrew et al. (2017) on ground-level cattle re-identification, Xu et al. (2020) on quadcopter livestock imagery. The present work covers two species and two viewpoints (UAV and ground-level) on the same task, which makes the absolute numbers harder to compare but the conclusions more representative of mixed-herd field conditions. Second, the magnitude of the occlusion penalty observed here (a 5.5x rise in counting MAE between low and high occlusion) is consistent with the dense-flock difficulty reported qualitatively by Sarwar et al. (2021), who noted that high-density sheep aggregations are the dominant source of counting error in their setting. The agreement on the direction and rough scale of the effect, despite the dataset differences, suggests that occlusion is a structural property of UAV livestock counting rather than a dataset-specific artefact.</w:t>
      </w:r>
    </w:p>
    <w:p w14:paraId="29635790">
      <w:pPr>
        <w:spacing w:before="0" w:after="120" w:line="360" w:lineRule="auto"/>
        <w:jc w:val="both"/>
      </w:pPr>
      <w:r>
        <w:t>A broader observation is that no shared benchmark exists for multi-species livestock UAV detection in the way that COCO exists for general object detection or ImageNet for classification. Each study reports on its own dataset, with its own class taxonomy and split protocol. This limits cumulative progress in the subfield and motivates the explicit per-subgroup reporting adopted in §4.7, which at least makes the failure modes of the present work directly comparable to any future study that adopts the same subgroup convention.</w:t>
      </w:r>
    </w:p>
    <w:p w14:paraId="0EC6221A">
      <w:pPr>
        <w:pStyle w:val="3"/>
      </w:pPr>
      <w:r>
        <w:t>5.8 Evaluation against research questions</w:t>
      </w:r>
    </w:p>
    <w:p w14:paraId="574D622B">
      <w:r>
        <w:t>This section consolidates the evaluation of the work against the research questions and hypotheses defined in §1.4. Evidence from the experimental chapters is mapped to each research question, and a final verdict is recorded.</w:t>
      </w:r>
    </w:p>
    <w:p w14:paraId="54AA6C3F">
      <w:r>
        <w:t>RQ1 (whether a custom CNN can reliably differentiate cattle from sheep on cropped UAV imagery) is supported by the test-set classification metrics in Table 6 and the per-class confusion matrices in Figure 8. Both granularities defined in §3.2 are addressed: per-instance discriminability is evaluated through classification accuracy on cropped instances, and mixed-herd applicability is evaluated through the YOLOv8n detection results in §4.5.</w:t>
      </w:r>
    </w:p>
    <w:p w14:paraId="7CCD020B">
      <w:r>
        <w:t>RQ2 (whether ImageNet-pretrained transfer backbones outperform a from-scratch CNN under feature-extraction-only fine-tuning) is partially supported. As reflected in the McNemar pairwise comparisons in Table 8, no transfer model significantly outperforms the custom CNN at the chosen significance level. The verdict is regime-specific, as discussed in §5.10: a different verdict could plausibly emerge under full fine-tuning.</w:t>
      </w:r>
    </w:p>
    <w:p w14:paraId="12962E9B">
      <w:r>
        <w:t>RQ3 (whether occlusion and lighting variation degrade detection performance, and to what extent) is supported by the per-subgroup analysis in Tables 9-11 and Figures 12-13. The 5.5x MAE penalty for the most occluded subgroup is the strongest single piece of evidence and meets the magnitude threshold informally set in the proposal.</w:t>
      </w:r>
    </w:p>
    <w:p w14:paraId="13FC41EC">
      <w:r>
        <w:t>H1, H2 and H3 are summarised in Table 12 with the same verdicts. Practical feasibility considerations from §5.6 (latency, model size, edge deployment) are not formal hypotheses but are recorded here as an additional evaluation dimension: YOLOv8n is the only model that meets the latency budget for near-real-time UAV inference on commodity hardware.</w:t>
      </w:r>
    </w:p>
    <w:p w14:paraId="540917C9">
      <w:pPr>
        <w:pStyle w:val="3"/>
        <w:keepNext/>
        <w:spacing w:before="240" w:after="120" w:line="276" w:lineRule="auto"/>
        <w:jc w:val="left"/>
      </w:pPr>
      <w:bookmarkStart w:id="121" w:name="_Toc263375833"/>
      <w:r>
        <w:rPr>
          <w:rFonts w:ascii="Arial" w:hAnsi="Arial" w:eastAsia="Arial" w:cs="Arial"/>
          <w:b/>
          <w:i w:val="0"/>
          <w:color w:val="000000"/>
          <w:sz w:val="26"/>
        </w:rPr>
        <w:t>5.9 Limitations</w:t>
      </w:r>
      <w:bookmarkEnd w:id="121"/>
    </w:p>
    <w:p w14:paraId="0AFAA777">
      <w:pPr>
        <w:spacing w:before="0" w:after="120" w:line="360" w:lineRule="auto"/>
        <w:jc w:val="both"/>
      </w:pPr>
      <w:r>
        <w:rPr>
          <w:rFonts w:ascii="Arial" w:hAnsi="Arial" w:eastAsia="Arial" w:cs="Arial"/>
          <w:b w:val="0"/>
          <w:i w:val="0"/>
          <w:color w:val="000000"/>
          <w:sz w:val="22"/>
        </w:rPr>
        <w:t>I trained YOLOv8n rather than the s, m, or l variants. The smaller backbone keeps inference time within the latency budget for UAV use but constrains the upper bound on detection mAP; a larger variant could lift mAP and reduce the high-occlusion MAE, although the relative ranking across subgroups is unlikely to change because the architectural family is the same. I used feature extraction without a fine-tuning phase, so the transfer-learning numbers represent a lower bound rather than the architecture's ceiling. A future run with the last one or two convolutional blocks unfrozen would test whether ResNet50 or MobileNetV2 close the gap to VGG16 once their domain-specific upper layers are allowed to adapt; the H1 verdict, as currently recorded, is therefore conditional on the feature-extraction regime and not a general claim about pretrained backbones. The Optuna budget across all four classifiers totalled 33 trials (15 for the baseline, 6 for each transfer model), which is small by modern AutoML standards. A larger budget of 50 to 100 trials per model would tighten the upper-bound estimate of each architecture's accuracy and might reveal head configurations that the present search did not visit; this affects fairness of the cross-architecture comparison but does not affect the McNemar verdicts on the trained models themselves. Subgroup labels were generated by heuristic on HSV V channel and pairwise IoU rather than human annotation. The heuristic is the most likely source of the U-shape artefact in the lighting subgroup; a curated set of a few hundred manually labelled images would let the lighting effect be re-estimated without the threshold sensitivity. The occlusion conclusion is more robust because the IoU heuristic aligns with the geometric definition of overlap that the metric is sensitive to. Counting inference ran per-image rather than batched, which inflates the wall-clock numbers in §5.6 but does not affect detection or counting metrics. Every model used a single random seed of 42, and I did not run multi-seed averages; bootstrap confidence intervals around the McNemar verdicts would be a routine extension and would replace the current point estimates with intervals, although the very small p-values for VGG16-versus-others suggest the qualitative ranking would survive resampling. Generalisation is also constrained by geography: the training data do not include Irish breeds or Irish terrain, and any operational deployment on Irish farms would require fine-tuning on locally collected imagery before the present accuracy figures could be assumed to transfer. Cross-viewpoint generalisation was not tested either: the evaluation covers UAV imagery and a small ground-level subset, but not fixed CCTV or camera-trap inputs, which have different statistics and different occlusion profiles. The work is also restricted to static images and not video; a tracker over time would let counting errors be averaged across frames and would probably reduce the high-occlusion MAE. The training hardware was a single GPU and Apple MPS backend rather than a distributed cluster, which limits the dataset size that can be processed in a reasonable wall-clock budget but does not affect the correctness of the metrics on the dataset that was processed. One specific data engineering issue is that the subgroup_labels.csv generated during preprocessing wrote original (pre-merge) image filenames rather than merged filenames, so the YOLO subgroup analysis in Notebook 07 recomputes the labels on the fly; the fix is documented in the notebook but the reader should know the canonical CSV is not the source of truth.</w:t>
      </w:r>
    </w:p>
    <w:p w14:paraId="75146D20">
      <w:pPr>
        <w:pStyle w:val="3"/>
        <w:keepNext/>
        <w:spacing w:before="240" w:after="120" w:line="276" w:lineRule="auto"/>
        <w:jc w:val="left"/>
      </w:pPr>
      <w:bookmarkStart w:id="122" w:name="_Toc593828764"/>
      <w:r>
        <w:rPr>
          <w:rFonts w:ascii="Arial" w:hAnsi="Arial" w:eastAsia="Arial" w:cs="Arial"/>
          <w:b/>
          <w:i w:val="0"/>
          <w:color w:val="000000"/>
          <w:sz w:val="26"/>
        </w:rPr>
        <w:t>5.10 Reflection on methodology</w:t>
      </w:r>
      <w:bookmarkEnd w:id="122"/>
    </w:p>
    <w:p w14:paraId="18AC097A">
      <w:pPr>
        <w:spacing w:before="0" w:after="120" w:line="360" w:lineRule="auto"/>
        <w:jc w:val="both"/>
      </w:pPr>
      <w:r>
        <w:rPr>
          <w:rFonts w:ascii="Arial" w:hAnsi="Arial" w:eastAsia="Arial" w:cs="Arial"/>
          <w:b w:val="0"/>
          <w:i w:val="0"/>
          <w:color w:val="000000"/>
          <w:sz w:val="22"/>
        </w:rPr>
        <w:t>If I were starting this project again with the same budget, I would shift the compute allocation in three ways. First, I would spend a fine-tuning pass on each transfer model with the last one or two convolutional blocks unfrozen, even at the cost of fewer Optuna trials, because the H1 result strongly suggests that feature-extraction-only is the wrong evaluation regime to claim that pretrained beats scratch; the expected effect is that ResNet50 and MobileNetV2 recover ground against VGG16 and possibly overtake the custom CNN, which would change the H1 verdict from partial to supported. Second, I would invest in a small pilot of human-validated subgroup labels on a few hundred images, because the heuristic labels worked well enough to expose the occlusion effect but I cannot defend their absolute thresholds against a critic; curated labels would also remove the U-shape artefact in the lighting subgroup. Third, I would extend the Optuna budget to 50 to 100 trials per architecture and run each final configuration with five random seeds, so that the headline accuracies in Table 6 carry bootstrap confidence intervals rather than point estimates while leaving the McNemar pairwise tests untouched. I would also consider running the YOLO counting evaluation with test-time augmentation or soft non-maximum suppression, because the dominant counting error is the dense-herd undercount and there are well-known mitigations for it; a density-estimation hybrid for the high-occlusion subgroup specifically is a further option that the literature suggests would outperform a box-based detector once the per-instance overlap exceeds a certain threshold.</w:t>
      </w:r>
    </w:p>
    <w:p w14:paraId="0C083B11">
      <w:pPr>
        <w:spacing w:before="0" w:after="120" w:line="360" w:lineRule="auto"/>
        <w:jc w:val="both"/>
      </w:pPr>
      <w:r>
        <w:rPr>
          <w:rFonts w:ascii="Arial" w:hAnsi="Arial" w:eastAsia="Arial" w:cs="Arial"/>
          <w:b w:val="0"/>
          <w:i w:val="0"/>
          <w:color w:val="000000"/>
          <w:sz w:val="22"/>
        </w:rPr>
        <w:t>Several methodological lessons carry forward to any subsequent work in this area. The first is the value of stratified subgroup analysis as a check on aggregate metrics: an overall R squared of 0.97 on counting masked a 5.5x error gap between low and high occlusion, and only the per-subgroup table made the gap visible. The second is the practical value of Grad-CAM as a qualitative validation: the saliency maps in §4.3.5 and §4.4.4 confirmed that the classifiers attend to animal silhouettes rather than to background pasture or sky, which reduces the risk that the reported accuracies are driven by shortcut learning on dataset-specific cues. The third is the suitability of McNemar over a paired t-test for comparing classifiers on the same test set, because McNemar uses the discordant-pair counts directly and does not assume Gaussian residuals on accuracy differences. The fourth is the recognition that a feature-extraction-only setting, despite its limitations, is a valid and reproducible contribution in its own right: it isolates the contribution of the frozen backbone from the contribution of the adaptable head, and it lets the comparison turn on architecture rather than on training-budget asymmetries between models.</w:t>
      </w:r>
    </w:p>
    <w:p w14:paraId="4358DE63">
      <w:pPr>
        <w:spacing w:before="0" w:after="120" w:line="360" w:lineRule="auto"/>
        <w:jc w:val="both"/>
      </w:pPr>
      <w:r>
        <w:rPr>
          <w:rFonts w:ascii="Arial" w:hAnsi="Arial" w:eastAsia="Arial" w:cs="Arial"/>
          <w:b w:val="0"/>
          <w:i w:val="0"/>
          <w:color w:val="000000"/>
          <w:sz w:val="22"/>
        </w:rPr>
        <w:t>Two practical observations about the data also carry forward. UAV livestock imagery is structurally heterogeneous in ways that any future model will need to absorb, including variation in flight altitude, sun angle, terrain colour and herd density; the WAID dataset captures a useful slice of this variation but does not exhaust it. Bounding-box quality and the noise in heuristic labels are persistent bottlenecks in real-world agricultural computer vision, and treating them as integral parts of the experimental setup, rather than as nuisance to be discounted, gives a more honest picture of the difficulty of the task.</w:t>
      </w:r>
    </w:p>
    <w:p w14:paraId="52F4D1D0">
      <w:pPr>
        <w:pStyle w:val="2"/>
      </w:pPr>
      <w:r>
        <w:t>6. Ethical and Legal Issues</w:t>
      </w:r>
    </w:p>
    <w:p w14:paraId="0EEE745C">
      <w:pPr>
        <w:pStyle w:val="3"/>
      </w:pPr>
      <w:r>
        <w:t>6.1 Introduction</w:t>
      </w:r>
    </w:p>
    <w:p w14:paraId="47A03B1F">
      <w:r>
        <w:t>The deployment of unmanned aerial vehicles (UAVs) and computer vision for livestock monitoring raises a distinct set of ethical and legal questions that go beyond the standard concerns of computer vision research. This chapter consolidates the ethical and legal considerations relevant to the present work into a single coherent discussion. It is organised around four themes: data protection and privacy, dataset licensing, animal welfare implications, and bias and fairness in model behaviour. The chapter closes with a statement on institutional ethics review.</w:t>
      </w:r>
    </w:p>
    <w:p w14:paraId="79851B82">
      <w:pPr>
        <w:pStyle w:val="3"/>
      </w:pPr>
      <w:r>
        <w:t>6.2 Data protection and privacy</w:t>
      </w:r>
    </w:p>
    <w:p w14:paraId="11B1F346">
      <w:r>
        <w:t>The datasets used in this study (WAID and the relevant subset of COCO) consist of UAV imagery in which the primary subjects are animals rather than identifiable persons. Where individuals do appear incidentally in background frames, the imagery is publicly redistributed by the dataset providers under permissive licences and is not linked to identifying metadata. Under the General Data Protection Regulation (GDPR), in particular Articles 5 and 6, this study processes data only for clearly defined research purposes (Article 5(1)(b)), with data minimisation in mind (Article 5(1)(c)), and on the lawful basis of legitimate interest in academic research (Article 6(1)(f)). No personal data are stored or redistributed by this work.</w:t>
      </w:r>
    </w:p>
    <w:p w14:paraId="0015661F">
      <w:r>
        <w:t>In a hypothetical operational deployment in Ireland, additional regulation would apply. The European Union Regulation 2019/947 governs the use of UAVs in the EU airspace and requires registration of operators and adherence to specific operational categories depending on the risk profile of each flight. Compliance with the Irish Aviation Authority drone rules would be a precondition for any field collection beyond reuse of secondary public datasets.</w:t>
      </w:r>
    </w:p>
    <w:p w14:paraId="4DCC14A9">
      <w:pPr>
        <w:pStyle w:val="3"/>
      </w:pPr>
      <w:r>
        <w:t>6.3 Dataset licensing</w:t>
      </w:r>
    </w:p>
    <w:p w14:paraId="67BD7C94">
      <w:r>
        <w:t>The WAID dataset is distributed under a permissive licence that allows academic and non-commercial reuse with attribution, and the relevant COCO subset is distributed under a similarly permissive Creative Commons licence. Compliance with these terms is documented in Appendix B, including the citation of the dataset providers and the absence of any redistribution of unmodified imagery. No commercial use is made of the data, and no sublicensing is performed.</w:t>
      </w:r>
    </w:p>
    <w:p w14:paraId="6DA4133F">
      <w:pPr>
        <w:pStyle w:val="3"/>
      </w:pPr>
      <w:r>
        <w:t>6.4 Animal welfare implications</w:t>
      </w:r>
    </w:p>
    <w:p w14:paraId="40C44E4C">
      <w:r>
        <w:t>UAV-based livestock monitoring is generally less invasive than handling animals in person, and reducing the frequency of physical handling has documented welfare benefits. However, the downstream uses of automated counting and classification systems are not welfare-neutral. If counting outputs feed directly into culling decisions, subsidy calculations or restocking thresholds, errors in the classifier or detector translate into welfare-relevant consequences. For this reason, this work treats classification and counting performance as both a statistical exercise and a practical signal that should be calibrated and bounded by uncertainty before deployment.</w:t>
      </w:r>
    </w:p>
    <w:p w14:paraId="67EEAC11">
      <w:pPr>
        <w:pStyle w:val="3"/>
      </w:pPr>
      <w:r>
        <w:t>6.5 Bias and fairness</w:t>
      </w:r>
    </w:p>
    <w:p w14:paraId="44E96D5C">
      <w:r>
        <w:t>The training and evaluation data over-represent certain breeds, certain geographies and certain weather conditions. The per-subgroup analysis in §4.7 shows that performance is sensitive to lighting and occlusion. A model that performs well in aggregate but degrades sharply on an under-represented subgroup could systematically disadvantage farmers operating in those conditions, particularly in regions with breed compositions or husbandry practices that diverge from the training data. Honest reporting of subgroup performance, as done in this study, is a minimum mitigation; targeted data collection on under-represented subgroups would be required before any operational use.</w:t>
      </w:r>
    </w:p>
    <w:p w14:paraId="4F7CB2A5">
      <w:pPr>
        <w:pStyle w:val="3"/>
      </w:pPr>
      <w:r>
        <w:t>6.6 Institutional ethics review</w:t>
      </w:r>
    </w:p>
    <w:p w14:paraId="00656CD1">
      <w:r>
        <w:t>This study uses only secondary, publicly available datasets and does not involve the collection of new data from human or animal subjects. Under the policies of CCT College Dublin and the conventions of comparable research institutions, no institutional ethics committee review is therefore required for the present work. If this research were extended to primary data collection from working farms, an ethics review would be sought before any field activity began.</w:t>
      </w:r>
    </w:p>
    <w:p w14:paraId="0A0EA779">
      <w:pPr>
        <w:pStyle w:val="2"/>
        <w:keepNext/>
        <w:pageBreakBefore/>
        <w:spacing w:before="360" w:after="240" w:line="276" w:lineRule="auto"/>
        <w:jc w:val="left"/>
      </w:pPr>
      <w:bookmarkStart w:id="123" w:name="_Toc1123528939"/>
      <w:r>
        <w:rPr>
          <w:rFonts w:ascii="Arial" w:hAnsi="Arial" w:eastAsia="Arial" w:cs="Arial"/>
          <w:b/>
          <w:i w:val="0"/>
          <w:color w:val="000000"/>
          <w:sz w:val="32"/>
        </w:rPr>
        <w:t>7. Conclusion and Recommendations</w:t>
      </w:r>
      <w:bookmarkEnd w:id="123"/>
    </w:p>
    <w:p w14:paraId="372FDEB2">
      <w:pPr>
        <w:pStyle w:val="3"/>
        <w:keepNext/>
        <w:spacing w:before="240" w:after="120" w:line="276" w:lineRule="auto"/>
        <w:jc w:val="left"/>
      </w:pPr>
      <w:bookmarkStart w:id="124" w:name="_Toc327169702"/>
      <w:r>
        <w:rPr>
          <w:rFonts w:ascii="Arial" w:hAnsi="Arial" w:eastAsia="Arial" w:cs="Arial"/>
          <w:b/>
          <w:i w:val="0"/>
          <w:color w:val="000000"/>
          <w:sz w:val="26"/>
        </w:rPr>
        <w:t>7.1 Summary of findings</w:t>
      </w:r>
      <w:bookmarkEnd w:id="124"/>
    </w:p>
    <w:p w14:paraId="4F60A770">
      <w:pPr>
        <w:spacing w:before="0" w:after="120" w:line="360" w:lineRule="auto"/>
        <w:jc w:val="both"/>
      </w:pPr>
      <w:r>
        <w:rPr>
          <w:rFonts w:ascii="Arial" w:hAnsi="Arial" w:eastAsia="Arial" w:cs="Arial"/>
          <w:b w:val="0"/>
          <w:i w:val="0"/>
          <w:color w:val="000000"/>
          <w:sz w:val="22"/>
        </w:rPr>
        <w:t>I assembled a multi-source dataset suitable for cattle-versus-sheep classification across drone and ground-level views. I combined WAID and the cow-and-sheep slice of COCO 2017 into a unified YOLO-formatted corpus of 12 232 images and 51 320 crops, with a stratified 70/15/15 split balanced at roughly 53 percent cattle.</w:t>
      </w:r>
    </w:p>
    <w:p w14:paraId="41146C64">
      <w:pPr>
        <w:spacing w:before="0" w:after="120" w:line="360" w:lineRule="auto"/>
        <w:jc w:val="both"/>
      </w:pPr>
      <w:r>
        <w:rPr>
          <w:rFonts w:ascii="Arial" w:hAnsi="Arial" w:eastAsia="Arial" w:cs="Arial"/>
          <w:b w:val="0"/>
          <w:i w:val="0"/>
          <w:color w:val="000000"/>
          <w:sz w:val="22"/>
        </w:rPr>
        <w:t>I characterised the data quantitatively. EDA confirmed normality on per-image mean intensity for both sources, found single-digit IQR outlier counts, and uncovered a 14x ratio between WAID and COCO bounding-box areas that drove input-resolution decisions for the downstream models.</w:t>
      </w:r>
    </w:p>
    <w:p w14:paraId="3F1F55CD">
      <w:pPr>
        <w:spacing w:before="0" w:after="120" w:line="360" w:lineRule="auto"/>
        <w:jc w:val="both"/>
      </w:pPr>
      <w:r>
        <w:rPr>
          <w:rFonts w:ascii="Arial" w:hAnsi="Arial" w:eastAsia="Arial" w:cs="Arial"/>
          <w:b w:val="0"/>
          <w:i w:val="0"/>
          <w:color w:val="000000"/>
          <w:sz w:val="22"/>
        </w:rPr>
        <w:t>I built a from-scratch baseline. The custom CNN with three convolutional blocks, 8.76 million parameters, and Optuna-tuned hyperparameters reached test accuracy 0.9610 and F1 0.9608.</w:t>
      </w:r>
    </w:p>
    <w:p w14:paraId="2DA77A56">
      <w:pPr>
        <w:spacing w:before="0" w:after="120" w:line="360" w:lineRule="auto"/>
        <w:jc w:val="both"/>
      </w:pPr>
      <w:r>
        <w:rPr>
          <w:rFonts w:ascii="Arial" w:hAnsi="Arial" w:eastAsia="Arial" w:cs="Arial"/>
          <w:b w:val="0"/>
          <w:i w:val="0"/>
          <w:color w:val="000000"/>
          <w:sz w:val="22"/>
        </w:rPr>
        <w:t>I benchmarked transfer learning. ResNet50, VGG16, and MobileNetV2 with frozen backbones and trained classifier heads reached 0.9570, 0.9738, and 0.9498 respectively. VGG16 led by a statistically significant margin; ResNet50 was tied with the custom baseline; MobileNetV2 lost.</w:t>
      </w:r>
    </w:p>
    <w:p w14:paraId="6460EE73">
      <w:pPr>
        <w:spacing w:before="0" w:after="120" w:line="360" w:lineRule="auto"/>
        <w:jc w:val="both"/>
      </w:pPr>
      <w:r>
        <w:rPr>
          <w:rFonts w:ascii="Arial" w:hAnsi="Arial" w:eastAsia="Arial" w:cs="Arial"/>
          <w:b w:val="0"/>
          <w:i w:val="0"/>
          <w:color w:val="000000"/>
          <w:sz w:val="22"/>
        </w:rPr>
        <w:t>I evaluated detection and counting. YOLOv8n trained for 30 epochs reached mAP@50 0.9478 and counting MAE 1.576 with R squared 0.9749, against naive-baseline MAEs above 11.</w:t>
      </w:r>
    </w:p>
    <w:p w14:paraId="51DF613F">
      <w:pPr>
        <w:spacing w:before="0" w:after="120" w:line="360" w:lineRule="auto"/>
        <w:jc w:val="both"/>
      </w:pPr>
      <w:r>
        <w:rPr>
          <w:rFonts w:ascii="Arial" w:hAnsi="Arial" w:eastAsia="Arial" w:cs="Arial"/>
          <w:b w:val="0"/>
          <w:i w:val="0"/>
          <w:color w:val="000000"/>
          <w:sz w:val="22"/>
        </w:rPr>
        <w:t>I performed statistical comparison. McNemar pairwise tests confirmed VGG16's superiority and revealed that custom-versus-ResNet50 is not statistically distinguishable on this test set.</w:t>
      </w:r>
    </w:p>
    <w:p w14:paraId="6C2AAB60">
      <w:pPr>
        <w:spacing w:before="0" w:after="120" w:line="360" w:lineRule="auto"/>
        <w:jc w:val="both"/>
      </w:pPr>
      <w:r>
        <w:rPr>
          <w:rFonts w:ascii="Arial" w:hAnsi="Arial" w:eastAsia="Arial" w:cs="Arial"/>
          <w:b w:val="0"/>
          <w:i w:val="0"/>
          <w:color w:val="000000"/>
          <w:sz w:val="22"/>
        </w:rPr>
        <w:t>I conducted per-subgroup evaluation. Lighting effects are mild for most classifiers but penalise MobileNetV2 in bright conditions. Occlusion drives a 5.5x counting MAE penalty between low and high subgroups, which is the most useful finding in the project.</w:t>
      </w:r>
    </w:p>
    <w:p w14:paraId="24CC751D">
      <w:pPr>
        <w:pStyle w:val="3"/>
        <w:keepNext/>
        <w:spacing w:before="240" w:after="120" w:line="276" w:lineRule="auto"/>
        <w:jc w:val="left"/>
      </w:pPr>
      <w:bookmarkStart w:id="125" w:name="_Toc1183045194"/>
      <w:r>
        <w:rPr>
          <w:rFonts w:ascii="Arial" w:hAnsi="Arial" w:eastAsia="Arial" w:cs="Arial"/>
          <w:b/>
          <w:i w:val="0"/>
          <w:color w:val="000000"/>
          <w:sz w:val="26"/>
        </w:rPr>
        <w:t>7.2 Answers to research questions</w:t>
      </w:r>
      <w:bookmarkEnd w:id="125"/>
    </w:p>
    <w:p w14:paraId="614FD704">
      <w:pPr>
        <w:spacing w:before="0" w:after="120" w:line="360" w:lineRule="auto"/>
        <w:jc w:val="both"/>
      </w:pPr>
      <w:r>
        <w:rPr>
          <w:rFonts w:ascii="Arial" w:hAnsi="Arial" w:eastAsia="Arial" w:cs="Arial"/>
          <w:b w:val="0"/>
          <w:i w:val="0"/>
          <w:color w:val="000000"/>
          <w:sz w:val="22"/>
        </w:rPr>
        <w:t>Can a from-scratch CNN distinguish cattle from sheep at deployment-grade accuracy? Yes. The custom CNN reaches 0.9610 test accuracy on a balanced multi-source corpus, with Grad-CAM evidence that it attends to the animal body rather than to background.</w:t>
      </w:r>
    </w:p>
    <w:p w14:paraId="2E484EF7">
      <w:pPr>
        <w:spacing w:before="0" w:after="120" w:line="360" w:lineRule="auto"/>
        <w:jc w:val="both"/>
      </w:pPr>
      <w:r>
        <w:rPr>
          <w:rFonts w:ascii="Arial" w:hAnsi="Arial" w:eastAsia="Arial" w:cs="Arial"/>
          <w:b w:val="0"/>
          <w:i w:val="0"/>
          <w:color w:val="000000"/>
          <w:sz w:val="22"/>
        </w:rPr>
        <w:t>Does ImageNet pretraining systematically beat a from-scratch baseline on this task? No. Only one of three pretrained models (VGG16) beats the baseline at a statistically significant level. ResNet50 ties and MobileNetV2 loses. The mechanism is the size of the trainable classifier head under feature extraction, not the era or sophistication of the backbone.</w:t>
      </w:r>
    </w:p>
    <w:p w14:paraId="3F655F3B">
      <w:pPr>
        <w:spacing w:before="0" w:after="120" w:line="360" w:lineRule="auto"/>
        <w:jc w:val="both"/>
      </w:pPr>
      <w:r>
        <w:rPr>
          <w:rFonts w:ascii="Arial" w:hAnsi="Arial" w:eastAsia="Arial" w:cs="Arial"/>
          <w:b w:val="0"/>
          <w:i w:val="0"/>
          <w:color w:val="000000"/>
          <w:sz w:val="22"/>
        </w:rPr>
        <w:t>Does augmentation improve test accuracy? Yes, by +0.62 percentage points on the custom CNN, which is consistent with the modest end of expected gains for light geometric and colour augmentation on a 35 thousand-crop training set.</w:t>
      </w:r>
    </w:p>
    <w:p w14:paraId="474020E4">
      <w:pPr>
        <w:spacing w:before="0" w:after="120" w:line="360" w:lineRule="auto"/>
        <w:jc w:val="both"/>
      </w:pPr>
      <w:r>
        <w:rPr>
          <w:rFonts w:ascii="Arial" w:hAnsi="Arial" w:eastAsia="Arial" w:cs="Arial"/>
          <w:b w:val="0"/>
          <w:i w:val="0"/>
          <w:color w:val="000000"/>
          <w:sz w:val="22"/>
        </w:rPr>
        <w:t>Do environmental conditions (lighting, occlusion) materially affect performance? Yes for occlusion, which drives a 5.5x counting MAE penalty in YOLOv8n, and selectively for lighting, which affects MobileNetV2 disproportionately under bright conditions.</w:t>
      </w:r>
    </w:p>
    <w:p w14:paraId="6015FBC5">
      <w:pPr>
        <w:pStyle w:val="3"/>
        <w:keepNext/>
        <w:spacing w:before="240" w:after="120" w:line="276" w:lineRule="auto"/>
        <w:jc w:val="left"/>
      </w:pPr>
      <w:bookmarkStart w:id="126" w:name="_Toc2036971632"/>
      <w:r>
        <w:rPr>
          <w:rFonts w:ascii="Arial" w:hAnsi="Arial" w:eastAsia="Arial" w:cs="Arial"/>
          <w:b/>
          <w:i w:val="0"/>
          <w:color w:val="000000"/>
          <w:sz w:val="26"/>
        </w:rPr>
        <w:t>7.3 Practical recommendations</w:t>
      </w:r>
      <w:bookmarkEnd w:id="126"/>
    </w:p>
    <w:p w14:paraId="0EB84699">
      <w:pPr>
        <w:spacing w:before="0" w:after="120" w:line="360" w:lineRule="auto"/>
        <w:jc w:val="both"/>
      </w:pPr>
      <w:r>
        <w:rPr>
          <w:rFonts w:ascii="Arial" w:hAnsi="Arial" w:eastAsia="Arial" w:cs="Arial"/>
          <w:b w:val="0"/>
          <w:i w:val="0"/>
          <w:color w:val="000000"/>
          <w:sz w:val="22"/>
        </w:rPr>
        <w:t>For a small farm with edge-device constraints, I recommend starting with MobileNetV2 and adding a fine-tuning phase rather than running it in feature-extraction mode. The 2.4-million-parameter footprint matters for embedded deployment, and the accuracy gap to VGG16 is likely closeable with full fine-tuning.</w:t>
      </w:r>
    </w:p>
    <w:p w14:paraId="6A30069D">
      <w:pPr>
        <w:spacing w:before="0" w:after="120" w:line="360" w:lineRule="auto"/>
        <w:jc w:val="both"/>
      </w:pPr>
      <w:r>
        <w:rPr>
          <w:rFonts w:ascii="Arial" w:hAnsi="Arial" w:eastAsia="Arial" w:cs="Arial"/>
          <w:b w:val="0"/>
          <w:i w:val="0"/>
          <w:color w:val="000000"/>
          <w:sz w:val="22"/>
        </w:rPr>
        <w:t>For accuracy-critical research applications, VGG16 with the Optuna-tuned classifier head is the strongest option in this benchmark. The 17.9-million-parameter footprint is acceptable on a single GPU, and the McNemar evidence supports the lead.</w:t>
      </w:r>
    </w:p>
    <w:p w14:paraId="07371430">
      <w:pPr>
        <w:spacing w:before="0" w:after="120" w:line="360" w:lineRule="auto"/>
        <w:jc w:val="both"/>
      </w:pPr>
      <w:r>
        <w:rPr>
          <w:rFonts w:ascii="Arial" w:hAnsi="Arial" w:eastAsia="Arial" w:cs="Arial"/>
          <w:b w:val="0"/>
          <w:i w:val="0"/>
          <w:color w:val="000000"/>
          <w:sz w:val="22"/>
        </w:rPr>
        <w:t>For real-time counting from drone imagery, YOLOv8n with the configuration described in Section 3.8 reaches usable counting accuracy on sparse and moderate-density scenes but degrades on dense herds. I recommend pairing it with test-time augmentation or soft-NMS to mitigate the high-occlusion undercount.</w:t>
      </w:r>
    </w:p>
    <w:p w14:paraId="35892991">
      <w:pPr>
        <w:spacing w:before="0" w:after="120" w:line="360" w:lineRule="auto"/>
        <w:jc w:val="both"/>
      </w:pPr>
      <w:r>
        <w:rPr>
          <w:rFonts w:ascii="Arial" w:hAnsi="Arial" w:eastAsia="Arial" w:cs="Arial"/>
          <w:b w:val="0"/>
          <w:i w:val="0"/>
          <w:color w:val="000000"/>
          <w:sz w:val="22"/>
        </w:rPr>
        <w:t>For any production deployment, per-subgroup evaluation is non-optional. An aggregate accuracy or aggregate MAE will hide failure modes that matter operationally, as the 5.5x occlusion penalty in this work demonstrates.</w:t>
      </w:r>
    </w:p>
    <w:p w14:paraId="40E750B8">
      <w:pPr>
        <w:spacing w:before="0" w:after="120" w:line="360" w:lineRule="auto"/>
        <w:jc w:val="both"/>
      </w:pPr>
      <w:r>
        <w:rPr>
          <w:rFonts w:ascii="Arial" w:hAnsi="Arial" w:eastAsia="Arial" w:cs="Arial"/>
          <w:b w:val="0"/>
          <w:i w:val="0"/>
          <w:color w:val="000000"/>
          <w:sz w:val="22"/>
        </w:rPr>
        <w:t>An immediate use case sits inside Ireland's Bovine Viral Diarrhoea (BVD) eradication programme, which depends on accurate herd inventory at parlour level. Periodic UAV passes over pasture could provide an independent cross-check against ear-tag-based counts declared by the keeper, with YOLOv8n handling cattle detection in mid-daylight conditions and low to moderate occlusion. Adapting the detector to Irish breeds such as Friesian and Hereford would call for roughly 500 locally labelled images and a short fine-tuning run. UAV imagery cannot replace RFID for individual identity; it complements the ear-tag record rather than substituting for it.</w:t>
      </w:r>
    </w:p>
    <w:p w14:paraId="2CE3ABFA">
      <w:pPr>
        <w:spacing w:before="0" w:after="120" w:line="360" w:lineRule="auto"/>
        <w:jc w:val="both"/>
      </w:pPr>
      <w:r>
        <w:rPr>
          <w:rFonts w:ascii="Arial" w:hAnsi="Arial" w:eastAsia="Arial" w:cs="Arial"/>
          <w:b w:val="0"/>
          <w:i w:val="0"/>
          <w:color w:val="000000"/>
          <w:sz w:val="22"/>
        </w:rPr>
        <w:t>Sheep flock management on Irish hill grazings is a second candidate. Flocks of 50 to 100 animals spread across commonage are slow to count by hand, and weekly UAV passes give the farmer a low-cost estimate of flock size together with a visual cue that a particular animal is missing. Detection-based counting on flocks of this size yields mean absolute error in the range of one to three animals, which is sufficient for inventory tracking at weekly cadence. For high-density flocks above one hundred closely packed animals, density estimation in the style of Sarwar et al. (2021) is the more appropriate approach.</w:t>
      </w:r>
    </w:p>
    <w:p w14:paraId="27D853B6">
      <w:pPr>
        <w:spacing w:before="0" w:after="120" w:line="360" w:lineRule="auto"/>
        <w:jc w:val="both"/>
      </w:pPr>
      <w:r>
        <w:rPr>
          <w:rFonts w:ascii="Arial" w:hAnsi="Arial" w:eastAsia="Arial" w:cs="Arial"/>
          <w:b w:val="0"/>
          <w:i w:val="0"/>
          <w:color w:val="000000"/>
          <w:sz w:val="22"/>
        </w:rPr>
        <w:t>A third application supports compliance under the Animal Identification and Movement (AIM) database, which tracks movement of cattle and sheep between Irish premises. UAV imagery taken at loading or unloading points can be used to verify declared movements, and the cattle-versus-sheep classification head trained in this work performs well on cropped frames captured at such points. Individual animal identification falls outside the scope of the present model and would require either ear-tag optical character recognition or a separate identity system trained on close-range views.</w:t>
      </w:r>
    </w:p>
    <w:p w14:paraId="112C2C4C">
      <w:pPr>
        <w:spacing w:before="0" w:after="120" w:line="360" w:lineRule="auto"/>
        <w:jc w:val="both"/>
      </w:pPr>
      <w:r>
        <w:rPr>
          <w:rFonts w:ascii="Arial" w:hAnsi="Arial" w:eastAsia="Arial" w:cs="Arial"/>
          <w:b w:val="0"/>
          <w:i w:val="0"/>
          <w:color w:val="000000"/>
          <w:sz w:val="22"/>
        </w:rPr>
        <w:t>A fourth direction concerns ecological work adjacent to livestock monitoring. On upland commonage the same UAV pass that surveys sheep also captures non-livestock animals such as wild goats and red deer, and a classifier trained to separate livestock from wildlife on the same imagery would be useful for grazing-pressure studies. The current label set covers cattle and sheep only, so this extension would require additional classes and a modest set of new annotations.</w:t>
      </w:r>
    </w:p>
    <w:p w14:paraId="2C53E768">
      <w:pPr>
        <w:pStyle w:val="3"/>
        <w:keepNext/>
        <w:spacing w:before="240" w:after="120" w:line="276" w:lineRule="auto"/>
        <w:jc w:val="left"/>
      </w:pPr>
      <w:bookmarkStart w:id="127" w:name="_Toc197918550"/>
      <w:r>
        <w:rPr>
          <w:rFonts w:ascii="Arial" w:hAnsi="Arial" w:eastAsia="Arial" w:cs="Arial"/>
          <w:b/>
          <w:i w:val="0"/>
          <w:color w:val="000000"/>
          <w:sz w:val="26"/>
        </w:rPr>
        <w:t>7.4 Theoretical contributions</w:t>
      </w:r>
      <w:bookmarkEnd w:id="127"/>
    </w:p>
    <w:p w14:paraId="43A099C4">
      <w:pPr>
        <w:spacing w:before="0" w:after="120" w:line="360" w:lineRule="auto"/>
        <w:jc w:val="both"/>
      </w:pPr>
      <w:r>
        <w:rPr>
          <w:rFonts w:ascii="Arial" w:hAnsi="Arial" w:eastAsia="Arial" w:cs="Arial"/>
          <w:b w:val="0"/>
          <w:i w:val="0"/>
          <w:color w:val="000000"/>
          <w:sz w:val="22"/>
        </w:rPr>
        <w:t>Within the constraint of feature-extraction-only transfer learning, this work provides empirical evidence that ImageNet-pretrained backbones do not automatically outperform a from-scratch CNN on the cattle/sheep differentiation task. This finding is regime-specific: as discussed in §5.9, full fine-tuning of the pretrained backbones could plausibly reverse the relative ordering. The contribution is therefore narrower in scope than a general claim about transfer learning, but it still has practical value for resource-constrained settings where only the classifier head can realistically be trained.</w:t>
      </w:r>
    </w:p>
    <w:p w14:paraId="1D18F212">
      <w:pPr>
        <w:pStyle w:val="3"/>
        <w:keepNext/>
        <w:spacing w:before="240" w:after="120" w:line="276" w:lineRule="auto"/>
        <w:jc w:val="left"/>
      </w:pPr>
      <w:bookmarkStart w:id="128" w:name="_Toc2112384294"/>
      <w:r>
        <w:rPr>
          <w:rFonts w:ascii="Arial" w:hAnsi="Arial" w:eastAsia="Arial" w:cs="Arial"/>
          <w:b/>
          <w:i w:val="0"/>
          <w:color w:val="000000"/>
          <w:sz w:val="26"/>
        </w:rPr>
        <w:t>7.5 Future work</w:t>
      </w:r>
      <w:bookmarkEnd w:id="128"/>
    </w:p>
    <w:p w14:paraId="266DC94C">
      <w:pPr>
        <w:spacing w:before="0" w:after="120" w:line="360" w:lineRule="auto"/>
        <w:jc w:val="both"/>
      </w:pPr>
      <w:r>
        <w:rPr>
          <w:rFonts w:ascii="Arial" w:hAnsi="Arial" w:eastAsia="Arial" w:cs="Arial"/>
          <w:b w:val="0"/>
          <w:i w:val="0"/>
          <w:color w:val="000000"/>
          <w:sz w:val="22"/>
        </w:rPr>
        <w:t>Six directions follow naturally from the present results. First, training the larger YOLOv8 variants (s, m, l) and YOLOv11 to characterise the accuracy-compute trade-off on the same data. Second, replacing feature-extraction with fine-tuning across the three transfer models to test whether the H1 result reverses. Third, applying density-based counting methods such as CSRNet or MCNN to the high-occlusion subgroup, where a regression-based count from a density map would not depend on per-individual NMS. Fourth, conducting a real-world test on Irish farms across multiple breeds, since the training corpus is heavily biased toward non-Irish provenance. Fifth, multi-modal capture combining RGB and thermal imagery for night-time monitoring. Sixth, an active-learning loop to prioritise the labelling of high-uncertainty crops, which would reduce labelling cost on any new dataset.</w:t>
      </w:r>
    </w:p>
    <w:p w14:paraId="64E3679E">
      <w:pPr>
        <w:spacing w:before="0" w:after="120" w:line="360" w:lineRule="auto"/>
        <w:jc w:val="both"/>
      </w:pPr>
      <w:r>
        <w:rPr>
          <w:rFonts w:ascii="Arial" w:hAnsi="Arial" w:eastAsia="Arial" w:cs="Arial"/>
          <w:b w:val="0"/>
          <w:i w:val="0"/>
          <w:color w:val="000000"/>
          <w:sz w:val="22"/>
        </w:rPr>
        <w:t>A first direction is a controlled fine-tuning experiment on the three transfer models. Unfreezing the last one or two convolutional blocks of ResNet50, VGG16, and MobileNetV2 and retraining at a smaller learning rate of around 1e-5 would test directly whether the feature-extraction-only protocol underestimates pretrained capacity on UAV imagery. The cost is roughly twice the current training time and no additional data, and the outcome would either confirm the H1 verdict or revise it, in either case providing a comparable baseline for the present results.</w:t>
      </w:r>
    </w:p>
    <w:p w14:paraId="758F1297">
      <w:pPr>
        <w:spacing w:before="0" w:after="120" w:line="360" w:lineRule="auto"/>
        <w:jc w:val="both"/>
      </w:pPr>
      <w:r>
        <w:rPr>
          <w:rFonts w:ascii="Arial" w:hAnsi="Arial" w:eastAsia="Arial" w:cs="Arial"/>
          <w:b w:val="0"/>
          <w:i w:val="0"/>
          <w:color w:val="000000"/>
          <w:sz w:val="22"/>
        </w:rPr>
        <w:t>A second direction is the collection of an Irish breed dataset. A target of 500 to 1,000 UAV images of Friesian, Hereford, and Aberdeen Angus cattle together with Suffolk and Texel sheep, gathered in collaboration with Teagasc or a research farm, would address the geographic skew of the present corpus. Annotation should include bounding boxes, species and breed labels, and optional individual identifiers where ear tags are visible. Validation of the existing models against this dataset would establish how much of the current performance carries over to Irish field conditions.</w:t>
      </w:r>
    </w:p>
    <w:p w14:paraId="665ECBBA">
      <w:pPr>
        <w:spacing w:before="0" w:after="120" w:line="360" w:lineRule="auto"/>
        <w:jc w:val="both"/>
      </w:pPr>
      <w:r>
        <w:rPr>
          <w:rFonts w:ascii="Arial" w:hAnsi="Arial" w:eastAsia="Arial" w:cs="Arial"/>
          <w:b w:val="0"/>
          <w:i w:val="0"/>
          <w:color w:val="000000"/>
          <w:sz w:val="22"/>
        </w:rPr>
        <w:t>A third direction is an edge deployment study. Porting the YOLOv8n weights to a Raspberry Pi 5 or Jetson Nano carried on the UAV airframe would provide measurements of per-frame latency, sustained inference rate, and power draw under realistic flight loads. On-device inference matters because rural agricultural sites in Ireland frequently lack the cellular capacity needed for cloud upload of full-resolution video, and the practical viability of the approach depends on whether the model can run within the thermal and power envelope of a small companion computer.</w:t>
      </w:r>
    </w:p>
    <w:p w14:paraId="66D9118F">
      <w:pPr>
        <w:spacing w:before="0" w:after="120" w:line="360" w:lineRule="auto"/>
        <w:jc w:val="both"/>
      </w:pPr>
      <w:r>
        <w:rPr>
          <w:rFonts w:ascii="Arial" w:hAnsi="Arial" w:eastAsia="Arial" w:cs="Arial"/>
          <w:b w:val="0"/>
          <w:i w:val="0"/>
          <w:color w:val="000000"/>
          <w:sz w:val="22"/>
        </w:rPr>
        <w:t>A fourth direction is a hybrid counting pipeline that combines detection with density estimation. The detector would handle clearly separated regions where bounding boxes are reliable, while a density network in the style of CSRNet or UNet would handle dense subgroups in which non-maximum suppression collapses overlapping animals into a single box. A weighted ensemble of the two outputs would target the 5.5x MAE penalty observed under high occlusion, which is the largest single weakness identified in this work and which density-based methods such as Sarwar et al. (2021) are designed to address.</w:t>
      </w:r>
    </w:p>
    <w:p w14:paraId="248C3B88">
      <w:pPr>
        <w:pStyle w:val="3"/>
        <w:keepNext/>
        <w:spacing w:before="240" w:after="120" w:line="276" w:lineRule="auto"/>
        <w:jc w:val="left"/>
      </w:pPr>
      <w:bookmarkStart w:id="129" w:name="_Toc643177054"/>
      <w:r>
        <w:rPr>
          <w:rFonts w:ascii="Arial" w:hAnsi="Arial" w:eastAsia="Arial" w:cs="Arial"/>
          <w:b/>
          <w:i w:val="0"/>
          <w:color w:val="000000"/>
          <w:sz w:val="26"/>
        </w:rPr>
        <w:t>7.6 Closing remarks</w:t>
      </w:r>
      <w:bookmarkEnd w:id="129"/>
    </w:p>
    <w:p w14:paraId="3BE72DFF">
      <w:pPr>
        <w:spacing w:before="0" w:after="120" w:line="360" w:lineRule="auto"/>
        <w:jc w:val="both"/>
      </w:pPr>
      <w:r>
        <w:rPr>
          <w:rFonts w:ascii="Arial" w:hAnsi="Arial" w:eastAsia="Arial" w:cs="Arial"/>
          <w:b w:val="0"/>
          <w:i w:val="0"/>
          <w:color w:val="000000"/>
          <w:sz w:val="22"/>
        </w:rPr>
        <w:t>This study contributes a reproducible benchmark for cattle/sheep differentiation in mixed-herd UAV imagery, a quantified estimate of how occlusion and lighting variation degrade detection performance, and an honest characterisation of when transfer learning under feature-extraction does and does not pay off. Together these elements provide a concrete, evidence-based starting point for further work on multi-species livestock monitoring at scale.</w:t>
      </w:r>
    </w:p>
    <w:p w14:paraId="0CB6A6DB">
      <w:pPr>
        <w:pStyle w:val="2"/>
        <w:keepNext/>
        <w:pageBreakBefore/>
        <w:spacing w:before="360" w:after="240" w:line="276" w:lineRule="auto"/>
        <w:jc w:val="left"/>
      </w:pPr>
      <w:bookmarkStart w:id="130" w:name="_Toc1591551227"/>
      <w:r>
        <w:rPr>
          <w:rFonts w:ascii="Arial" w:hAnsi="Arial" w:eastAsia="Arial" w:cs="Arial"/>
          <w:b/>
          <w:i w:val="0"/>
          <w:color w:val="000000"/>
          <w:sz w:val="32"/>
        </w:rPr>
        <w:t>References</w:t>
      </w:r>
      <w:bookmarkEnd w:id="130"/>
    </w:p>
    <w:p w14:paraId="44F13998">
      <w:pPr>
        <w:spacing w:before="0" w:after="120" w:line="276" w:lineRule="auto"/>
        <w:ind w:left="567" w:hanging="567"/>
        <w:jc w:val="both"/>
      </w:pPr>
      <w:r>
        <w:t xml:space="preserve">Akiba, T., Sano, S., Yanase, T., Ohta, T. and Koyama, M. (2019) ‘Optuna: a next-generation hyperparameter optimization framework’, in </w:t>
      </w:r>
      <w:r>
        <w:rPr>
          <w:i/>
        </w:rPr>
        <w:t>Proceedings of the 25th ACM SIGKDD International Conference on Knowledge Discovery and Data Mining</w:t>
      </w:r>
      <w:r>
        <w:t>. Anchorage, AK: ACM, pp. 2623-2631.</w:t>
      </w:r>
    </w:p>
    <w:p w14:paraId="5664A379">
      <w:pPr>
        <w:spacing w:before="0" w:after="120" w:line="276" w:lineRule="auto"/>
        <w:ind w:left="567" w:hanging="567"/>
        <w:jc w:val="both"/>
      </w:pPr>
      <w:r>
        <w:t xml:space="preserve">Andrew, W., Greatwood, C. and Burghardt, T. (2017) ‘Visual localisation and individual identification of Holstein Friesian cattle via deep learning’, in </w:t>
      </w:r>
      <w:r>
        <w:rPr>
          <w:i/>
        </w:rPr>
        <w:t>Proceedings of the IEEE International Conference on Computer Vision Workshops (ICCVW)</w:t>
      </w:r>
      <w:r>
        <w:t>. Venice: IEEE, pp. 2850-2859.</w:t>
      </w:r>
    </w:p>
    <w:p w14:paraId="19450DE9">
      <w:pPr>
        <w:spacing w:before="0" w:after="120" w:line="276" w:lineRule="auto"/>
        <w:ind w:left="567" w:hanging="567"/>
        <w:jc w:val="both"/>
      </w:pPr>
      <w:r>
        <w:t xml:space="preserve">Berckmans, D. (2017) ‘General introduction to precision livestock farming’, </w:t>
      </w:r>
      <w:r>
        <w:rPr>
          <w:i/>
        </w:rPr>
        <w:t>Animal Frontiers</w:t>
      </w:r>
      <w:r>
        <w:t>, 7(1), pp. 6-11.</w:t>
      </w:r>
    </w:p>
    <w:p w14:paraId="7EA76C53">
      <w:pPr>
        <w:spacing w:before="0" w:after="120" w:line="276" w:lineRule="auto"/>
        <w:ind w:left="567" w:hanging="567"/>
        <w:jc w:val="both"/>
      </w:pPr>
      <w:r>
        <w:t xml:space="preserve">Bergstra, J. and Bengio, Y. (2012) ‘Random search for hyper-parameter optimization’, </w:t>
      </w:r>
      <w:r>
        <w:rPr>
          <w:i/>
        </w:rPr>
        <w:t>Journal of Machine Learning Research</w:t>
      </w:r>
      <w:r>
        <w:t>, 13, pp. 281-305.</w:t>
      </w:r>
    </w:p>
    <w:p w14:paraId="58C29028">
      <w:pPr>
        <w:spacing w:before="0" w:after="120" w:line="276" w:lineRule="auto"/>
        <w:ind w:left="567" w:hanging="567"/>
        <w:jc w:val="both"/>
      </w:pPr>
      <w:r>
        <w:t xml:space="preserve">Bochkovskiy, A., Wang, C.Y. and Liao, H.Y.M. (2020) ‘YOLOv4: optimal speed and accuracy of object detection’, </w:t>
      </w:r>
      <w:r>
        <w:rPr>
          <w:i/>
        </w:rPr>
        <w:t>arXiv:2004.10934 [cs.CV]</w:t>
      </w:r>
      <w:r>
        <w:t>. Available at: https://arxiv.org/abs/2004.10934 (Accessed: 1 May 2026).</w:t>
      </w:r>
    </w:p>
    <w:p w14:paraId="28C22471">
      <w:pPr>
        <w:spacing w:before="0" w:after="120" w:line="276" w:lineRule="auto"/>
        <w:ind w:left="567" w:hanging="567"/>
        <w:jc w:val="both"/>
      </w:pPr>
      <w:r>
        <w:t xml:space="preserve">Dietterich, T.G. (1998) ‘Approximate statistical tests for comparing supervised classification learning algorithms’, </w:t>
      </w:r>
      <w:r>
        <w:rPr>
          <w:i/>
        </w:rPr>
        <w:t>Neural Computation</w:t>
      </w:r>
      <w:r>
        <w:t>, 10(7), pp. 1895-1923.</w:t>
      </w:r>
    </w:p>
    <w:p w14:paraId="0E4E4E2A">
      <w:pPr>
        <w:spacing w:before="0" w:after="120" w:line="276" w:lineRule="auto"/>
        <w:ind w:left="567" w:hanging="567"/>
        <w:jc w:val="both"/>
      </w:pPr>
      <w:r>
        <w:t xml:space="preserve">Goodfellow, I., Bengio, Y. and Courville, A. (2016) </w:t>
      </w:r>
      <w:r>
        <w:rPr>
          <w:i/>
        </w:rPr>
        <w:t>Deep Learning</w:t>
      </w:r>
      <w:r>
        <w:t>. Cambridge, MA: MIT Press.</w:t>
      </w:r>
    </w:p>
    <w:p w14:paraId="48B09F48">
      <w:pPr>
        <w:spacing w:before="0" w:after="120" w:line="276" w:lineRule="auto"/>
        <w:ind w:left="567" w:hanging="567"/>
        <w:jc w:val="both"/>
      </w:pPr>
      <w:r>
        <w:t xml:space="preserve">He, K., Zhang, X., Ren, S. and Sun, J. (2016) ‘Deep residual learning for image recognition’, in </w:t>
      </w:r>
      <w:r>
        <w:rPr>
          <w:i/>
        </w:rPr>
        <w:t>Proceedings of the IEEE Conference on Computer Vision and Pattern Recognition (CVPR)</w:t>
      </w:r>
      <w:r>
        <w:t>. Las Vegas: IEEE, pp. 770-778.</w:t>
      </w:r>
    </w:p>
    <w:p w14:paraId="57908CB5">
      <w:pPr>
        <w:spacing w:before="0" w:after="120" w:line="276" w:lineRule="auto"/>
        <w:ind w:left="567" w:hanging="567"/>
        <w:jc w:val="both"/>
      </w:pPr>
      <w:r>
        <w:t xml:space="preserve">Howard, A.G., Zhu, M., Chen, B., Kalenichenko, D., Wang, W., Weyand, T., Andreetto, M. and Adam, H. (2017) ‘MobileNets: efficient convolutional neural networks for mobile vision applications’, </w:t>
      </w:r>
      <w:r>
        <w:rPr>
          <w:i/>
        </w:rPr>
        <w:t>arXiv:1704.04861 [cs.CV]</w:t>
      </w:r>
      <w:r>
        <w:t>. Available at: https://arxiv.org/abs/1704.04861 (Accessed: 1 May 2026).</w:t>
      </w:r>
    </w:p>
    <w:p w14:paraId="4F5AAC64">
      <w:pPr>
        <w:spacing w:before="0" w:after="120" w:line="276" w:lineRule="auto"/>
        <w:ind w:left="567" w:hanging="567"/>
        <w:jc w:val="both"/>
      </w:pPr>
      <w:r>
        <w:t xml:space="preserve">Ioffe, S. and Szegedy, C. (2015) ‘Batch normalization: accelerating deep network training by reducing internal covariate shift’, in </w:t>
      </w:r>
      <w:r>
        <w:rPr>
          <w:i/>
        </w:rPr>
        <w:t>Proceedings of the 32nd International Conference on Machine Learning (ICML)</w:t>
      </w:r>
      <w:r>
        <w:t>. Lille: PMLR, pp. 448-456.</w:t>
      </w:r>
    </w:p>
    <w:p w14:paraId="6B47C455">
      <w:pPr>
        <w:spacing w:before="0" w:after="120" w:line="276" w:lineRule="auto"/>
        <w:ind w:left="567" w:hanging="567"/>
        <w:jc w:val="both"/>
      </w:pPr>
      <w:r>
        <w:t>Jocher, G., Chaurasia, A. and Qiu, J. (2023) ‘Ultralytics YOLOv8’. Software release, version 8.0. Available at: https://github.com/ultralytics/ultralytics (Accessed: 14 February 2026).</w:t>
      </w:r>
    </w:p>
    <w:p w14:paraId="7228D995">
      <w:pPr>
        <w:spacing w:before="0" w:after="120" w:line="276" w:lineRule="auto"/>
        <w:ind w:left="567" w:hanging="567"/>
        <w:jc w:val="both"/>
      </w:pPr>
      <w:r>
        <w:t xml:space="preserve">Kingma, D.P. and Ba, J. (2015) ‘Adam: a method for stochastic optimization’, in </w:t>
      </w:r>
      <w:r>
        <w:rPr>
          <w:i/>
        </w:rPr>
        <w:t>Proceedings of the 3rd International Conference on Learning Representations (ICLR)</w:t>
      </w:r>
      <w:r>
        <w:t>. San Diego, CA.</w:t>
      </w:r>
    </w:p>
    <w:p w14:paraId="09D49ABF">
      <w:pPr>
        <w:spacing w:before="0" w:after="120" w:line="276" w:lineRule="auto"/>
        <w:ind w:left="567" w:hanging="567"/>
        <w:jc w:val="both"/>
      </w:pPr>
      <w:r>
        <w:t xml:space="preserve">Krizhevsky, A., Sutskever, I. and Hinton, G.E. (2012) ‘ImageNet classification with deep convolutional neural networks’, in </w:t>
      </w:r>
      <w:r>
        <w:rPr>
          <w:i/>
        </w:rPr>
        <w:t>Advances in Neural Information Processing Systems (NeurIPS), 25</w:t>
      </w:r>
      <w:r>
        <w:t>. Lake Tahoe: Curran Associates, pp. 1097-1105.</w:t>
      </w:r>
    </w:p>
    <w:p w14:paraId="22E944A0">
      <w:pPr>
        <w:spacing w:before="0" w:after="120" w:line="276" w:lineRule="auto"/>
        <w:ind w:left="567" w:hanging="567"/>
        <w:jc w:val="both"/>
      </w:pPr>
      <w:r>
        <w:t xml:space="preserve">Lin, T.Y., Maire, M., Belongie, S., Hays, J., Perona, P., Ramanan, D., Dollar, P. and Zitnick, C.L. (2014) ‘Microsoft COCO: common objects in context’, in </w:t>
      </w:r>
      <w:r>
        <w:rPr>
          <w:i/>
        </w:rPr>
        <w:t>European Conference on Computer Vision (ECCV)</w:t>
      </w:r>
      <w:r>
        <w:t>. Zurich: Springer, pp. 740-755.</w:t>
      </w:r>
    </w:p>
    <w:p w14:paraId="0A65BEBD">
      <w:pPr>
        <w:spacing w:before="0" w:after="120" w:line="276" w:lineRule="auto"/>
        <w:ind w:left="567" w:hanging="567"/>
        <w:jc w:val="both"/>
      </w:pPr>
      <w:r>
        <w:t xml:space="preserve">Loshchilov, I. and Hutter, F. (2019) ‘Decoupled weight decay regularization’, in </w:t>
      </w:r>
      <w:r>
        <w:rPr>
          <w:i/>
        </w:rPr>
        <w:t>Proceedings of the 7th International Conference on Learning Representations (ICLR)</w:t>
      </w:r>
      <w:r>
        <w:t>. New Orleans, LA.</w:t>
      </w:r>
    </w:p>
    <w:p w14:paraId="1E1F9A94">
      <w:pPr>
        <w:spacing w:before="0" w:after="120" w:line="276" w:lineRule="auto"/>
        <w:ind w:left="567" w:hanging="567"/>
        <w:jc w:val="both"/>
      </w:pPr>
      <w:r>
        <w:t xml:space="preserve">McNemar, Q. (1947) ‘Note on the sampling error of the difference between correlated proportions or percentages’, </w:t>
      </w:r>
      <w:r>
        <w:rPr>
          <w:i/>
        </w:rPr>
        <w:t>Psychometrika</w:t>
      </w:r>
      <w:r>
        <w:t>, 12(2), pp. 153-157.</w:t>
      </w:r>
    </w:p>
    <w:p w14:paraId="2AC9BED7">
      <w:pPr>
        <w:spacing w:before="0" w:after="120" w:line="276" w:lineRule="auto"/>
        <w:ind w:left="567" w:hanging="567"/>
        <w:jc w:val="both"/>
      </w:pPr>
      <w:r>
        <w:t xml:space="preserve">Mou, C., Liu, T., Zhu, C. and Cui, X. (2023) ‘WAID: a large-scale dataset for wildlife detection with drones’, </w:t>
      </w:r>
      <w:r>
        <w:rPr>
          <w:i/>
        </w:rPr>
        <w:t>Applied Sciences</w:t>
      </w:r>
      <w:r>
        <w:t>, 13(18), 10397.</w:t>
      </w:r>
    </w:p>
    <w:p w14:paraId="595A4E46">
      <w:pPr>
        <w:spacing w:before="0" w:after="120" w:line="276" w:lineRule="auto"/>
        <w:ind w:left="567" w:hanging="567"/>
        <w:jc w:val="both"/>
      </w:pPr>
      <w:r>
        <w:t xml:space="preserve">Norouzzadeh, M.S., Nguyen, A., Kosmala, M., Swanson, A., Palmer, M.S., Packer, C. and Clune, J. (2018) ‘Automatically identifying, counting, and describing wild animals in camera-trap images with deep learning’, </w:t>
      </w:r>
      <w:r>
        <w:rPr>
          <w:i/>
        </w:rPr>
        <w:t>Proceedings of the National Academy of Sciences</w:t>
      </w:r>
      <w:r>
        <w:t>, 115(25), pp. E5716-E5725.</w:t>
      </w:r>
    </w:p>
    <w:p w14:paraId="03940C1D">
      <w:pPr>
        <w:spacing w:before="0" w:after="120" w:line="276" w:lineRule="auto"/>
        <w:ind w:left="567" w:hanging="567"/>
        <w:jc w:val="both"/>
      </w:pPr>
      <w:r>
        <w:t xml:space="preserve">Qiao, Y., Su, D., Kong, H., Sukkarieh, S., Lomax, S. and Clark, C. (2019) ‘Individual cattle identification using a deep learning based framework’, </w:t>
      </w:r>
      <w:r>
        <w:rPr>
          <w:i/>
        </w:rPr>
        <w:t>IFAC-PapersOnLine</w:t>
      </w:r>
      <w:r>
        <w:t>, 52(30), pp. 318-323. DOI: 10.1016/j.ifacol.2019.12.558.</w:t>
      </w:r>
    </w:p>
    <w:p w14:paraId="534B60ED">
      <w:pPr>
        <w:spacing w:before="0" w:after="120" w:line="276" w:lineRule="auto"/>
        <w:ind w:left="567" w:hanging="567"/>
        <w:jc w:val="both"/>
      </w:pPr>
      <w:r>
        <w:t xml:space="preserve">Redmon, J. and Farhadi, A. (2018) ‘YOLOv3: an incremental improvement’, </w:t>
      </w:r>
      <w:r>
        <w:rPr>
          <w:i/>
        </w:rPr>
        <w:t>arXiv:1804.02767 [cs.CV]</w:t>
      </w:r>
      <w:r>
        <w:t>. Available at: https://arxiv.org/abs/1804.02767 (Accessed: 1 May 2026).</w:t>
      </w:r>
    </w:p>
    <w:p w14:paraId="19F79C79">
      <w:pPr>
        <w:spacing w:before="0" w:after="120" w:line="276" w:lineRule="auto"/>
        <w:ind w:left="567" w:hanging="567"/>
        <w:jc w:val="both"/>
      </w:pPr>
      <w:r>
        <w:t xml:space="preserve">Redmon, J., Divvala, S., Girshick, R. and Farhadi, A. (2016) ‘You only look once: unified, real-time object detection’, in </w:t>
      </w:r>
      <w:r>
        <w:rPr>
          <w:i/>
        </w:rPr>
        <w:t>Proceedings of the IEEE Conference on Computer Vision and Pattern Recognition (CVPR)</w:t>
      </w:r>
      <w:r>
        <w:t>. Las Vegas: IEEE, pp. 779-788.</w:t>
      </w:r>
    </w:p>
    <w:p w14:paraId="75C02723">
      <w:pPr>
        <w:spacing w:before="0" w:after="120" w:line="276" w:lineRule="auto"/>
        <w:ind w:left="567" w:hanging="567"/>
        <w:jc w:val="both"/>
      </w:pPr>
      <w:r>
        <w:t xml:space="preserve">Sadgrove, E.J., Falzon, G., Miron, D. and Lamb, D.W. (2018) ‘Real-time object detection in agricultural/remote environments using the multiple-expert colour feature extreme learning machine (MEC-ELM)’, </w:t>
      </w:r>
      <w:r>
        <w:rPr>
          <w:i/>
        </w:rPr>
        <w:t>Computers in Industry</w:t>
      </w:r>
      <w:r>
        <w:t>, 98, pp. 183-191.</w:t>
      </w:r>
    </w:p>
    <w:p w14:paraId="377E2DE2">
      <w:pPr>
        <w:spacing w:before="0" w:after="120" w:line="276" w:lineRule="auto"/>
        <w:ind w:left="567" w:hanging="567"/>
        <w:jc w:val="both"/>
      </w:pPr>
      <w:r>
        <w:t xml:space="preserve">Sandler, M., Howard, A., Zhu, M., Zhmoginov, A. and Chen, L.C. (2018) ‘MobileNetV2: inverted residuals and linear bottlenecks’, in </w:t>
      </w:r>
      <w:r>
        <w:rPr>
          <w:i/>
        </w:rPr>
        <w:t>Proceedings of the IEEE Conference on Computer Vision and Pattern Recognition (CVPR)</w:t>
      </w:r>
      <w:r>
        <w:t>. Salt Lake City: IEEE, pp. 4510-4520.</w:t>
      </w:r>
    </w:p>
    <w:p w14:paraId="7BE688AE">
      <w:pPr>
        <w:spacing w:before="0" w:after="120" w:line="276" w:lineRule="auto"/>
        <w:ind w:left="567" w:hanging="567"/>
        <w:jc w:val="both"/>
      </w:pPr>
      <w:r>
        <w:t xml:space="preserve">Sarwar, F., Griffin, A., Periasamy, P., Portas, K. and Law, J. (2018) ‘Detecting and counting sheep with a convolutional neural network’, in </w:t>
      </w:r>
      <w:r>
        <w:rPr>
          <w:i/>
        </w:rPr>
        <w:t>15th IEEE International Conference on Advanced Video and Signal Based Surveillance (AVSS)</w:t>
      </w:r>
      <w:r>
        <w:t>. Auckland: IEEE, pp. 1-6.</w:t>
      </w:r>
    </w:p>
    <w:p w14:paraId="79CB2838">
      <w:pPr>
        <w:spacing w:before="0" w:after="120" w:line="276" w:lineRule="auto"/>
        <w:ind w:left="567" w:hanging="567"/>
        <w:jc w:val="both"/>
      </w:pPr>
      <w:r>
        <w:t xml:space="preserve">Sarwar, F., Griffin, A., Periasamy, P. and Soomro, S. (2021) ‘Counting and locating high-density sheep in aerial images’, </w:t>
      </w:r>
      <w:r>
        <w:rPr>
          <w:i/>
        </w:rPr>
        <w:t>Pattern Recognition Letters</w:t>
      </w:r>
      <w:r>
        <w:t>, 144, pp. 41-47. DOI: 10.1016/j.patrec.2021.01.028.</w:t>
      </w:r>
    </w:p>
    <w:p w14:paraId="633555ED">
      <w:pPr>
        <w:spacing w:before="0" w:after="120" w:line="276" w:lineRule="auto"/>
        <w:ind w:left="567" w:hanging="567"/>
        <w:jc w:val="both"/>
      </w:pPr>
      <w:r>
        <w:t xml:space="preserve">Selvaraju, R.R., Cogswell, M., Das, A., Vedantam, R., Parikh, D. and Batra, D. (2017) ‘Grad-CAM: visual explanations from deep networks via gradient-based localization’, in </w:t>
      </w:r>
      <w:r>
        <w:rPr>
          <w:i/>
        </w:rPr>
        <w:t>Proceedings of the IEEE International Conference on Computer Vision (ICCV)</w:t>
      </w:r>
      <w:r>
        <w:t>. Venice: IEEE, pp. 618-626.</w:t>
      </w:r>
    </w:p>
    <w:p w14:paraId="592C4EB6">
      <w:pPr>
        <w:spacing w:before="0" w:after="120" w:line="276" w:lineRule="auto"/>
        <w:ind w:left="567" w:hanging="567"/>
        <w:jc w:val="both"/>
      </w:pPr>
      <w:r>
        <w:t xml:space="preserve">Shorten, C. and Khoshgoftaar, T.M. (2019) ‘A survey on image data augmentation for deep learning’, </w:t>
      </w:r>
      <w:r>
        <w:rPr>
          <w:i/>
        </w:rPr>
        <w:t>Journal of Big Data</w:t>
      </w:r>
      <w:r>
        <w:t>, 6(1), 60.</w:t>
      </w:r>
    </w:p>
    <w:p w14:paraId="76BFD8F9">
      <w:pPr>
        <w:spacing w:before="0" w:after="120" w:line="276" w:lineRule="auto"/>
        <w:ind w:left="567" w:hanging="567"/>
        <w:jc w:val="both"/>
      </w:pPr>
      <w:r>
        <w:t xml:space="preserve">Simonyan, K. and Zisserman, A. (2014) ‘Very deep convolutional networks for large-scale image recognition’, </w:t>
      </w:r>
      <w:r>
        <w:rPr>
          <w:i/>
        </w:rPr>
        <w:t>arXiv:1409.1556 [cs.CV]</w:t>
      </w:r>
      <w:r>
        <w:t>. Available at: https://arxiv.org/abs/1409.1556 (Accessed: 1 May 2026).</w:t>
      </w:r>
    </w:p>
    <w:p w14:paraId="12DB863C">
      <w:pPr>
        <w:spacing w:before="0" w:after="120" w:line="276" w:lineRule="auto"/>
        <w:ind w:left="567" w:hanging="567"/>
        <w:jc w:val="both"/>
      </w:pPr>
      <w:r>
        <w:t xml:space="preserve">Tan, M. and Le, Q. (2019) ‘EfficientNet: rethinking model scaling for convolutional neural networks’, in </w:t>
      </w:r>
      <w:r>
        <w:rPr>
          <w:i/>
        </w:rPr>
        <w:t>Proceedings of the 36th International Conference on Machine Learning (ICML)</w:t>
      </w:r>
      <w:r>
        <w:t>. Long Beach: PMLR, pp. 6105-6114.</w:t>
      </w:r>
    </w:p>
    <w:p w14:paraId="47FD0B7D">
      <w:pPr>
        <w:spacing w:before="0" w:after="120" w:line="276" w:lineRule="auto"/>
        <w:ind w:left="567" w:hanging="567"/>
        <w:jc w:val="both"/>
      </w:pPr>
      <w:r>
        <w:t xml:space="preserve">Tian, Y., Yang, G., Wang, Z., Wang, H., Li, E. and Liang, Z. (2019) ‘Apple detection during different growth stages in orchards using the improved YOLO-V3 model’, </w:t>
      </w:r>
      <w:r>
        <w:rPr>
          <w:i/>
        </w:rPr>
        <w:t>Computers and Electronics in Agriculture</w:t>
      </w:r>
      <w:r>
        <w:t>, 157, pp. 417-426.</w:t>
      </w:r>
    </w:p>
    <w:p w14:paraId="4A9180BB">
      <w:pPr>
        <w:spacing w:before="0" w:after="120" w:line="276" w:lineRule="auto"/>
        <w:ind w:left="567" w:hanging="567"/>
        <w:jc w:val="both"/>
      </w:pPr>
      <w:r>
        <w:t xml:space="preserve">Wang, D., Shao, Q. and Yue, H. (2019) ‘Surveying wild animals from satellites, manned aircraft and unmanned aerial systems (UASs): a review’, </w:t>
      </w:r>
      <w:r>
        <w:rPr>
          <w:i/>
        </w:rPr>
        <w:t>Remote Sensing</w:t>
      </w:r>
      <w:r>
        <w:t>, 11(11), 1308. DOI: 10.3390/rs11111308.</w:t>
      </w:r>
    </w:p>
    <w:p w14:paraId="737C2B44">
      <w:pPr>
        <w:spacing w:before="0" w:after="120" w:line="276" w:lineRule="auto"/>
        <w:ind w:left="567" w:hanging="567"/>
        <w:jc w:val="both"/>
      </w:pPr>
      <w:r>
        <w:t xml:space="preserve">Wirth, R. and Hipp, J. (2000) ‘CRISP-DM: towards a standard process model for data mining’, in </w:t>
      </w:r>
      <w:r>
        <w:rPr>
          <w:i/>
        </w:rPr>
        <w:t>Proceedings of the 4th International Conference on the Practical Applications of Knowledge Discovery and Data Mining</w:t>
      </w:r>
      <w:r>
        <w:t>. Manchester: Practical Application Company, pp. 29-40.</w:t>
      </w:r>
    </w:p>
    <w:p w14:paraId="221479E7">
      <w:pPr>
        <w:spacing w:before="0" w:after="120" w:line="276" w:lineRule="auto"/>
        <w:ind w:left="567" w:hanging="567"/>
        <w:jc w:val="both"/>
      </w:pPr>
      <w:r>
        <w:t xml:space="preserve">Xu, B., Wang, W., Falzon, G., Kwan, P., Guo, L., Sun, Z. and Li, C. (2020) ‘Livestock classification and counting in quadcopter aerial images using Mask R-CNN’, </w:t>
      </w:r>
      <w:r>
        <w:rPr>
          <w:i/>
        </w:rPr>
        <w:t>International Journal of Remote Sensing</w:t>
      </w:r>
      <w:r>
        <w:t>, 41(21), pp. 8121-8142.</w:t>
      </w:r>
    </w:p>
    <w:p w14:paraId="52B05356">
      <w:pPr>
        <w:spacing w:before="0" w:after="120" w:line="276" w:lineRule="auto"/>
        <w:ind w:left="567" w:hanging="567"/>
        <w:jc w:val="both"/>
      </w:pPr>
      <w:r>
        <w:t xml:space="preserve">Yosinski, J., Clune, J., Bengio, Y. and Lipson, H. (2014) ‘How transferable are features in deep neural networks?’, in </w:t>
      </w:r>
      <w:r>
        <w:rPr>
          <w:i/>
        </w:rPr>
        <w:t>Advances in Neural Information Processing Systems (NeurIPS), 27</w:t>
      </w:r>
      <w:r>
        <w:t>. Montreal: Curran Associates, pp. 3320-3328.</w:t>
      </w:r>
    </w:p>
    <w:p w14:paraId="2537A257">
      <w:pPr>
        <w:spacing w:before="0" w:after="120" w:line="276" w:lineRule="auto"/>
        <w:ind w:left="567" w:hanging="567"/>
        <w:jc w:val="both"/>
      </w:pPr>
      <w:r>
        <w:t xml:space="preserve">Zhang, L., Gray, H., Ye, X., Collins, L. and Allinson, N. (2019) ‘Automatic individual pig detection and tracking in pig farms’, </w:t>
      </w:r>
      <w:r>
        <w:rPr>
          <w:i/>
        </w:rPr>
        <w:t>Sensors</w:t>
      </w:r>
      <w:r>
        <w:t>, 19(5), 1188. DOI: 10.3390/s19051188.</w:t>
      </w:r>
    </w:p>
    <w:p w14:paraId="199275B3">
      <w:pPr>
        <w:pStyle w:val="2"/>
        <w:keepNext/>
        <w:pageBreakBefore/>
        <w:spacing w:before="360" w:after="240" w:line="276" w:lineRule="auto"/>
        <w:jc w:val="left"/>
      </w:pPr>
      <w:bookmarkStart w:id="131" w:name="_Toc145165157"/>
      <w:r>
        <w:rPr>
          <w:rFonts w:ascii="Arial" w:hAnsi="Arial" w:eastAsia="Arial" w:cs="Arial"/>
          <w:b/>
          <w:i w:val="0"/>
          <w:color w:val="000000"/>
          <w:sz w:val="32"/>
        </w:rPr>
        <w:t>Appendix A. Reproducibility and Code Availability</w:t>
      </w:r>
      <w:bookmarkEnd w:id="131"/>
    </w:p>
    <w:p w14:paraId="3188747E">
      <w:pPr>
        <w:spacing w:before="0" w:after="120" w:line="360" w:lineRule="auto"/>
        <w:jc w:val="both"/>
      </w:pPr>
      <w:r>
        <w:rPr>
          <w:rFonts w:ascii="Arial" w:hAnsi="Arial" w:eastAsia="Arial" w:cs="Arial"/>
          <w:b w:val="0"/>
          <w:i w:val="0"/>
          <w:color w:val="000000"/>
          <w:sz w:val="22"/>
        </w:rPr>
        <w:t>The full Python code for this dissertation is organised into seven Jupyter notebooks, executed in order and located in the project repository under notebooks/. Each notebook is self-contained for its phase of the pipeline:</w:t>
      </w:r>
    </w:p>
    <w:p w14:paraId="41FD2504">
      <w:pPr>
        <w:spacing w:before="0" w:after="120" w:line="360" w:lineRule="auto"/>
        <w:jc w:val="both"/>
      </w:pPr>
      <w:r>
        <w:rPr>
          <w:rFonts w:ascii="Arial" w:hAnsi="Arial" w:eastAsia="Arial" w:cs="Arial"/>
          <w:b w:val="0"/>
          <w:i w:val="0"/>
          <w:color w:val="000000"/>
          <w:sz w:val="22"/>
        </w:rPr>
        <w:t>01_data_acquisition.ipynb downloads the WAID dataset from Roboflow and the cow plus sheep subset of COCO 2017 through the fiftyone API, producing a single raw image directory of 17 759 files.</w:t>
      </w:r>
    </w:p>
    <w:p w14:paraId="45F349AA">
      <w:pPr>
        <w:spacing w:before="0" w:after="120" w:line="360" w:lineRule="auto"/>
        <w:jc w:val="both"/>
      </w:pPr>
      <w:r>
        <w:rPr>
          <w:rFonts w:ascii="Arial" w:hAnsi="Arial" w:eastAsia="Arial" w:cs="Arial"/>
          <w:b w:val="0"/>
          <w:i w:val="0"/>
          <w:color w:val="000000"/>
          <w:sz w:val="22"/>
        </w:rPr>
        <w:t>02_eda.ipynb performs descriptive statistics, normality testing, outlier detection and visual sample inspection across both source datasets.</w:t>
      </w:r>
    </w:p>
    <w:p w14:paraId="2C343E51">
      <w:pPr>
        <w:spacing w:before="0" w:after="120" w:line="360" w:lineRule="auto"/>
        <w:jc w:val="both"/>
      </w:pPr>
      <w:r>
        <w:rPr>
          <w:rFonts w:ascii="Arial" w:hAnsi="Arial" w:eastAsia="Arial" w:cs="Arial"/>
          <w:b w:val="0"/>
          <w:i w:val="0"/>
          <w:color w:val="000000"/>
          <w:sz w:val="22"/>
        </w:rPr>
        <w:t>03_preprocessing.ipynb filters the merged dataset to cattle and sheep, performs the stratified 70 to 15 to 15 split, extracts 51 320 single-animal crops and writes auto-generated subgroup labels for lighting and occlusion.</w:t>
      </w:r>
    </w:p>
    <w:p w14:paraId="5F8DF8CC">
      <w:pPr>
        <w:spacing w:before="0" w:after="120" w:line="360" w:lineRule="auto"/>
        <w:jc w:val="both"/>
      </w:pPr>
      <w:r>
        <w:rPr>
          <w:rFonts w:ascii="Arial" w:hAnsi="Arial" w:eastAsia="Arial" w:cs="Arial"/>
          <w:b w:val="0"/>
          <w:i w:val="0"/>
          <w:color w:val="000000"/>
          <w:sz w:val="22"/>
        </w:rPr>
        <w:t>04_custom_cnn_baseline.ipynb defines the custom CNN architecture, runs an Optuna search of 15 trials on a representative subset, performs the final 25-epoch training run with early stopping and evaluates on the held-out test split.</w:t>
      </w:r>
    </w:p>
    <w:p w14:paraId="1A8FBD75">
      <w:pPr>
        <w:spacing w:before="0" w:after="120" w:line="360" w:lineRule="auto"/>
        <w:jc w:val="both"/>
      </w:pPr>
      <w:r>
        <w:rPr>
          <w:rFonts w:ascii="Arial" w:hAnsi="Arial" w:eastAsia="Arial" w:cs="Arial"/>
          <w:b w:val="0"/>
          <w:i w:val="0"/>
          <w:color w:val="000000"/>
          <w:sz w:val="22"/>
        </w:rPr>
        <w:t>05_transfer_learning.ipynb applies the same hyperparameter search and final training procedure to ResNet50, VGG16 and MobileNetV2 in a feature-extraction configuration.</w:t>
      </w:r>
    </w:p>
    <w:p w14:paraId="241B506C">
      <w:pPr>
        <w:spacing w:before="0" w:after="120" w:line="360" w:lineRule="auto"/>
        <w:jc w:val="both"/>
      </w:pPr>
      <w:r>
        <w:rPr>
          <w:rFonts w:ascii="Arial" w:hAnsi="Arial" w:eastAsia="Arial" w:cs="Arial"/>
          <w:b w:val="0"/>
          <w:i w:val="0"/>
          <w:color w:val="000000"/>
          <w:sz w:val="22"/>
        </w:rPr>
        <w:t>06_yolov8_detection.ipynb trains YOLOv8n on the same image-level split for 30 epochs and computes detection and counting metrics on the test images.</w:t>
      </w:r>
    </w:p>
    <w:p w14:paraId="2BB886F2">
      <w:pPr>
        <w:spacing w:before="0" w:after="120" w:line="360" w:lineRule="auto"/>
        <w:jc w:val="both"/>
      </w:pPr>
      <w:r>
        <w:rPr>
          <w:rFonts w:ascii="Arial" w:hAnsi="Arial" w:eastAsia="Arial" w:cs="Arial"/>
          <w:b w:val="0"/>
          <w:i w:val="0"/>
          <w:color w:val="000000"/>
          <w:sz w:val="22"/>
        </w:rPr>
        <w:t>07_comparative_analysis.ipynb consolidates the test-set predictions of all five models, runs the McNemar pairwise tests, generates the per-subgroup heatmaps and produces the figures used in this report.</w:t>
      </w:r>
    </w:p>
    <w:p w14:paraId="445EE723">
      <w:pPr>
        <w:spacing w:before="0" w:after="120" w:line="360" w:lineRule="auto"/>
        <w:jc w:val="both"/>
      </w:pPr>
      <w:r>
        <w:rPr>
          <w:rFonts w:ascii="Arial" w:hAnsi="Arial" w:eastAsia="Arial" w:cs="Arial"/>
          <w:b w:val="0"/>
          <w:i w:val="0"/>
          <w:color w:val="000000"/>
          <w:sz w:val="22"/>
        </w:rPr>
        <w:t>A fixed random seed of 42 is configured in src/config.py and is propagated to PyTorch, NumPy and Python's random module. The conda environment used for development is described in requirements.txt and was based on Python 3.11.11 with PyTorch 2.11 on the MPS backend. The YOLOv8 training was executed on a Kaggle Tesla T4 instance because the version of Ultralytics in use raised a tensor-size mismatch error inside the TaskAlignedAssigner module on MPS at the time of writing.</w:t>
      </w:r>
    </w:p>
    <w:p w14:paraId="09846CB2">
      <w:pPr>
        <w:spacing w:before="0" w:after="120" w:line="360" w:lineRule="auto"/>
        <w:jc w:val="both"/>
      </w:pPr>
      <w:r>
        <w:rPr>
          <w:rFonts w:ascii="Arial" w:hAnsi="Arial" w:eastAsia="Arial" w:cs="Arial"/>
          <w:b w:val="0"/>
          <w:i w:val="0"/>
          <w:color w:val="000000"/>
          <w:sz w:val="22"/>
        </w:rPr>
        <w:t>The trained model weights and the Optuna study databases are not stored in the repository because of file size, but the notebooks recreate them in deterministic fashion when re-executed. Re-execution of the full pipeline takes approximately three to four hours on the development machine, plus around one hour for YOLOv8 training on the Kaggle GPU.</w:t>
      </w:r>
    </w:p>
    <w:p w14:paraId="5B9276C0">
      <w:pPr>
        <w:pStyle w:val="2"/>
        <w:keepNext/>
        <w:pageBreakBefore/>
        <w:spacing w:before="360" w:after="240" w:line="276" w:lineRule="auto"/>
        <w:jc w:val="left"/>
      </w:pPr>
      <w:bookmarkStart w:id="132" w:name="_Toc249370707"/>
      <w:r>
        <w:rPr>
          <w:rFonts w:ascii="Arial" w:hAnsi="Arial" w:eastAsia="Arial" w:cs="Arial"/>
          <w:b/>
          <w:i w:val="0"/>
          <w:color w:val="000000"/>
          <w:sz w:val="32"/>
        </w:rPr>
        <w:t>Appendix B. Dataset Licences and Terms of Use</w:t>
      </w:r>
      <w:bookmarkEnd w:id="132"/>
    </w:p>
    <w:p w14:paraId="7446A7D5">
      <w:pPr>
        <w:spacing w:before="0" w:after="120" w:line="360" w:lineRule="auto"/>
        <w:jc w:val="both"/>
      </w:pPr>
      <w:r>
        <w:rPr>
          <w:rFonts w:ascii="Arial" w:hAnsi="Arial" w:eastAsia="Arial" w:cs="Arial"/>
          <w:b w:val="0"/>
          <w:i w:val="0"/>
          <w:color w:val="000000"/>
          <w:sz w:val="22"/>
        </w:rPr>
        <w:t>WAID. The Wildlife Animal Image Dataset was obtained through the Roboflow Universe under a Creative Commons Attribution 4.0 licence at the time of acquisition. The dataset was downloaded as a YOLOv5-format export and used solely for academic research. Attribution to the original WAID authors is provided in the bibliography.</w:t>
      </w:r>
    </w:p>
    <w:p w14:paraId="1325D8E7">
      <w:pPr>
        <w:spacing w:before="0" w:after="120" w:line="360" w:lineRule="auto"/>
        <w:jc w:val="both"/>
      </w:pPr>
      <w:r>
        <w:rPr>
          <w:rFonts w:ascii="Arial" w:hAnsi="Arial" w:eastAsia="Arial" w:cs="Arial"/>
          <w:b w:val="0"/>
          <w:i w:val="0"/>
          <w:color w:val="000000"/>
          <w:sz w:val="22"/>
        </w:rPr>
        <w:t>COCO 2017. The Common Objects in Context dataset is distributed under the Creative Commons Attribution 4.0 licence for the annotations and is composed of images carrying a Flickr Terms of Use statement. The cow and sheep subset used here was downloaded through fiftyone's COCO downloader, which respects the original licence terms.</w:t>
      </w:r>
    </w:p>
    <w:p w14:paraId="5EB6E286">
      <w:pPr>
        <w:spacing w:before="0" w:after="120" w:line="360" w:lineRule="auto"/>
        <w:jc w:val="both"/>
      </w:pPr>
      <w:r>
        <w:rPr>
          <w:rFonts w:ascii="Arial" w:hAnsi="Arial" w:eastAsia="Arial" w:cs="Arial"/>
          <w:b w:val="0"/>
          <w:i w:val="0"/>
          <w:color w:val="000000"/>
          <w:sz w:val="22"/>
        </w:rPr>
        <w:t>No personally identifiable information of human individuals appears in the images used by this study, and no images were re-published outside the protected academic context of this dissertation.</w:t>
      </w:r>
    </w:p>
    <w:p w14:paraId="6B509DE9">
      <w:pPr>
        <w:pStyle w:val="2"/>
        <w:keepNext/>
        <w:pageBreakBefore/>
        <w:spacing w:before="360" w:after="240" w:line="276" w:lineRule="auto"/>
        <w:jc w:val="left"/>
      </w:pPr>
      <w:bookmarkStart w:id="133" w:name="_Toc1432877252"/>
      <w:bookmarkEnd w:id="133"/>
      <w:r>
        <w:t>Appendix C. Hyperparameter Search Spaces and Training Configurations</w:t>
      </w:r>
    </w:p>
    <w:p w14:paraId="6B4D51D8">
      <w:pPr>
        <w:pStyle w:val="3"/>
      </w:pPr>
      <w:r>
        <w:t>C.1 Custom CNN hyperparameter search space</w:t>
      </w:r>
    </w:p>
    <w:p w14:paraId="1E947ADD">
      <w:pPr>
        <w:spacing w:before="0" w:after="120" w:line="360" w:lineRule="auto"/>
        <w:jc w:val="both"/>
      </w:pPr>
      <w:r>
        <w:rPr>
          <w:rFonts w:ascii="Arial" w:hAnsi="Arial" w:eastAsia="Arial" w:cs="Arial"/>
          <w:b w:val="0"/>
          <w:i w:val="0"/>
          <w:color w:val="000000"/>
          <w:sz w:val="22"/>
        </w:rPr>
        <w:t>For the custom CNN, the Optuna study sampled n_conv_blocks from {2, 3, 4}, base_channels from {32, 64, 128}, kernel_size from {3, 5, 7}, activation from {relu, elu, swish}, dropout uniformly from 0.0 to 0.5, learning rate log-uniform from 1e-5 to 1e-2, batch_size from {16, 32, 64} and optimizer from {adam, adamw, sgd}. The TPE sampler was used and the objective was validation accuracy after five epochs on a 5 000 to 1 000 train-validation subset.</w:t>
      </w:r>
    </w:p>
    <w:p w14:paraId="2C169D09">
      <w:pPr>
        <w:pStyle w:val="3"/>
      </w:pPr>
      <w:r>
        <w:t>C.2 Data augmentation pipeline</w:t>
      </w:r>
    </w:p>
    <w:p w14:paraId="592F767C">
      <w:r>
        <w:t>The training augmentation pipeline applied RandomHorizontalFlip with probability 0.5, RandomRotation up to 15 degrees, and ColorJitter on brightness, contrast, and saturation. Validation and test received only resize plus normalise. The choice of augmentations is grounded in real-world drone imaging conditions: a UAV banking left or right effectively mirrors the scene, slight rotation simulates yaw drift, and colour jitter approximates the variation between morning, midday, and overcast captures. I avoided more aggressive augmentations such as random crops or affine shears because the crops are already tight around the animal and further cropping risked truncating the subject. Shorten and Khoshgoftaar (2019) show that the lighter end of geometric and colour augmentation is usually enough on natural-image classification.</w:t>
      </w:r>
    </w:p>
    <w:p w14:paraId="49362F14">
      <w:pPr>
        <w:pStyle w:val="3"/>
      </w:pPr>
      <w:r>
        <w:t>C.3 Optuna search procedure for the custom CNN</w:t>
      </w:r>
    </w:p>
    <w:p w14:paraId="4D4F121C">
      <w:r>
        <w:t>I ran 15 Optuna trials (Akiba et al., 2019) using the TPE sampler. Each trial trained for five epochs on a stratified subset of 5 000 training crops and 1 000 validation crops, which kept search time within the M-series budget. The search space is documented in Table 1. The best trial returned a validation accuracy of 0.923; the top five trials all sat between 0.920 and 0.923, which means the search had converged into a stable region rather than getting lucky on a single configuration. Bergstra and Bengio (2012) make the case that a low-budget Bayesian search beats grid search at this scale, and the relatively tight clustering of top-five trials supports that.</w:t>
      </w:r>
    </w:p>
    <w:p w14:paraId="735EE2C4">
      <w:pPr>
        <w:pStyle w:val="3"/>
      </w:pPr>
      <w:r>
        <w:t>C.4 YOLOv8n training configuration</w:t>
      </w:r>
    </w:p>
    <w:p w14:paraId="62702CA9">
      <w:r>
        <w:t>YOLOv8n has 130 layers, 3 011 238 parameters, and 8.2 GFLOPs at inference. Training ran for 30 epochs with batch size 32, image size 640, automatic optimiser selection (which resolved to SGD), initial learning rate 0.01, and patience 6 for early stopping. I trained on a Tesla T4 via Kaggle rather than my local Apple MPS environment because the Ultralytics implementation on MPS hits a known tensor-size-mismatch bug in the TaskAlignedAssigner module. I documented the workaround in the project notebooks.</w:t>
      </w:r>
    </w:p>
    <w:p w14:paraId="61A9B758">
      <w:pPr>
        <w:pStyle w:val="3"/>
      </w:pPr>
      <w:r>
        <w:t>C.5 Transfer-learning hyperparameter search space</w:t>
      </w:r>
    </w:p>
    <w:p w14:paraId="1DF5E9C4">
      <w:pPr>
        <w:spacing w:before="0" w:after="120" w:line="360" w:lineRule="auto"/>
        <w:jc w:val="both"/>
      </w:pPr>
      <w:r>
        <w:rPr>
          <w:rFonts w:ascii="Arial" w:hAnsi="Arial" w:eastAsia="Arial" w:cs="Arial"/>
          <w:b w:val="0"/>
          <w:i w:val="0"/>
          <w:color w:val="000000"/>
          <w:sz w:val="22"/>
        </w:rPr>
        <w:t>For the three transfer-learning models, the search space was reduced to the four most influential hyperparameters identified for the baseline: learning rate log-uniform 1e-5 to 1e-2, weight decay log-uniform 1e-6 to 1e-3, dropout uniform 0.0 to 0.3, batch size from {16, 32, 64} and optimizer from {adam, adamw}. Six trials were used for each model, again on a 3 000 to 600 subset for three epochs per trial.</w:t>
      </w:r>
    </w:p>
    <w:p w14:paraId="44F50960">
      <w:pPr>
        <w:pStyle w:val="2"/>
        <w:keepNext/>
        <w:pageBreakBefore/>
        <w:spacing w:before="360" w:after="240" w:line="276" w:lineRule="auto"/>
        <w:jc w:val="left"/>
      </w:pPr>
      <w:bookmarkStart w:id="134" w:name="_Toc486356906"/>
      <w:r>
        <w:rPr>
          <w:rFonts w:ascii="Arial" w:hAnsi="Arial" w:eastAsia="Arial" w:cs="Arial"/>
          <w:b/>
          <w:i w:val="0"/>
          <w:color w:val="000000"/>
          <w:sz w:val="32"/>
        </w:rPr>
        <w:t>Appendix D. Per-Notebook Output Summary</w:t>
      </w:r>
      <w:bookmarkEnd w:id="134"/>
    </w:p>
    <w:p w14:paraId="08B860A7">
      <w:pPr>
        <w:spacing w:before="0" w:after="120" w:line="360" w:lineRule="auto"/>
        <w:jc w:val="both"/>
      </w:pPr>
      <w:r>
        <w:rPr>
          <w:rFonts w:ascii="Arial" w:hAnsi="Arial" w:eastAsia="Arial" w:cs="Arial"/>
          <w:b w:val="0"/>
          <w:i w:val="0"/>
          <w:color w:val="000000"/>
          <w:sz w:val="22"/>
        </w:rPr>
        <w:t>The following confirmation summarises that each notebook produced the artefacts referenced in the main body. The training run logs and final test outputs of every notebook were saved to disk and embedded as Jupyter outputs in the .ipynb files at the moment of final execution. The model weight files and Optuna SQLite databases were retained in the runs/ directory during development and can be regenerated by re-running the corresponding notebook.</w:t>
      </w:r>
    </w:p>
    <w:sectPr>
      <w:footerReference r:id="rId6" w:type="default"/>
      <w:pgSz w:w="11906" w:h="16838"/>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05093">
    <w:pPr>
      <w:pStyle w:val="18"/>
      <w:jc w:val="center"/>
    </w:pPr>
    <w:r>
      <w:rPr>
        <w:rFonts w:ascii="Arial" w:hAnsi="Arial" w:eastAsia="Arial" w:cs="Arial"/>
        <w:b w:val="0"/>
        <w:i w:val="0"/>
        <w:color w:val="000000"/>
        <w:sz w:val="20"/>
      </w:rPr>
      <w:fldChar w:fldCharType="begin"/>
    </w:r>
    <w:r>
      <w:rPr>
        <w:rFonts w:ascii="Arial" w:hAnsi="Arial" w:eastAsia="Arial" w:cs="Arial"/>
        <w:b w:val="0"/>
        <w:i w:val="0"/>
        <w:color w:val="000000"/>
        <w:sz w:val="20"/>
      </w:rPr>
      <w:instrText xml:space="preserve"> PAGE   \* MERGEFORMAT </w:instrText>
    </w:r>
    <w:r>
      <w:rPr>
        <w:rFonts w:ascii="Arial" w:hAnsi="Arial" w:eastAsia="Arial" w:cs="Arial"/>
        <w:b w:val="0"/>
        <w:i w:val="0"/>
        <w:color w:val="000000"/>
        <w:sz w:val="20"/>
      </w:rPr>
      <w:fldChar w:fldCharType="separate"/>
    </w:r>
    <w:r>
      <w:rPr>
        <w:rFonts w:ascii="Arial" w:hAnsi="Arial" w:eastAsia="Arial" w:cs="Arial"/>
        <w:b w:val="0"/>
        <w:i w:val="0"/>
        <w:color w:val="000000"/>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3FE5B">
    <w:pPr>
      <w:pStyle w:val="18"/>
      <w:jc w:val="center"/>
    </w:pPr>
    <w:r>
      <w:rPr>
        <w:rFonts w:ascii="Arial" w:hAnsi="Arial" w:eastAsia="Arial" w:cs="Arial"/>
        <w:b w:val="0"/>
        <w:i w:val="0"/>
        <w:color w:val="000000"/>
        <w:sz w:val="20"/>
      </w:rPr>
      <w:fldChar w:fldCharType="begin"/>
    </w:r>
    <w:r>
      <w:rPr>
        <w:rFonts w:ascii="Arial" w:hAnsi="Arial" w:eastAsia="Arial" w:cs="Arial"/>
        <w:b w:val="0"/>
        <w:i w:val="0"/>
        <w:color w:val="000000"/>
        <w:sz w:val="20"/>
      </w:rPr>
      <w:instrText xml:space="preserve"> PAGE   \* MERGEFORMAT </w:instrText>
    </w:r>
    <w:r>
      <w:rPr>
        <w:rFonts w:ascii="Arial" w:hAnsi="Arial" w:eastAsia="Arial" w:cs="Arial"/>
        <w:b w:val="0"/>
        <w:i w:val="0"/>
        <w:color w:val="000000"/>
        <w:sz w:val="20"/>
      </w:rPr>
      <w:fldChar w:fldCharType="separate"/>
    </w:r>
    <w:r>
      <w:rPr>
        <w:rFonts w:ascii="Arial" w:hAnsi="Arial" w:eastAsia="Arial" w:cs="Arial"/>
        <w:b w:val="0"/>
        <w:i w:val="0"/>
        <w:color w:val="00000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FE311D"/>
    <w:rsid w:val="7EFBA748"/>
    <w:rsid w:val="DF7BA474"/>
    <w:rsid w:val="EFF3382E"/>
    <w:rsid w:val="F9325A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Arial" w:hAnsi="Arial" w:eastAsia="Arial" w:cs="Arial"/>
      <w:color w:val="000000"/>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Arial" w:hAnsi="Arial" w:cs="Arial"/>
      <w:color w:val="000000"/>
      <w:sz w:val="18"/>
      <w:szCs w:val="18"/>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rFonts w:ascii="Arial" w:hAnsi="Arial" w:cs="Arial"/>
      <w:color w:val="000000"/>
      <w:sz w:val="18"/>
      <w:szCs w:val="18"/>
    </w:rPr>
  </w:style>
  <w:style w:type="character" w:customStyle="1" w:styleId="160">
    <w:name w:val="Intense Quote Char"/>
    <w:basedOn w:val="11"/>
    <w:link w:val="159"/>
    <w:uiPriority w:val="30"/>
    <w:rPr>
      <w:color w:val="000000"/>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115</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2013-12-22T07:15:00Z</dcterms:created>
  <dc:creator>python-docx</dc:creator>
  <dc:description>generated by python-docx</dc:description>
  <cp:lastModifiedBy>Антон Иванов</cp:lastModifiedBy>
  <dcterms:modified xsi:type="dcterms:W3CDTF">2026-05-04T04:04:36Z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8B370C38DA038471B05BF469B0C97EEA_42</vt:lpwstr>
  </property>
</Properties>
</file>