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Proyecto GuramaOnline                                                                          Fecha: Agosto 2026</w:t>
      </w:r>
    </w:p>
    <w:p w:rsidR="00000000" w:rsidDel="00000000" w:rsidP="00000000" w:rsidRDefault="00000000" w:rsidRPr="00000000" w14:paraId="00000002">
      <w:pPr>
        <w:spacing w:after="240" w:before="240" w:lineRule="auto"/>
        <w:jc w:val="center"/>
        <w:rPr>
          <w:b w:val="1"/>
          <w:bCs w:val="1"/>
          <w:sz w:val="30"/>
          <w:szCs w:val="30"/>
        </w:rPr>
      </w:pPr>
      <w:r w:rsidDel="00000000" w:rsidR="00000000" w:rsidRPr="00000000">
        <w:rPr>
          <w:rtl w:val="0"/>
        </w:rPr>
      </w:r>
    </w:p>
    <w:p w:rsidR="00000000" w:rsidDel="00000000" w:rsidP="00000000" w:rsidRDefault="00000000" w:rsidRPr="00000000" w14:paraId="00000003">
      <w:pPr>
        <w:spacing w:after="240" w:before="240" w:lineRule="auto"/>
        <w:jc w:val="center"/>
        <w:rPr>
          <w:b w:val="1"/>
          <w:bCs w:val="1"/>
          <w:sz w:val="30"/>
          <w:szCs w:val="30"/>
        </w:rPr>
      </w:pPr>
      <w:r w:rsidDel="00000000" w:rsidR="00000000" w:rsidRPr="00000000">
        <w:rPr>
          <w:b w:val="1"/>
          <w:bCs w:val="1"/>
          <w:sz w:val="30"/>
          <w:szCs w:val="30"/>
          <w:rtl w:val="0"/>
        </w:rPr>
        <w:t xml:space="preserve">INFORME DE VERIFICACIÓN </w:t>
      </w:r>
    </w:p>
    <w:p w:rsidR="00000000" w:rsidDel="00000000" w:rsidP="00000000" w:rsidRDefault="00000000" w:rsidRPr="00000000" w14:paraId="00000004">
      <w:pPr>
        <w:spacing w:after="240" w:before="240" w:lineRule="auto"/>
        <w:rPr>
          <w:b w:val="1"/>
          <w:bCs w:val="1"/>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sz w:val="24"/>
          <w:szCs w:val="24"/>
          <w:rtl w:val="0"/>
        </w:rPr>
        <w:t xml:space="preserve">Objetivo</w:t>
      </w:r>
      <w:r w:rsidDel="00000000" w:rsidR="00000000" w:rsidRPr="00000000">
        <w:rPr>
          <w:b w:val="1"/>
          <w:bCs w:val="1"/>
          <w:rtl w:val="0"/>
        </w:rPr>
        <w:br w:type="textWrapping"/>
      </w:r>
      <w:r w:rsidDel="00000000" w:rsidR="00000000" w:rsidRPr="00000000">
        <w:rPr>
          <w:rtl w:val="0"/>
        </w:rPr>
        <w:t xml:space="preserve"> Verificar el nivel de completitud de la documentación de análisis de cada Requerimiento Funcional (RF) del proyecto Gurama Online, con el fin de determinar cuáles requerimientos cuentan con la información necesaria (entradas, salidas, precondiciones, postcondiciones, flujos y casos de prueba asociados) para iniciar la fase de ejecución de pruebas.</w:t>
      </w:r>
    </w:p>
    <w:p w:rsidR="00000000" w:rsidDel="00000000" w:rsidP="00000000" w:rsidRDefault="00000000" w:rsidRPr="00000000" w14:paraId="00000006">
      <w:pPr>
        <w:spacing w:after="240" w:before="240" w:lineRule="auto"/>
        <w:rPr/>
      </w:pPr>
      <w:r w:rsidDel="00000000" w:rsidR="00000000" w:rsidRPr="00000000">
        <w:rPr>
          <w:b w:val="1"/>
          <w:bCs w:val="1"/>
          <w:sz w:val="24"/>
          <w:szCs w:val="24"/>
          <w:rtl w:val="0"/>
        </w:rPr>
        <w:t xml:space="preserve">Metodología de verificación</w:t>
      </w:r>
      <w:r w:rsidDel="00000000" w:rsidR="00000000" w:rsidRPr="00000000">
        <w:rPr>
          <w:b w:val="1"/>
          <w:bCs w:val="1"/>
          <w:rtl w:val="0"/>
        </w:rPr>
        <w:br w:type="textWrapping"/>
      </w:r>
      <w:r w:rsidDel="00000000" w:rsidR="00000000" w:rsidRPr="00000000">
        <w:rPr>
          <w:rtl w:val="0"/>
        </w:rPr>
        <w:t xml:space="preserve"> Para cada RF se verificó la presencia de los siguientes elementos, tomando como fuente la matriz de requerimientos y los documentos de Historias de Usuario / Casos de Uso Extendido del proyecto: Entradas y Salidas; Precondiciones y Postcondiciones; Flujo Principal (FP) y Flujo Alternativo (FA); Criterios de Aceptación (CA); Reglas de Negocio (RN); y Casos de Prueba (CP) asociados.</w:t>
      </w:r>
    </w:p>
    <w:p w:rsidR="00000000" w:rsidDel="00000000" w:rsidP="00000000" w:rsidRDefault="00000000" w:rsidRPr="00000000" w14:paraId="00000007">
      <w:pPr>
        <w:spacing w:after="240" w:before="240" w:lineRule="auto"/>
        <w:rPr/>
      </w:pPr>
      <w:r w:rsidDel="00000000" w:rsidR="00000000" w:rsidRPr="00000000">
        <w:rPr>
          <w:rtl w:val="0"/>
        </w:rPr>
        <w:t xml:space="preserve">Un RF se considera "Completo" únicamente cuando todos los elementos anteriores están documentados. Los ítems descriptivos (entradas, salidas, flujos, CA, RN) se verifican como presentes/ausentes; el campo de Casos de Prueba (CP) se registra con el identificador real de cada caso, dado que constituye el enlace de trazabilidad hacia el documento de Plan de Pruebas.</w:t>
      </w:r>
    </w:p>
    <w:p w:rsidR="00000000" w:rsidDel="00000000" w:rsidP="00000000" w:rsidRDefault="00000000" w:rsidRPr="00000000" w14:paraId="00000008">
      <w:pPr>
        <w:spacing w:after="240" w:before="240" w:lineRule="auto"/>
        <w:rPr/>
      </w:pPr>
      <w:r w:rsidDel="00000000" w:rsidR="00000000" w:rsidRPr="00000000">
        <w:rPr>
          <w:b w:val="1"/>
          <w:bCs w:val="1"/>
          <w:sz w:val="24"/>
          <w:szCs w:val="24"/>
          <w:rtl w:val="0"/>
        </w:rPr>
        <w:t xml:space="preserve">Resultado general</w:t>
      </w:r>
      <w:r w:rsidDel="00000000" w:rsidR="00000000" w:rsidRPr="00000000">
        <w:rPr>
          <w:b w:val="1"/>
          <w:bCs w:val="1"/>
          <w:rtl w:val="0"/>
        </w:rPr>
        <w:br w:type="textWrapping"/>
      </w:r>
      <w:r w:rsidDel="00000000" w:rsidR="00000000" w:rsidRPr="00000000">
        <w:rPr>
          <w:rtl w:val="0"/>
        </w:rPr>
        <w:t xml:space="preserve"> Se verificaron 38 Requerimientos Funcionales distribuidos en 9 módulos (EP). 38 de 38 RF (100 %) se encuentran completos y están listos para pasar a la fase de ejecución de pruebas. No hay RF pendientes.</w:t>
      </w:r>
    </w:p>
    <w:p w:rsidR="00000000" w:rsidDel="00000000" w:rsidP="00000000" w:rsidRDefault="00000000" w:rsidRPr="00000000" w14:paraId="00000009">
      <w:pPr>
        <w:spacing w:after="240" w:before="240" w:lineRule="auto"/>
        <w:rPr/>
      </w:pPr>
      <w:r w:rsidDel="00000000" w:rsidR="00000000" w:rsidRPr="00000000">
        <w:rPr>
          <w:rtl w:val="0"/>
        </w:rPr>
        <w:t xml:space="preserve">Distribución por prioridad: 22 RF de prioridad Alta, 15 RF de prioridad Media y 1 RF de prioridad Baja.</w:t>
      </w:r>
    </w:p>
    <w:p w:rsidR="00000000" w:rsidDel="00000000" w:rsidP="00000000" w:rsidRDefault="00000000" w:rsidRPr="00000000" w14:paraId="0000000A">
      <w:pPr>
        <w:spacing w:after="240" w:before="240" w:lineRule="auto"/>
        <w:rPr/>
      </w:pPr>
      <w:r w:rsidDel="00000000" w:rsidR="00000000" w:rsidRPr="00000000">
        <w:rPr>
          <w:b w:val="1"/>
          <w:bCs w:val="1"/>
          <w:sz w:val="24"/>
          <w:szCs w:val="24"/>
          <w:rtl w:val="0"/>
        </w:rPr>
        <w:t xml:space="preserve">Resultado por módulo (EP)</w:t>
      </w:r>
      <w:r w:rsidDel="00000000" w:rsidR="00000000" w:rsidRPr="00000000">
        <w:rPr>
          <w:b w:val="1"/>
          <w:bCs w:val="1"/>
          <w:rtl w:val="0"/>
        </w:rPr>
        <w:br w:type="textWrapping"/>
      </w:r>
      <w:r w:rsidDel="00000000" w:rsidR="00000000" w:rsidRPr="00000000">
        <w:rPr>
          <w:rtl w:val="0"/>
        </w:rPr>
        <w:t xml:space="preserve"> EP-001, Gestión de usuarios: 8 RF (7 Alta, 1 Media, 0 Baja).</w:t>
        <w:br w:type="textWrapping"/>
        <w:t xml:space="preserve"> EP-002, Gestión de Productos: 5 RF (3 Alta, 2 Media, 0 Baja).</w:t>
        <w:br w:type="textWrapping"/>
        <w:t xml:space="preserve"> EP-003, Gestión de inventario: 4 RF (3 Alta, 1 Media, 0 Baja).</w:t>
        <w:br w:type="textWrapping"/>
        <w:t xml:space="preserve"> EP-004, Gestión de Materiales de Personalización: 4 RF (0 Alta, 4 Media, 0 Baja).</w:t>
        <w:br w:type="textWrapping"/>
        <w:t xml:space="preserve"> EP-005, Gestión Personalización de producto: 2 RF (2 Alta, 0 Media, 0 Baja).</w:t>
        <w:br w:type="textWrapping"/>
        <w:t xml:space="preserve"> EP-006, Gestión de carrito: 5 RF (1 Alta, 3 Media, 1 Baja).</w:t>
        <w:br w:type="textWrapping"/>
        <w:t xml:space="preserve"> EP-007, Gestión de pedidos: 3 RF (2 Alta, 1 Media, 0 Baja).</w:t>
        <w:br w:type="textWrapping"/>
        <w:t xml:space="preserve"> EP-008, Gestión de Pagos y Tickets: 4 RF (3 Alta, 1 Media, 0 Baja).</w:t>
        <w:br w:type="textWrapping"/>
        <w:t xml:space="preserve"> EP-009, Gestión de Historial y Reportes: 3 RF (1 Alta, 2 Media, 0 Baja).</w:t>
      </w:r>
    </w:p>
    <w:p w:rsidR="00000000" w:rsidDel="00000000" w:rsidP="00000000" w:rsidRDefault="00000000" w:rsidRPr="00000000" w14:paraId="0000000B">
      <w:pPr>
        <w:spacing w:after="240" w:before="240" w:lineRule="auto"/>
        <w:rPr/>
      </w:pPr>
      <w:r w:rsidDel="00000000" w:rsidR="00000000" w:rsidRPr="00000000">
        <w:rPr>
          <w:b w:val="1"/>
          <w:bCs w:val="1"/>
          <w:sz w:val="24"/>
          <w:szCs w:val="24"/>
          <w:rtl w:val="0"/>
        </w:rPr>
        <w:t xml:space="preserve">Observaciones y riesgos identificados</w:t>
      </w:r>
      <w:r w:rsidDel="00000000" w:rsidR="00000000" w:rsidRPr="00000000">
        <w:rPr>
          <w:b w:val="1"/>
          <w:bCs w:val="1"/>
          <w:rtl w:val="0"/>
        </w:rPr>
        <w:br w:type="textWrapping"/>
      </w:r>
      <w:r w:rsidDel="00000000" w:rsidR="00000000" w:rsidRPr="00000000">
        <w:rPr>
          <w:rtl w:val="0"/>
        </w:rPr>
        <w:t xml:space="preserve"> Aunque todos los RF cumplen el criterio de completitud documental, la verificación identificó los siguientes puntos que se recomienda revisar antes o durante la ejecución de pruebas:</w:t>
      </w:r>
    </w:p>
    <w:p w:rsidR="00000000" w:rsidDel="00000000" w:rsidP="00000000" w:rsidRDefault="00000000" w:rsidRPr="00000000" w14:paraId="0000000C">
      <w:pPr>
        <w:spacing w:after="240" w:before="240" w:lineRule="auto"/>
        <w:rPr/>
      </w:pPr>
      <w:r w:rsidDel="00000000" w:rsidR="00000000" w:rsidRPr="00000000">
        <w:rPr>
          <w:rtl w:val="0"/>
        </w:rPr>
        <w:t xml:space="preserve">RF-001.1 (Gestión de usuarios): se sugiere agregar un caso de prueba adicional para validar que el sistema impida el registro con un correo electrónico ya existente en la base de datos.</w:t>
      </w:r>
    </w:p>
    <w:p w:rsidR="00000000" w:rsidDel="00000000" w:rsidP="00000000" w:rsidRDefault="00000000" w:rsidRPr="00000000" w14:paraId="0000000D">
      <w:pPr>
        <w:spacing w:after="240" w:before="240" w:lineRule="auto"/>
        <w:rPr/>
      </w:pPr>
      <w:r w:rsidDel="00000000" w:rsidR="00000000" w:rsidRPr="00000000">
        <w:rPr>
          <w:rtl w:val="0"/>
        </w:rPr>
        <w:t xml:space="preserve">RF-008.2 (Gestión de Pagos y Tickets): es posible que del requerimiento se desprendan más casos de prueba de los actualmente definidos; se recomienda revisar con el equipo antes de la ejecución.</w:t>
      </w:r>
    </w:p>
    <w:p w:rsidR="00000000" w:rsidDel="00000000" w:rsidP="00000000" w:rsidRDefault="00000000" w:rsidRPr="00000000" w14:paraId="0000000E">
      <w:pPr>
        <w:spacing w:after="240" w:before="240" w:lineRule="auto"/>
        <w:rPr/>
      </w:pPr>
      <w:r w:rsidDel="00000000" w:rsidR="00000000" w:rsidRPr="00000000">
        <w:rPr>
          <w:rtl w:val="0"/>
        </w:rPr>
        <w:t xml:space="preserve">RF-008.3 (Gestión de Pagos y Tickets): mismo caso que RF-008.2, el requerimiento podría necesitar casos de prueba adicionales a los ya registrados.</w:t>
      </w:r>
    </w:p>
    <w:p w:rsidR="00000000" w:rsidDel="00000000" w:rsidP="00000000" w:rsidRDefault="00000000" w:rsidRPr="00000000" w14:paraId="0000000F">
      <w:pPr>
        <w:spacing w:after="240" w:before="240" w:lineRule="auto"/>
        <w:rPr/>
      </w:pPr>
      <w:r w:rsidDel="00000000" w:rsidR="00000000" w:rsidRPr="00000000">
        <w:rPr>
          <w:b w:val="1"/>
          <w:bCs w:val="1"/>
          <w:sz w:val="24"/>
          <w:szCs w:val="24"/>
          <w:rtl w:val="0"/>
        </w:rPr>
        <w:t xml:space="preserve">Conclusiones</w:t>
      </w:r>
      <w:r w:rsidDel="00000000" w:rsidR="00000000" w:rsidRPr="00000000">
        <w:rPr>
          <w:b w:val="1"/>
          <w:bCs w:val="1"/>
          <w:rtl w:val="0"/>
        </w:rPr>
        <w:br w:type="textWrapping"/>
      </w:r>
      <w:r w:rsidDel="00000000" w:rsidR="00000000" w:rsidRPr="00000000">
        <w:rPr>
          <w:rtl w:val="0"/>
        </w:rPr>
        <w:t xml:space="preserve"> El 100 % de los Requerimientos Funcionales (38 de 38) cuenta con la documentación mínima necesaria (entradas, salidas, precondiciones, postcondiciones, flujos, criterios de aceptación, reglas de negocio y casos de prueba asociados). Todos los módulos (EP-001 a EP-009) están en condición de avanzar a la fase de ejecución de pruebas según lo estipulado en el Plan Maestro de Pruebas. Se identificaron 3 observaciones puntuales (RF-001.1, RF-008.2, RF-008.3) relacionadas con posibles casos de prueba adicionales; no bloquean el inicio de pruebas, pero deben quedar registradas como seguimiento.</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