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64" w:lineRule="auto"/>
        <w:jc w:val="center"/>
      </w:pPr>
      <w:r>
        <w:rPr>
          <w:rFonts w:ascii="Calibri" w:hAnsi="Calibri"/>
          <w:b/>
          <w:color w:val="2E74B5"/>
          <w:sz w:val="30"/>
        </w:rPr>
        <w:t>Submission Class Diagram</w:t>
      </w:r>
    </w:p>
    <w:p>
      <w:pPr>
        <w:spacing w:before="0" w:after="40" w:line="264" w:lineRule="auto"/>
        <w:jc w:val="center"/>
      </w:pPr>
      <w:r>
        <w:rPr>
          <w:rFonts w:ascii="Calibri" w:hAnsi="Calibri"/>
          <w:b w:val="0"/>
          <w:color w:val="5B6470"/>
          <w:sz w:val="19"/>
        </w:rPr>
        <w:t>Shelton Tool-Hire Review Portal Domain Model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43800" cy="5842265"/>
            <wp:docPr id="1" name="Picture 1" title="UML class diagram for Shelton Tool-Hire Review Portal" descr="Corrected UML class diagram showing domain entities, services, optional guest review authors, and service-owned rental cost calcula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ubmission_Class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5842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4" w:lineRule="auto"/>
        <w:jc w:val="center"/>
      </w:pPr>
      <w:r>
        <w:rPr>
          <w:rFonts w:ascii="Calibri" w:hAnsi="Calibri"/>
          <w:b w:val="0"/>
          <w:color w:val="5B6470"/>
          <w:sz w:val="17"/>
        </w:rPr>
        <w:t>Figure 1. Corrected UML class diagram for submission.</w:t>
      </w:r>
    </w:p>
    <w:p>
      <w:r>
        <w:br w:type="page"/>
      </w:r>
    </w:p>
    <w:p>
      <w:pPr>
        <w:pStyle w:val="Heading1"/>
        <w:spacing w:before="0" w:after="80" w:line="264" w:lineRule="auto"/>
      </w:pPr>
      <w:r>
        <w:rPr>
          <w:rFonts w:ascii="Calibri" w:hAnsi="Calibri"/>
          <w:b w:val="0"/>
          <w:sz w:val="22"/>
        </w:rPr>
        <w:t>Lecturer Feedback Alignment</w:t>
      </w:r>
    </w:p>
    <w:p>
      <w:pPr>
        <w:spacing w:before="0" w:after="160" w:line="264" w:lineRule="auto"/>
      </w:pPr>
      <w:r>
        <w:rPr>
          <w:rFonts w:ascii="Calibri" w:hAnsi="Calibri"/>
          <w:b w:val="0"/>
          <w:sz w:val="21"/>
        </w:rPr>
        <w:t>The diagram has been corrected so the domain model does not assign application-service responsibilities to entity classes.</w:t>
      </w:r>
    </w:p>
    <w:tbl>
      <w:tblPr>
        <w:tblW w:type="dxa" w:w="920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2700"/>
        <w:gridCol w:w="6500"/>
      </w:tblGrid>
      <w:t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/>
                <w:sz w:val="21"/>
              </w:rPr>
              <w:t>Feedback issue</w:t>
            </w:r>
          </w:p>
        </w:tc>
        <w:tc>
          <w:tcPr>
            <w:tcW w:type="dxa" w:w="6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/>
                <w:sz w:val="21"/>
              </w:rPr>
              <w:t>Submission correction</w:t>
            </w:r>
          </w:p>
        </w:tc>
      </w:tr>
      <w:t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/>
                <w:sz w:val="20"/>
              </w:rPr>
              <w:t>CalculateRentalCost was shown as a Tool operation.</w:t>
            </w:r>
          </w:p>
        </w:tc>
        <w:tc>
          <w:tcPr>
            <w:tcW w:type="dxa" w:w="6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sz w:val="20"/>
              </w:rPr>
              <w:t>Removed from Tool. Rental estimation is shown in ToolService.CalculateRentalCostAsync(...), using Tool.HourlyRate, Tool.DailyRate and Tool.WeeklyRate.</w:t>
            </w:r>
          </w:p>
        </w:tc>
      </w:tr>
      <w:t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/>
                <w:sz w:val="20"/>
              </w:rPr>
              <w:t>Updating rental cost was ambiguous.</w:t>
            </w:r>
          </w:p>
        </w:tc>
        <w:tc>
          <w:tcPr>
            <w:tcW w:type="dxa" w:w="6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sz w:val="20"/>
              </w:rPr>
              <w:t>Represented as updating Tool pricing fields through ToolService.UpdateToolAsync(...) and UpdateToolRequest, not as updating a calculated rental-cost value.</w:t>
            </w:r>
          </w:p>
        </w:tc>
      </w:tr>
      <w:t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/>
                <w:sz w:val="20"/>
              </w:rPr>
              <w:t>Guest review/comment submission was not reflected correctly.</w:t>
            </w:r>
          </w:p>
        </w:tc>
        <w:tc>
          <w:tcPr>
            <w:tcW w:type="dxa" w:w="6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sz w:val="20"/>
              </w:rPr>
              <w:t>Review.UserId and ReviewComment.UserId are optional (int?) because guests can submit using name/email while registered customers can be linked to User.</w:t>
            </w:r>
          </w:p>
        </w:tc>
      </w:tr>
      <w:t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/>
                <w:sz w:val="20"/>
              </w:rPr>
              <w:t>Staff review actions were mixed with customer behaviour.</w:t>
            </w:r>
          </w:p>
        </w:tc>
        <w:tc>
          <w:tcPr>
            <w:tcW w:type="dxa" w:w="6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sz w:val="20"/>
              </w:rPr>
              <w:t>ReviewService contains moderation operations; Admin and Moderator perform approval/rejection in the use case/activity diagrams, while entities store the resulting status.</w:t>
            </w:r>
          </w:p>
        </w:tc>
      </w:tr>
      <w:t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/>
                <w:sz w:val="20"/>
              </w:rPr>
              <w:t>Company response permission needed clarity.</w:t>
            </w:r>
          </w:p>
        </w:tc>
        <w:tc>
          <w:tcPr>
            <w:tcW w:type="dxa" w:w="6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/>
                <w:b w:val="0"/>
                <w:sz w:val="20"/>
              </w:rPr>
              <w:t>CompanyResponse is linked to a staff User; accepted roles are Admin or Moderator, consistent with the implemented policy.</w:t>
            </w:r>
          </w:p>
        </w:tc>
      </w:tr>
    </w:tbl>
    <w:p>
      <w:pPr>
        <w:spacing w:before="0" w:after="80" w:line="264" w:lineRule="auto"/>
      </w:pPr>
    </w:p>
    <w:p>
      <w:pPr>
        <w:pStyle w:val="Heading2"/>
        <w:spacing w:before="0" w:after="60" w:line="264" w:lineRule="auto"/>
      </w:pPr>
      <w:r>
        <w:rPr>
          <w:rFonts w:ascii="Calibri" w:hAnsi="Calibri"/>
          <w:b w:val="0"/>
          <w:sz w:val="22"/>
        </w:rPr>
        <w:t>Submission files</w:t>
      </w:r>
    </w:p>
    <w:p>
      <w:pPr>
        <w:pStyle w:val="ListBullet"/>
        <w:spacing w:after="80" w:line="264" w:lineRule="auto"/>
      </w:pPr>
      <w:r>
        <w:rPr>
          <w:rFonts w:ascii="Calibri" w:hAnsi="Calibri"/>
          <w:sz w:val="21"/>
        </w:rPr>
        <w:t>Word document: Docs/Report/Submission_Class_Diagram.docx</w:t>
      </w:r>
    </w:p>
    <w:p>
      <w:pPr>
        <w:pStyle w:val="ListBullet"/>
        <w:spacing w:after="80" w:line="264" w:lineRule="auto"/>
      </w:pPr>
      <w:r>
        <w:rPr>
          <w:rFonts w:ascii="Calibri" w:hAnsi="Calibri"/>
          <w:sz w:val="21"/>
        </w:rPr>
        <w:t>PlantUML source: Docs/Report/UML/07_Submission_Class_Diagram.puml</w:t>
      </w:r>
    </w:p>
    <w:p>
      <w:pPr>
        <w:pStyle w:val="ListBullet"/>
        <w:spacing w:after="80" w:line="264" w:lineRule="auto"/>
      </w:pPr>
      <w:r>
        <w:rPr>
          <w:rFonts w:ascii="Calibri" w:hAnsi="Calibri"/>
          <w:sz w:val="21"/>
        </w:rPr>
        <w:t>Rendered diagram image: Docs/Report/UML/07_Submission_Class_Diagram.png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504" w:right="504" w:bottom="504" w:left="504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B6470"/>
        <w:sz w:val="17"/>
      </w:rPr>
      <w:t>Submission class diagram - corrected for lecturer feedback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color w:val="5B6470"/>
        <w:sz w:val="17"/>
      </w:rPr>
      <w:t>COMP70066 SEPP | Shelton Tool-Hire Review Portal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