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D0F53" w14:textId="4A3F7C08" w:rsidR="00FA4A4E" w:rsidRPr="00E84F70" w:rsidRDefault="000D0C64" w:rsidP="00E84F70">
      <w:pPr>
        <w:pStyle w:val="Paragrafoelenco"/>
        <w:numPr>
          <w:ilvl w:val="0"/>
          <w:numId w:val="7"/>
        </w:numPr>
        <w:rPr>
          <w:b/>
          <w:bCs/>
          <w:sz w:val="32"/>
          <w:szCs w:val="32"/>
        </w:rPr>
      </w:pPr>
      <w:r w:rsidRPr="00E84F70">
        <w:rPr>
          <w:b/>
          <w:bCs/>
          <w:sz w:val="32"/>
          <w:szCs w:val="32"/>
        </w:rPr>
        <w:t>Age-it project: report of the status</w:t>
      </w:r>
    </w:p>
    <w:p w14:paraId="0A55EADA" w14:textId="77777777" w:rsidR="00B22882" w:rsidRDefault="00B22882" w:rsidP="000D0C64">
      <w:pPr>
        <w:jc w:val="both"/>
      </w:pPr>
    </w:p>
    <w:p w14:paraId="5F25E522" w14:textId="301D8FE8" w:rsidR="00D76023" w:rsidRDefault="000D0C64" w:rsidP="000D0C64">
      <w:pPr>
        <w:jc w:val="both"/>
      </w:pPr>
      <w:r>
        <w:t>A</w:t>
      </w:r>
      <w:r w:rsidR="009F7638">
        <w:t xml:space="preserve">ccording to the aim of </w:t>
      </w:r>
      <w:r w:rsidR="009F7638" w:rsidRPr="0078293D">
        <w:rPr>
          <w:b/>
          <w:bCs/>
        </w:rPr>
        <w:t>Age-it</w:t>
      </w:r>
      <w:r w:rsidR="009F7638">
        <w:t xml:space="preserve">, </w:t>
      </w:r>
      <w:r w:rsidR="00650F39">
        <w:t>a</w:t>
      </w:r>
      <w:r>
        <w:t xml:space="preserve"> thermodynamic model of </w:t>
      </w:r>
      <w:r w:rsidR="003230DA">
        <w:t xml:space="preserve">the </w:t>
      </w:r>
      <w:r>
        <w:t>human body has been developed, first in Engineering Equation Solver (</w:t>
      </w:r>
      <w:r w:rsidRPr="0078293D">
        <w:rPr>
          <w:b/>
          <w:bCs/>
        </w:rPr>
        <w:t>EES</w:t>
      </w:r>
      <w:r>
        <w:t xml:space="preserve">) environment, and then in </w:t>
      </w:r>
      <w:r w:rsidR="00350806" w:rsidRPr="0078293D">
        <w:rPr>
          <w:b/>
          <w:bCs/>
        </w:rPr>
        <w:t>Python</w:t>
      </w:r>
      <w:r>
        <w:t>.</w:t>
      </w:r>
      <w:r w:rsidR="000434FD">
        <w:t xml:space="preserve"> </w:t>
      </w:r>
      <w:r w:rsidR="00342C62">
        <w:t xml:space="preserve">Such </w:t>
      </w:r>
      <w:r w:rsidR="003230DA">
        <w:t xml:space="preserve">a </w:t>
      </w:r>
      <w:r w:rsidR="00342C62">
        <w:t>physical-based</w:t>
      </w:r>
      <w:r w:rsidR="000434FD">
        <w:t xml:space="preserve"> model </w:t>
      </w:r>
      <w:r w:rsidR="003230DA">
        <w:t xml:space="preserve">is </w:t>
      </w:r>
      <w:r w:rsidR="00D76023">
        <w:t>ground</w:t>
      </w:r>
      <w:r w:rsidR="003230DA">
        <w:t>ed</w:t>
      </w:r>
      <w:r w:rsidR="00342C62">
        <w:t xml:space="preserve"> on the assumption, commonly used in literature, that the human body can be considered as </w:t>
      </w:r>
      <w:r w:rsidR="00342C62" w:rsidRPr="0078293D">
        <w:rPr>
          <w:b/>
          <w:bCs/>
        </w:rPr>
        <w:t>multiple</w:t>
      </w:r>
      <w:r w:rsidR="003230DA" w:rsidRPr="0078293D">
        <w:rPr>
          <w:b/>
          <w:bCs/>
        </w:rPr>
        <w:t xml:space="preserve"> </w:t>
      </w:r>
      <w:r w:rsidR="00342C62" w:rsidRPr="0078293D">
        <w:rPr>
          <w:b/>
          <w:bCs/>
        </w:rPr>
        <w:t>cylinders</w:t>
      </w:r>
      <w:r w:rsidR="00342C62">
        <w:t xml:space="preserve"> </w:t>
      </w:r>
      <w:r w:rsidR="00342C62" w:rsidRPr="00CA2F56">
        <w:rPr>
          <w:b/>
          <w:bCs/>
        </w:rPr>
        <w:t>connected</w:t>
      </w:r>
      <w:r w:rsidR="00342C62">
        <w:t xml:space="preserve"> as schematically represented in Figure 1</w:t>
      </w:r>
      <w:r w:rsidR="00D76023">
        <w:t xml:space="preserve">. </w:t>
      </w:r>
    </w:p>
    <w:p w14:paraId="28CAF05F" w14:textId="0F0C0B87" w:rsidR="0078293D" w:rsidRDefault="0078293D" w:rsidP="0078293D">
      <w:pPr>
        <w:jc w:val="center"/>
      </w:pPr>
      <w:r w:rsidRPr="0078293D">
        <w:rPr>
          <w:noProof/>
        </w:rPr>
        <w:drawing>
          <wp:inline distT="0" distB="0" distL="0" distR="0" wp14:anchorId="5C22E50D" wp14:editId="19BCE2E0">
            <wp:extent cx="2161651" cy="4212582"/>
            <wp:effectExtent l="0" t="0" r="0" b="0"/>
            <wp:docPr id="7" name="Immagine 6" descr="A picture containing diagram, technical drawing, plan, sketch&#10;&#10;Description automatically generated">
              <a:extLst xmlns:a="http://schemas.openxmlformats.org/drawingml/2006/main">
                <a:ext uri="{FF2B5EF4-FFF2-40B4-BE49-F238E27FC236}">
                  <a16:creationId xmlns:a16="http://schemas.microsoft.com/office/drawing/2014/main" id="{A18FCC80-60BA-8C03-D517-C53262092E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A picture containing diagram, technical drawing, plan, sketch&#10;&#10;Description automatically generated">
                      <a:extLst>
                        <a:ext uri="{FF2B5EF4-FFF2-40B4-BE49-F238E27FC236}">
                          <a16:creationId xmlns:a16="http://schemas.microsoft.com/office/drawing/2014/main" id="{A18FCC80-60BA-8C03-D517-C53262092EA4}"/>
                        </a:ext>
                      </a:extLst>
                    </pic:cNvPr>
                    <pic:cNvPicPr>
                      <a:picLocks noChangeAspect="1"/>
                    </pic:cNvPicPr>
                  </pic:nvPicPr>
                  <pic:blipFill>
                    <a:blip r:embed="rId8"/>
                    <a:stretch>
                      <a:fillRect/>
                    </a:stretch>
                  </pic:blipFill>
                  <pic:spPr>
                    <a:xfrm>
                      <a:off x="0" y="0"/>
                      <a:ext cx="2163541" cy="4216265"/>
                    </a:xfrm>
                    <a:prstGeom prst="rect">
                      <a:avLst/>
                    </a:prstGeom>
                  </pic:spPr>
                </pic:pic>
              </a:graphicData>
            </a:graphic>
          </wp:inline>
        </w:drawing>
      </w:r>
    </w:p>
    <w:p w14:paraId="2018F8E9" w14:textId="3E225FDE" w:rsidR="0078293D" w:rsidRPr="0076679A" w:rsidRDefault="0078293D" w:rsidP="0078293D">
      <w:pPr>
        <w:jc w:val="center"/>
        <w:rPr>
          <w:i/>
          <w:iCs/>
          <w:sz w:val="18"/>
          <w:szCs w:val="18"/>
        </w:rPr>
      </w:pPr>
      <w:r w:rsidRPr="0076679A">
        <w:rPr>
          <w:i/>
          <w:iCs/>
          <w:sz w:val="18"/>
          <w:szCs w:val="18"/>
        </w:rPr>
        <w:t>Figure 1: scheme of the human body.</w:t>
      </w:r>
    </w:p>
    <w:p w14:paraId="3CA919CD" w14:textId="705B5C7A" w:rsidR="0078293D" w:rsidRDefault="00350806" w:rsidP="00D76023">
      <w:pPr>
        <w:jc w:val="both"/>
      </w:pPr>
      <w:r>
        <w:t>The co</w:t>
      </w:r>
      <w:r w:rsidR="00D76023">
        <w:t xml:space="preserve">nductive </w:t>
      </w:r>
      <w:r w:rsidR="0078293D">
        <w:t xml:space="preserve">heat exchange </w:t>
      </w:r>
      <w:r w:rsidR="00650F39">
        <w:t>transfer from</w:t>
      </w:r>
      <w:r w:rsidR="0078293D">
        <w:t xml:space="preserve"> the inner (“</w:t>
      </w:r>
      <w:r w:rsidR="0078293D" w:rsidRPr="0078293D">
        <w:rPr>
          <w:b/>
          <w:bCs/>
        </w:rPr>
        <w:t>core temperature</w:t>
      </w:r>
      <w:r w:rsidR="0078293D">
        <w:t xml:space="preserve">”, </w:t>
      </w:r>
      <m:oMath>
        <m:sSub>
          <m:sSubPr>
            <m:ctrlPr>
              <w:rPr>
                <w:rFonts w:ascii="Cambria Math" w:hAnsi="Cambria Math"/>
                <w:i/>
              </w:rPr>
            </m:ctrlPr>
          </m:sSubPr>
          <m:e>
            <m:r>
              <w:rPr>
                <w:rFonts w:ascii="Cambria Math" w:hAnsi="Cambria Math"/>
              </w:rPr>
              <m:t>T</m:t>
            </m:r>
          </m:e>
          <m:sub>
            <m:r>
              <w:rPr>
                <w:rFonts w:ascii="Cambria Math" w:hAnsi="Cambria Math"/>
              </w:rPr>
              <m:t>core</m:t>
            </m:r>
          </m:sub>
        </m:sSub>
      </m:oMath>
      <w:r w:rsidR="0078293D">
        <w:t xml:space="preserve">) </w:t>
      </w:r>
      <w:r w:rsidR="00650F39">
        <w:t>to</w:t>
      </w:r>
      <w:r w:rsidR="0078293D">
        <w:t xml:space="preserve"> the outer (“</w:t>
      </w:r>
      <w:r w:rsidR="0078293D" w:rsidRPr="0078293D">
        <w:rPr>
          <w:b/>
          <w:bCs/>
        </w:rPr>
        <w:t>skin temperature</w:t>
      </w:r>
      <w:r w:rsidR="0078293D">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78293D">
        <w:t>) part of the</w:t>
      </w:r>
      <w:r w:rsidR="00D76023">
        <w:t xml:space="preserve"> cylinder</w:t>
      </w:r>
      <w:r>
        <w:t xml:space="preserve"> </w:t>
      </w:r>
      <w:r w:rsidR="0078293D">
        <w:t xml:space="preserve">is expressed by </w:t>
      </w:r>
      <w:proofErr w:type="spellStart"/>
      <w:r w:rsidR="0078293D">
        <w:t>eq</w:t>
      </w:r>
      <w:proofErr w:type="spellEnd"/>
      <w:r w:rsidR="0078293D">
        <w:t xml:space="preserve"> (1), which is </w:t>
      </w:r>
      <w:r w:rsidR="00650F39">
        <w:t>valid for</w:t>
      </w:r>
      <w:r w:rsidR="00CA2F56">
        <w:t xml:space="preserve"> </w:t>
      </w:r>
      <w:r w:rsidR="0078293D">
        <w:t>a cylinder</w:t>
      </w:r>
      <w:r w:rsidR="00CA2F56">
        <w:t xml:space="preserve"> </w:t>
      </w:r>
      <w:r w:rsidR="0078293D">
        <w:t>with internal heat generation:</w:t>
      </w:r>
    </w:p>
    <w:p w14:paraId="10D4E029" w14:textId="4D00CC02" w:rsidR="0078293D" w:rsidRDefault="00947713" w:rsidP="0078293D">
      <w:pPr>
        <w:jc w:val="cente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r>
              <w:rPr>
                <w:rFonts w:ascii="Cambria Math" w:hAnsi="Cambria Math"/>
                <w:sz w:val="28"/>
                <w:szCs w:val="28"/>
              </w:rPr>
              <m:t>k</m:t>
            </m:r>
          </m:sub>
        </m:sSub>
        <m:r>
          <w:rPr>
            <w:rFonts w:ascii="Cambria Math" w:hAnsi="Cambria Math"/>
            <w:sz w:val="28"/>
            <w:szCs w:val="28"/>
          </w:rPr>
          <m:t>=</m:t>
        </m:r>
        <m:r>
          <w:rPr>
            <w:rFonts w:ascii="Cambria Math" w:eastAsiaTheme="minorEastAsia"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core</m:t>
            </m:r>
          </m:sub>
        </m:sSub>
        <m:r>
          <w:rPr>
            <w:rFonts w:ascii="Cambria Math" w:hAnsi="Cambria Math"/>
            <w:sz w:val="28"/>
            <w:szCs w:val="28"/>
          </w:rPr>
          <m:t>-</m:t>
        </m:r>
        <m:r>
          <w:rPr>
            <w:rFonts w:ascii="Cambria Math" w:hAnsi="Cambria Math"/>
            <w:sz w:val="28"/>
            <w:szCs w:val="28"/>
          </w:rPr>
          <m:t xml:space="preserve"> </m:t>
        </m:r>
        <m:sSub>
          <m:sSubPr>
            <m:ctrlPr>
              <w:rPr>
                <w:rFonts w:ascii="Cambria Math" w:hAnsi="Cambria Math"/>
                <w:i/>
                <w:iCs/>
                <w:sz w:val="28"/>
                <w:szCs w:val="28"/>
                <w:lang w:val="it-IT"/>
              </w:rPr>
            </m:ctrlPr>
          </m:sSubPr>
          <m:e>
            <m:r>
              <w:rPr>
                <w:rFonts w:ascii="Cambria Math" w:hAnsi="Cambria Math"/>
                <w:sz w:val="28"/>
                <w:szCs w:val="28"/>
                <w:lang w:val="it-IT"/>
              </w:rPr>
              <m:t>M</m:t>
            </m:r>
          </m:e>
          <m:sub>
            <m:r>
              <w:rPr>
                <w:rFonts w:ascii="Cambria Math" w:hAnsi="Cambria Math"/>
                <w:sz w:val="28"/>
                <w:szCs w:val="28"/>
                <w:lang w:val="it-IT"/>
              </w:rPr>
              <m:t>n</m:t>
            </m:r>
          </m:sub>
        </m:sSub>
        <m:r>
          <w:rPr>
            <w:rFonts w:ascii="Cambria Math" w:hAnsi="Cambria Math"/>
            <w:sz w:val="28"/>
            <w:szCs w:val="28"/>
          </w:rPr>
          <m:t>∙</m:t>
        </m:r>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num>
          <m:den>
            <m:r>
              <w:rPr>
                <w:rFonts w:ascii="Cambria Math" w:hAnsi="Cambria Math"/>
                <w:sz w:val="28"/>
                <w:szCs w:val="28"/>
              </w:rPr>
              <m:t>4 ∙</m:t>
            </m:r>
            <m:r>
              <w:rPr>
                <w:rFonts w:ascii="Cambria Math" w:hAnsi="Cambria Math"/>
                <w:sz w:val="28"/>
                <w:szCs w:val="28"/>
              </w:rPr>
              <m:t>k</m:t>
            </m:r>
          </m:den>
        </m:f>
        <m:r>
          <w:rPr>
            <w:rFonts w:ascii="Cambria Math" w:hAnsi="Cambria Math"/>
            <w:sz w:val="28"/>
            <w:szCs w:val="28"/>
          </w:rPr>
          <m:t xml:space="preserve"> </m:t>
        </m:r>
      </m:oMath>
      <w:r w:rsidR="00363729">
        <w:rPr>
          <w:rFonts w:eastAsiaTheme="minorEastAsia"/>
          <w:sz w:val="28"/>
          <w:szCs w:val="28"/>
        </w:rPr>
        <w:t xml:space="preserve">         </w:t>
      </w:r>
      <w:r w:rsidR="0078293D">
        <w:tab/>
        <w:t>(1)</w:t>
      </w:r>
    </w:p>
    <w:p w14:paraId="62DBE9D2" w14:textId="4A1C550F" w:rsidR="0078293D" w:rsidRDefault="0078293D" w:rsidP="00D76023">
      <w:pPr>
        <w:jc w:val="both"/>
      </w:pPr>
      <w:r>
        <w:t xml:space="preserve">Where </w:t>
      </w:r>
      <m:oMath>
        <m:r>
          <w:rPr>
            <w:rFonts w:ascii="Cambria Math" w:hAnsi="Cambria Math"/>
          </w:rPr>
          <m:t>r</m:t>
        </m:r>
      </m:oMath>
      <w:r w:rsidRPr="0078293D">
        <w:rPr>
          <w:rFonts w:eastAsiaTheme="minorEastAsia"/>
          <w:iCs/>
        </w:rPr>
        <w:t xml:space="preserve"> is </w:t>
      </w:r>
      <w:r>
        <w:rPr>
          <w:rFonts w:eastAsiaTheme="minorEastAsia"/>
          <w:iCs/>
        </w:rPr>
        <w:t xml:space="preserve">cylinder radius and </w:t>
      </w:r>
      <m:oMath>
        <m:r>
          <w:rPr>
            <w:rFonts w:ascii="Cambria Math" w:eastAsiaTheme="minorEastAsia" w:hAnsi="Cambria Math"/>
            <w:lang w:val="it-IT"/>
          </w:rPr>
          <m:t>k</m:t>
        </m:r>
      </m:oMath>
      <w:r w:rsidRPr="0078293D">
        <w:rPr>
          <w:rFonts w:eastAsiaTheme="minorEastAsia"/>
          <w:iCs/>
        </w:rPr>
        <w:t xml:space="preserve"> </w:t>
      </w:r>
      <w:r>
        <w:rPr>
          <w:rFonts w:eastAsiaTheme="minorEastAsia"/>
          <w:iCs/>
        </w:rPr>
        <w:t xml:space="preserve">is the conductivity, and </w:t>
      </w:r>
      <m:oMath>
        <m:sSub>
          <m:sSubPr>
            <m:ctrlPr>
              <w:rPr>
                <w:rFonts w:ascii="Cambria Math" w:hAnsi="Cambria Math"/>
                <w:i/>
                <w:iCs/>
                <w:lang w:val="it-IT"/>
              </w:rPr>
            </m:ctrlPr>
          </m:sSubPr>
          <m:e>
            <m:r>
              <w:rPr>
                <w:rFonts w:ascii="Cambria Math" w:hAnsi="Cambria Math"/>
                <w:lang w:val="it-IT"/>
              </w:rPr>
              <m:t>M</m:t>
            </m:r>
          </m:e>
          <m:sub>
            <m:r>
              <w:rPr>
                <w:rFonts w:ascii="Cambria Math" w:hAnsi="Cambria Math"/>
                <w:lang w:val="it-IT"/>
              </w:rPr>
              <m:t>n</m:t>
            </m:r>
          </m:sub>
        </m:sSub>
      </m:oMath>
      <w:r w:rsidRPr="0078293D">
        <w:rPr>
          <w:rFonts w:eastAsiaTheme="minorEastAsia"/>
          <w:iCs/>
        </w:rPr>
        <w:t xml:space="preserve"> </w:t>
      </w:r>
      <w:r>
        <w:rPr>
          <w:rFonts w:eastAsiaTheme="minorEastAsia"/>
          <w:iCs/>
        </w:rPr>
        <w:t xml:space="preserve">is the </w:t>
      </w:r>
      <w:r w:rsidRPr="0078293D">
        <w:rPr>
          <w:rFonts w:eastAsiaTheme="minorEastAsia"/>
          <w:b/>
          <w:bCs/>
          <w:iCs/>
        </w:rPr>
        <w:t>metabolism</w:t>
      </w:r>
      <w:r>
        <w:rPr>
          <w:rFonts w:eastAsiaTheme="minorEastAsia"/>
          <w:iCs/>
        </w:rPr>
        <w:t xml:space="preserve">, namely the </w:t>
      </w:r>
      <w:r w:rsidRPr="0078293D">
        <w:rPr>
          <w:rFonts w:eastAsiaTheme="minorEastAsia"/>
          <w:b/>
          <w:bCs/>
          <w:iCs/>
        </w:rPr>
        <w:t>internal heat generated</w:t>
      </w:r>
      <w:r>
        <w:rPr>
          <w:rFonts w:eastAsiaTheme="minorEastAsia"/>
          <w:iCs/>
        </w:rPr>
        <w:t xml:space="preserve"> by biochemical route</w:t>
      </w:r>
      <w:r w:rsidR="00AC6513">
        <w:rPr>
          <w:rFonts w:eastAsiaTheme="minorEastAsia"/>
          <w:iCs/>
        </w:rPr>
        <w:t xml:space="preserve"> to keep constant the core temperature of the body and to supply energy for the motion</w:t>
      </w:r>
      <w:r>
        <w:rPr>
          <w:rFonts w:eastAsiaTheme="minorEastAsia"/>
          <w:iCs/>
        </w:rPr>
        <w:t>. In case the body is not mo</w:t>
      </w:r>
      <w:r w:rsidR="00AC6513">
        <w:rPr>
          <w:rFonts w:eastAsiaTheme="minorEastAsia"/>
          <w:iCs/>
        </w:rPr>
        <w:t>ving</w:t>
      </w:r>
      <w:r>
        <w:rPr>
          <w:rFonts w:eastAsiaTheme="minorEastAsia"/>
          <w:iCs/>
        </w:rPr>
        <w:t xml:space="preserve">, the metabolism is called </w:t>
      </w:r>
      <w:r w:rsidRPr="00363729">
        <w:rPr>
          <w:rFonts w:eastAsiaTheme="minorEastAsia"/>
          <w:b/>
          <w:bCs/>
          <w:iCs/>
        </w:rPr>
        <w:t>basal metabolism</w:t>
      </w:r>
      <w:r>
        <w:rPr>
          <w:rFonts w:eastAsiaTheme="minorEastAsia"/>
          <w:iCs/>
        </w:rPr>
        <w:t xml:space="preserve"> and it equivales to the minimum energy that is necessary to keep the internal temperature under control (</w:t>
      </w:r>
      <w:r w:rsidR="00AC6513">
        <w:rPr>
          <w:rFonts w:eastAsiaTheme="minorEastAsia"/>
          <w:iCs/>
        </w:rPr>
        <w:t xml:space="preserve">around </w:t>
      </w:r>
      <w:r>
        <w:rPr>
          <w:rFonts w:eastAsiaTheme="minorEastAsia"/>
          <w:iCs/>
        </w:rPr>
        <w:t xml:space="preserve">37°C). </w:t>
      </w:r>
      <w:r w:rsidR="00363729">
        <w:rPr>
          <w:rFonts w:eastAsiaTheme="minorEastAsia"/>
          <w:iCs/>
        </w:rPr>
        <w:t>In the current version of the model, t</w:t>
      </w:r>
      <w:r w:rsidR="007B198B">
        <w:rPr>
          <w:rFonts w:eastAsiaTheme="minorEastAsia"/>
          <w:iCs/>
        </w:rPr>
        <w:t>he</w:t>
      </w:r>
      <w:r w:rsidR="00D02999">
        <w:rPr>
          <w:rFonts w:eastAsiaTheme="minorEastAsia"/>
          <w:iCs/>
        </w:rPr>
        <w:t xml:space="preserve"> </w:t>
      </w:r>
      <w:r w:rsidR="00D02999" w:rsidRPr="00D02999">
        <w:rPr>
          <w:rFonts w:eastAsiaTheme="minorEastAsia"/>
          <w:b/>
          <w:bCs/>
          <w:iCs/>
        </w:rPr>
        <w:t>basal</w:t>
      </w:r>
      <w:r w:rsidR="007B198B" w:rsidRPr="00D02999">
        <w:rPr>
          <w:rFonts w:eastAsiaTheme="minorEastAsia"/>
          <w:iCs/>
        </w:rPr>
        <w:t xml:space="preserve"> metabolism</w:t>
      </w:r>
      <w:r w:rsidR="007B198B">
        <w:rPr>
          <w:rFonts w:eastAsiaTheme="minorEastAsia"/>
          <w:iCs/>
        </w:rPr>
        <w:t xml:space="preserve"> is expressed as function of the geometric characteristics of the body</w:t>
      </w:r>
      <w:r w:rsidR="00363729">
        <w:rPr>
          <w:rFonts w:eastAsiaTheme="minorEastAsia"/>
          <w:iCs/>
        </w:rPr>
        <w:t xml:space="preserve"> (height and mass), age</w:t>
      </w:r>
      <w:r w:rsidR="00AC6513">
        <w:rPr>
          <w:rFonts w:eastAsiaTheme="minorEastAsia"/>
          <w:iCs/>
        </w:rPr>
        <w:t>,</w:t>
      </w:r>
      <w:r w:rsidR="00363729">
        <w:rPr>
          <w:rFonts w:eastAsiaTheme="minorEastAsia"/>
          <w:iCs/>
        </w:rPr>
        <w:t xml:space="preserve"> and gender</w:t>
      </w:r>
      <w:r w:rsidR="007B198B">
        <w:rPr>
          <w:rFonts w:eastAsiaTheme="minorEastAsia"/>
          <w:iCs/>
        </w:rPr>
        <w:t>.</w:t>
      </w:r>
      <w:r w:rsidR="00D02999">
        <w:rPr>
          <w:rFonts w:eastAsiaTheme="minorEastAsia"/>
          <w:iCs/>
        </w:rPr>
        <w:t xml:space="preserve"> </w:t>
      </w:r>
      <w:r w:rsidR="00D02999">
        <w:t>Moreover,</w:t>
      </w:r>
      <w:r>
        <w:t xml:space="preserve"> the body</w:t>
      </w:r>
      <w:r w:rsidR="00350806">
        <w:t xml:space="preserve"> releas</w:t>
      </w:r>
      <w:r>
        <w:t>es</w:t>
      </w:r>
      <w:r w:rsidR="00350806">
        <w:t xml:space="preserve"> energy to the environment by </w:t>
      </w:r>
      <w:r w:rsidR="00350806" w:rsidRPr="0078293D">
        <w:rPr>
          <w:b/>
          <w:bCs/>
        </w:rPr>
        <w:t>c</w:t>
      </w:r>
      <w:r w:rsidR="00D76023" w:rsidRPr="0078293D">
        <w:rPr>
          <w:b/>
          <w:bCs/>
        </w:rPr>
        <w:t>onvective</w:t>
      </w:r>
      <w:r w:rsidR="00350806">
        <w:t xml:space="preserve"> (</w:t>
      </w:r>
      <m:oMath>
        <m:sSub>
          <m:sSubPr>
            <m:ctrlPr>
              <w:rPr>
                <w:rFonts w:ascii="Cambria Math" w:hAnsi="Cambria Math"/>
                <w:i/>
                <w:iCs/>
                <w:lang w:val="it-IT"/>
              </w:rPr>
            </m:ctrlPr>
          </m:sSubPr>
          <m:e>
            <m:r>
              <w:rPr>
                <w:rFonts w:ascii="Cambria Math" w:hAnsi="Cambria Math"/>
                <w:lang w:val="it-IT"/>
              </w:rPr>
              <m:t>Q</m:t>
            </m:r>
          </m:e>
          <m:sub>
            <m:r>
              <w:rPr>
                <w:rFonts w:ascii="Cambria Math" w:hAnsi="Cambria Math"/>
                <w:lang w:val="it-IT"/>
              </w:rPr>
              <m:t>c</m:t>
            </m:r>
            <m:r>
              <w:rPr>
                <w:rFonts w:ascii="Cambria Math" w:hAnsi="Cambria Math"/>
              </w:rPr>
              <m:t>,</m:t>
            </m:r>
            <m:r>
              <w:rPr>
                <w:rFonts w:ascii="Cambria Math" w:hAnsi="Cambria Math"/>
                <w:lang w:val="it-IT"/>
              </w:rPr>
              <m:t>n</m:t>
            </m:r>
          </m:sub>
        </m:sSub>
      </m:oMath>
      <w:r w:rsidR="00350806" w:rsidRPr="00350806">
        <w:rPr>
          <w:rFonts w:eastAsiaTheme="minorEastAsia"/>
          <w:iCs/>
        </w:rPr>
        <w:t>)</w:t>
      </w:r>
      <w:r w:rsidR="00D76023">
        <w:t xml:space="preserve"> and </w:t>
      </w:r>
      <w:r w:rsidR="00D76023" w:rsidRPr="0078293D">
        <w:rPr>
          <w:b/>
          <w:bCs/>
        </w:rPr>
        <w:t>radiative</w:t>
      </w:r>
      <w:r w:rsidR="00350806">
        <w:t xml:space="preserve"> (</w:t>
      </w:r>
      <m:oMath>
        <m:sSub>
          <m:sSubPr>
            <m:ctrlPr>
              <w:rPr>
                <w:rFonts w:ascii="Cambria Math" w:hAnsi="Cambria Math"/>
                <w:i/>
                <w:iCs/>
                <w:lang w:val="it-IT"/>
              </w:rPr>
            </m:ctrlPr>
          </m:sSubPr>
          <m:e>
            <m:r>
              <w:rPr>
                <w:rFonts w:ascii="Cambria Math" w:hAnsi="Cambria Math"/>
                <w:lang w:val="it-IT"/>
              </w:rPr>
              <m:t>Q</m:t>
            </m:r>
          </m:e>
          <m:sub>
            <m:r>
              <w:rPr>
                <w:rFonts w:ascii="Cambria Math" w:hAnsi="Cambria Math"/>
                <w:lang w:val="it-IT"/>
              </w:rPr>
              <m:t>r</m:t>
            </m:r>
            <m:r>
              <w:rPr>
                <w:rFonts w:ascii="Cambria Math" w:hAnsi="Cambria Math"/>
              </w:rPr>
              <m:t>,</m:t>
            </m:r>
            <m:r>
              <w:rPr>
                <w:rFonts w:ascii="Cambria Math" w:hAnsi="Cambria Math"/>
                <w:lang w:val="it-IT"/>
              </w:rPr>
              <m:t>n</m:t>
            </m:r>
          </m:sub>
        </m:sSub>
      </m:oMath>
      <w:r w:rsidR="00350806" w:rsidRPr="00350806">
        <w:rPr>
          <w:rFonts w:eastAsiaTheme="minorEastAsia"/>
          <w:iCs/>
        </w:rPr>
        <w:t>)</w:t>
      </w:r>
      <w:r w:rsidR="00D76023">
        <w:t xml:space="preserve"> </w:t>
      </w:r>
      <w:r w:rsidR="00350806">
        <w:t xml:space="preserve">way. </w:t>
      </w:r>
    </w:p>
    <w:p w14:paraId="2A8DD7BA" w14:textId="209BCA07" w:rsidR="00D02999" w:rsidRPr="00106341" w:rsidRDefault="00AC6513" w:rsidP="00D02999">
      <w:pPr>
        <w:jc w:val="both"/>
        <w:rPr>
          <w:rFonts w:eastAsiaTheme="minorEastAsia"/>
          <w:iCs/>
        </w:rPr>
      </w:pPr>
      <w:r>
        <w:rPr>
          <w:rFonts w:eastAsiaTheme="minorEastAsia"/>
          <w:iCs/>
        </w:rPr>
        <w:t>Also, human</w:t>
      </w:r>
      <w:r w:rsidR="00D02999">
        <w:rPr>
          <w:rFonts w:eastAsiaTheme="minorEastAsia"/>
          <w:iCs/>
        </w:rPr>
        <w:t xml:space="preserve"> body exchanges energy with the environment with breathing (</w:t>
      </w:r>
      <m:oMath>
        <m:sSub>
          <m:sSubPr>
            <m:ctrlPr>
              <w:rPr>
                <w:rFonts w:ascii="Cambria Math" w:hAnsi="Cambria Math"/>
                <w:i/>
                <w:iCs/>
                <w:lang w:val="it-IT"/>
              </w:rPr>
            </m:ctrlPr>
          </m:sSubPr>
          <m:e>
            <m:r>
              <w:rPr>
                <w:rFonts w:ascii="Cambria Math" w:hAnsi="Cambria Math"/>
                <w:lang w:val="it-IT"/>
              </w:rPr>
              <m:t>H</m:t>
            </m:r>
          </m:e>
          <m:sub>
            <m:r>
              <w:rPr>
                <w:rFonts w:ascii="Cambria Math" w:hAnsi="Cambria Math"/>
                <w:lang w:val="it-IT"/>
              </w:rPr>
              <m:t>res</m:t>
            </m:r>
          </m:sub>
        </m:sSub>
      </m:oMath>
      <w:r w:rsidR="00D02999" w:rsidRPr="00D02999">
        <w:rPr>
          <w:rFonts w:eastAsiaTheme="minorEastAsia"/>
          <w:iCs/>
        </w:rPr>
        <w:t xml:space="preserve">). </w:t>
      </w:r>
      <w:r w:rsidR="00D02999">
        <w:rPr>
          <w:rFonts w:eastAsiaTheme="minorEastAsia"/>
          <w:iCs/>
        </w:rPr>
        <w:t xml:space="preserve">Breathing is necessary </w:t>
      </w:r>
      <w:r>
        <w:rPr>
          <w:rFonts w:eastAsiaTheme="minorEastAsia"/>
          <w:iCs/>
        </w:rPr>
        <w:t>to get the oxygen needed for</w:t>
      </w:r>
      <w:r w:rsidR="00D02999">
        <w:rPr>
          <w:rFonts w:eastAsiaTheme="minorEastAsia"/>
          <w:iCs/>
        </w:rPr>
        <w:t xml:space="preserve"> </w:t>
      </w:r>
      <w:r w:rsidR="00D02999" w:rsidRPr="00106341">
        <w:rPr>
          <w:rFonts w:eastAsiaTheme="minorEastAsia"/>
          <w:b/>
          <w:bCs/>
          <w:iCs/>
        </w:rPr>
        <w:t>metabolism</w:t>
      </w:r>
      <w:r w:rsidR="00D02999">
        <w:rPr>
          <w:rFonts w:eastAsiaTheme="minorEastAsia"/>
          <w:iCs/>
        </w:rPr>
        <w:t xml:space="preserve">. </w:t>
      </w:r>
      <w:r w:rsidR="00106341" w:rsidRPr="00106341">
        <w:rPr>
          <w:rFonts w:eastAsiaTheme="minorEastAsia"/>
          <w:b/>
          <w:bCs/>
          <w:iCs/>
        </w:rPr>
        <w:t>Accordingly, t</w:t>
      </w:r>
      <w:r w:rsidR="00D02999" w:rsidRPr="00106341">
        <w:rPr>
          <w:rFonts w:eastAsiaTheme="minorEastAsia"/>
          <w:b/>
          <w:bCs/>
          <w:iCs/>
        </w:rPr>
        <w:t>he following correlation</w:t>
      </w:r>
      <w:r w:rsidR="00525ACC" w:rsidRPr="00106341">
        <w:rPr>
          <w:rFonts w:eastAsiaTheme="minorEastAsia"/>
          <w:b/>
          <w:bCs/>
          <w:iCs/>
        </w:rPr>
        <w:t xml:space="preserve"> (2)</w:t>
      </w:r>
      <w:r w:rsidR="00D02999" w:rsidRPr="00106341">
        <w:rPr>
          <w:rFonts w:eastAsiaTheme="minorEastAsia"/>
          <w:b/>
          <w:bCs/>
          <w:iCs/>
        </w:rPr>
        <w:t xml:space="preserve">, proposed by ASHRAE, </w:t>
      </w:r>
      <w:r w:rsidR="00D02999" w:rsidRPr="00106341">
        <w:rPr>
          <w:rFonts w:eastAsiaTheme="minorEastAsia"/>
          <w:b/>
          <w:bCs/>
          <w:iCs/>
        </w:rPr>
        <w:lastRenderedPageBreak/>
        <w:t xml:space="preserve">evaluates </w:t>
      </w:r>
      <m:oMath>
        <m:sSub>
          <m:sSubPr>
            <m:ctrlPr>
              <w:rPr>
                <w:rFonts w:ascii="Cambria Math" w:hAnsi="Cambria Math"/>
                <w:b/>
                <w:bCs/>
                <w:i/>
                <w:iCs/>
                <w:lang w:val="it-IT"/>
              </w:rPr>
            </m:ctrlPr>
          </m:sSubPr>
          <m:e>
            <m:r>
              <m:rPr>
                <m:sty m:val="bi"/>
              </m:rPr>
              <w:rPr>
                <w:rFonts w:ascii="Cambria Math" w:hAnsi="Cambria Math"/>
                <w:lang w:val="it-IT"/>
              </w:rPr>
              <m:t>H</m:t>
            </m:r>
          </m:e>
          <m:sub>
            <m:r>
              <m:rPr>
                <m:sty m:val="bi"/>
              </m:rPr>
              <w:rPr>
                <w:rFonts w:ascii="Cambria Math" w:hAnsi="Cambria Math"/>
                <w:lang w:val="it-IT"/>
              </w:rPr>
              <m:t>res</m:t>
            </m:r>
          </m:sub>
        </m:sSub>
      </m:oMath>
      <w:r w:rsidR="00106341" w:rsidRPr="00106341">
        <w:rPr>
          <w:rFonts w:eastAsiaTheme="minorEastAsia"/>
          <w:b/>
          <w:bCs/>
          <w:iCs/>
        </w:rPr>
        <w:t xml:space="preserve"> </w:t>
      </w:r>
      <w:r w:rsidR="00D02999" w:rsidRPr="00106341">
        <w:rPr>
          <w:rFonts w:eastAsiaTheme="minorEastAsia"/>
          <w:b/>
          <w:bCs/>
          <w:iCs/>
        </w:rPr>
        <w:t xml:space="preserve">as function of </w:t>
      </w:r>
      <w:r w:rsidR="00525ACC" w:rsidRPr="00106341">
        <w:rPr>
          <w:rFonts w:eastAsiaTheme="minorEastAsia"/>
          <w:b/>
          <w:bCs/>
          <w:iCs/>
        </w:rPr>
        <w:t>the metabolism.</w:t>
      </w:r>
      <w:r w:rsidR="00106341">
        <w:rPr>
          <w:rFonts w:eastAsiaTheme="minorEastAsia"/>
          <w:iCs/>
        </w:rPr>
        <w:t xml:space="preserve"> Air enters the </w:t>
      </w:r>
      <w:r w:rsidR="00BB6906">
        <w:rPr>
          <w:rFonts w:eastAsiaTheme="minorEastAsia"/>
          <w:iCs/>
        </w:rPr>
        <w:t>head,</w:t>
      </w:r>
      <w:r w:rsidR="00106341">
        <w:rPr>
          <w:rFonts w:eastAsiaTheme="minorEastAsia"/>
          <w:iCs/>
        </w:rPr>
        <w:t xml:space="preserve"> and it flows to the trunk, where oxygen is transferred to the blood. Therefore, the energy exchanged with breathing only regards certain cylinders: the head and the trunk.</w:t>
      </w:r>
    </w:p>
    <w:p w14:paraId="414F6E16" w14:textId="75E56110" w:rsidR="00D02999" w:rsidRPr="00D02999" w:rsidRDefault="00D02999" w:rsidP="00525ACC">
      <w:pPr>
        <w:jc w:val="center"/>
        <w:rPr>
          <w:rFonts w:eastAsiaTheme="minorEastAsia"/>
          <w:iCs/>
        </w:rPr>
      </w:pPr>
      <w:r w:rsidRPr="00D02999">
        <w:rPr>
          <w:rFonts w:eastAsiaTheme="minorEastAsia"/>
          <w:iCs/>
          <w:noProof/>
        </w:rPr>
        <w:drawing>
          <wp:inline distT="0" distB="0" distL="0" distR="0" wp14:anchorId="5FEA9793" wp14:editId="45369007">
            <wp:extent cx="5222122" cy="305048"/>
            <wp:effectExtent l="0" t="0" r="0" b="0"/>
            <wp:docPr id="211420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5673" name=""/>
                    <pic:cNvPicPr/>
                  </pic:nvPicPr>
                  <pic:blipFill>
                    <a:blip r:embed="rId9"/>
                    <a:stretch>
                      <a:fillRect/>
                    </a:stretch>
                  </pic:blipFill>
                  <pic:spPr>
                    <a:xfrm>
                      <a:off x="0" y="0"/>
                      <a:ext cx="5250871" cy="306727"/>
                    </a:xfrm>
                    <a:prstGeom prst="rect">
                      <a:avLst/>
                    </a:prstGeom>
                  </pic:spPr>
                </pic:pic>
              </a:graphicData>
            </a:graphic>
          </wp:inline>
        </w:drawing>
      </w:r>
      <w:r>
        <w:rPr>
          <w:rFonts w:eastAsiaTheme="minorEastAsia"/>
          <w:iCs/>
        </w:rPr>
        <w:t>(</w:t>
      </w:r>
      <w:r w:rsidR="00525ACC">
        <w:rPr>
          <w:rFonts w:eastAsiaTheme="minorEastAsia"/>
          <w:iCs/>
        </w:rPr>
        <w:t>2</w:t>
      </w:r>
      <w:r>
        <w:rPr>
          <w:rFonts w:eastAsiaTheme="minorEastAsia"/>
          <w:iCs/>
        </w:rPr>
        <w:t>)</w:t>
      </w:r>
    </w:p>
    <w:p w14:paraId="3A67FF05" w14:textId="42AF2B59" w:rsidR="003C3CB0" w:rsidRPr="003C3CB0" w:rsidRDefault="00525ACC" w:rsidP="00525ACC">
      <w:pPr>
        <w:jc w:val="both"/>
        <w:rPr>
          <w:rFonts w:eastAsiaTheme="minorEastAsia"/>
          <w:iCs/>
        </w:rPr>
      </w:pPr>
      <w:r w:rsidRPr="0023621C">
        <w:t xml:space="preserve">Where </w:t>
      </w:r>
      <m:oMath>
        <m:sSub>
          <m:sSubPr>
            <m:ctrlPr>
              <w:rPr>
                <w:rFonts w:ascii="Cambria Math" w:hAnsi="Cambria Math"/>
                <w:i/>
                <w:iCs/>
                <w:lang w:val="it-IT"/>
              </w:rPr>
            </m:ctrlPr>
          </m:sSubPr>
          <m:e>
            <m:r>
              <w:rPr>
                <w:rFonts w:ascii="Cambria Math" w:hAnsi="Cambria Math"/>
                <w:lang w:val="it-IT"/>
              </w:rPr>
              <m:t>P</m:t>
            </m:r>
          </m:e>
          <m:sub>
            <m:r>
              <w:rPr>
                <w:rFonts w:ascii="Cambria Math" w:hAnsi="Cambria Math"/>
                <w:lang w:val="it-IT"/>
              </w:rPr>
              <m:t>v</m:t>
            </m:r>
            <m:r>
              <w:rPr>
                <w:rFonts w:ascii="Cambria Math" w:hAnsi="Cambria Math"/>
              </w:rPr>
              <m:t>,</m:t>
            </m:r>
            <m:r>
              <w:rPr>
                <w:rFonts w:ascii="Cambria Math" w:hAnsi="Cambria Math"/>
                <w:lang w:val="it-IT"/>
              </w:rPr>
              <m:t>amb</m:t>
            </m:r>
          </m:sub>
        </m:sSub>
      </m:oMath>
      <w:r w:rsidRPr="0023621C">
        <w:rPr>
          <w:rFonts w:eastAsiaTheme="minorEastAsia"/>
          <w:iCs/>
        </w:rPr>
        <w:t xml:space="preserve"> is the </w:t>
      </w:r>
      <w:r w:rsidR="0023621C">
        <w:rPr>
          <w:rFonts w:eastAsiaTheme="minorEastAsia"/>
          <w:iCs/>
        </w:rPr>
        <w:t xml:space="preserve">vapour </w:t>
      </w:r>
      <w:r w:rsidRPr="0023621C">
        <w:rPr>
          <w:rFonts w:eastAsiaTheme="minorEastAsia"/>
          <w:iCs/>
        </w:rPr>
        <w:t>saturation pressure</w:t>
      </w:r>
      <w:r w:rsidR="0023621C">
        <w:rPr>
          <w:rFonts w:eastAsiaTheme="minorEastAsia"/>
          <w:iCs/>
        </w:rPr>
        <w:t xml:space="preserve"> at ambient conditions.</w:t>
      </w:r>
    </w:p>
    <w:p w14:paraId="3A617255" w14:textId="42D70F56" w:rsidR="00525ACC" w:rsidRPr="00106341" w:rsidRDefault="00BB6906" w:rsidP="00525ACC">
      <w:pPr>
        <w:jc w:val="both"/>
        <w:rPr>
          <w:b/>
          <w:bCs/>
        </w:rPr>
      </w:pPr>
      <w:r>
        <w:t>Concerning the blood flow,</w:t>
      </w:r>
      <w:r w:rsidR="003C3CB0">
        <w:t xml:space="preserve"> </w:t>
      </w:r>
      <w:r w:rsidRPr="00BB6906">
        <w:rPr>
          <w:b/>
          <w:bCs/>
        </w:rPr>
        <w:t>a</w:t>
      </w:r>
      <w:r w:rsidR="00106341" w:rsidRPr="00D02999">
        <w:rPr>
          <w:b/>
          <w:bCs/>
        </w:rPr>
        <w:t>rterial</w:t>
      </w:r>
      <w:r w:rsidR="00106341">
        <w:t xml:space="preserve"> blood flows from a central reservoir (trunk) to </w:t>
      </w:r>
      <w:r w:rsidR="00106341" w:rsidRPr="00D02999">
        <w:rPr>
          <w:b/>
          <w:bCs/>
        </w:rPr>
        <w:t>peripheral</w:t>
      </w:r>
      <w:r w:rsidR="00106341">
        <w:t xml:space="preserve"> parts (head, feet, hands); </w:t>
      </w:r>
      <w:r w:rsidR="00106341" w:rsidRPr="00D02999">
        <w:rPr>
          <w:b/>
          <w:bCs/>
        </w:rPr>
        <w:t>venous</w:t>
      </w:r>
      <w:r w:rsidR="00106341">
        <w:t xml:space="preserve"> blood instead flows through in the opposite direction. Therefore, the thermodynamic effect of blood is to </w:t>
      </w:r>
      <w:r w:rsidR="00106341" w:rsidRPr="00D02999">
        <w:rPr>
          <w:b/>
          <w:bCs/>
        </w:rPr>
        <w:t>warm</w:t>
      </w:r>
      <w:r w:rsidR="00106341">
        <w:t xml:space="preserve"> </w:t>
      </w:r>
      <w:r w:rsidR="00106341" w:rsidRPr="00D02999">
        <w:rPr>
          <w:b/>
          <w:bCs/>
        </w:rPr>
        <w:t>the tissues</w:t>
      </w:r>
      <w:r w:rsidR="00106341">
        <w:rPr>
          <w:b/>
          <w:bCs/>
        </w:rPr>
        <w:t xml:space="preserve">; </w:t>
      </w:r>
      <w:r w:rsidR="00106341" w:rsidRPr="00106341">
        <w:t>a</w:t>
      </w:r>
      <w:r w:rsidR="00525ACC">
        <w:t>ccordingly,</w:t>
      </w:r>
      <w:r w:rsidR="00106341">
        <w:t xml:space="preserve"> for each cylinder,</w:t>
      </w:r>
      <w:r w:rsidR="00525ACC">
        <w:t xml:space="preserve"> we evaluate the </w:t>
      </w:r>
      <w:r w:rsidR="00525ACC" w:rsidRPr="00D02999">
        <w:rPr>
          <w:b/>
          <w:bCs/>
        </w:rPr>
        <w:t>difference between the enthalpies of input</w:t>
      </w:r>
      <w:r w:rsidR="00525ACC">
        <w:rPr>
          <w:b/>
          <w:bCs/>
        </w:rPr>
        <w:t xml:space="preserve"> arterial blood </w:t>
      </w:r>
      <w:r w:rsidR="00525ACC" w:rsidRPr="00D02999">
        <w:rPr>
          <w:b/>
          <w:bCs/>
        </w:rPr>
        <w:t>and</w:t>
      </w:r>
      <w:r>
        <w:rPr>
          <w:b/>
          <w:bCs/>
        </w:rPr>
        <w:t xml:space="preserve"> of</w:t>
      </w:r>
      <w:r w:rsidR="00525ACC">
        <w:rPr>
          <w:b/>
          <w:bCs/>
        </w:rPr>
        <w:t xml:space="preserve"> the</w:t>
      </w:r>
      <w:r w:rsidR="00525ACC" w:rsidRPr="00D02999">
        <w:rPr>
          <w:b/>
          <w:bCs/>
        </w:rPr>
        <w:t xml:space="preserve"> output </w:t>
      </w:r>
      <w:r w:rsidR="00525ACC">
        <w:rPr>
          <w:b/>
          <w:bCs/>
        </w:rPr>
        <w:t xml:space="preserve">venous </w:t>
      </w:r>
      <w:r w:rsidR="00525ACC" w:rsidRPr="00D02999">
        <w:rPr>
          <w:b/>
          <w:bCs/>
        </w:rPr>
        <w:t xml:space="preserve">blood </w:t>
      </w:r>
      <w:r w:rsidR="00525ACC">
        <w:t>(</w:t>
      </w:r>
      <m:oMath>
        <m:r>
          <w:rPr>
            <w:rFonts w:ascii="Cambria Math" w:hAnsi="Cambria Math"/>
          </w:rPr>
          <m:t>∆</m:t>
        </m:r>
        <m:sSub>
          <m:sSubPr>
            <m:ctrlPr>
              <w:rPr>
                <w:rFonts w:ascii="Cambria Math" w:hAnsi="Cambria Math"/>
                <w:i/>
                <w:iCs/>
                <w:lang w:val="it-IT"/>
              </w:rPr>
            </m:ctrlPr>
          </m:sSubPr>
          <m:e>
            <m:r>
              <w:rPr>
                <w:rFonts w:ascii="Cambria Math" w:hAnsi="Cambria Math"/>
                <w:lang w:val="it-IT"/>
              </w:rPr>
              <m:t>H</m:t>
            </m:r>
          </m:e>
          <m:sub>
            <m:r>
              <w:rPr>
                <w:rFonts w:ascii="Cambria Math" w:hAnsi="Cambria Math"/>
                <w:lang w:val="it-IT"/>
              </w:rPr>
              <m:t>bl</m:t>
            </m:r>
          </m:sub>
        </m:sSub>
      </m:oMath>
      <w:r w:rsidR="00525ACC" w:rsidRPr="00350806">
        <w:rPr>
          <w:rFonts w:eastAsiaTheme="minorEastAsia"/>
          <w:iCs/>
        </w:rPr>
        <w:t>)</w:t>
      </w:r>
      <w:r w:rsidR="00525ACC">
        <w:t xml:space="preserve"> </w:t>
      </w:r>
      <w:r w:rsidR="00525ACC" w:rsidRPr="004B0100">
        <w:rPr>
          <w:rFonts w:eastAsiaTheme="minorEastAsia"/>
          <w:iCs/>
        </w:rPr>
        <w:t>with the following equation</w:t>
      </w:r>
      <w:r w:rsidR="00525ACC">
        <w:rPr>
          <w:rFonts w:eastAsiaTheme="minorEastAsia"/>
          <w:iCs/>
        </w:rPr>
        <w:t xml:space="preserve"> (3)</w:t>
      </w:r>
      <w:r w:rsidR="00525ACC" w:rsidRPr="004B0100">
        <w:rPr>
          <w:rFonts w:eastAsiaTheme="minorEastAsia"/>
          <w:iCs/>
        </w:rPr>
        <w:t>:</w:t>
      </w:r>
    </w:p>
    <w:p w14:paraId="476BEBF6" w14:textId="62DDE6A0" w:rsidR="00525ACC" w:rsidRPr="004B0100" w:rsidRDefault="00525ACC" w:rsidP="00525ACC">
      <w:pPr>
        <w:jc w:val="center"/>
        <w:rPr>
          <w:rFonts w:eastAsiaTheme="minorEastAsia"/>
          <w:iCs/>
        </w:rPr>
      </w:pPr>
      <w:r w:rsidRPr="004B0100">
        <w:rPr>
          <w:rFonts w:eastAsiaTheme="minorEastAsia"/>
          <w:iCs/>
          <w:noProof/>
        </w:rPr>
        <w:drawing>
          <wp:inline distT="0" distB="0" distL="0" distR="0" wp14:anchorId="754061A0" wp14:editId="41EE3707">
            <wp:extent cx="3546603" cy="425018"/>
            <wp:effectExtent l="0" t="0" r="0" b="0"/>
            <wp:docPr id="90022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23916" name=""/>
                    <pic:cNvPicPr/>
                  </pic:nvPicPr>
                  <pic:blipFill>
                    <a:blip r:embed="rId10"/>
                    <a:stretch>
                      <a:fillRect/>
                    </a:stretch>
                  </pic:blipFill>
                  <pic:spPr>
                    <a:xfrm>
                      <a:off x="0" y="0"/>
                      <a:ext cx="3639005" cy="436091"/>
                    </a:xfrm>
                    <a:prstGeom prst="rect">
                      <a:avLst/>
                    </a:prstGeom>
                  </pic:spPr>
                </pic:pic>
              </a:graphicData>
            </a:graphic>
          </wp:inline>
        </w:drawing>
      </w:r>
      <w:r>
        <w:rPr>
          <w:rFonts w:eastAsiaTheme="minorEastAsia"/>
          <w:iCs/>
        </w:rPr>
        <w:tab/>
      </w:r>
      <w:r>
        <w:rPr>
          <w:rFonts w:eastAsiaTheme="minorEastAsia"/>
          <w:iCs/>
        </w:rPr>
        <w:tab/>
        <w:t>(3)</w:t>
      </w:r>
    </w:p>
    <w:p w14:paraId="7CBB6854" w14:textId="7E3EF06D" w:rsidR="003C3CB0" w:rsidRPr="00BB6906" w:rsidRDefault="00525ACC" w:rsidP="00525ACC">
      <w:pPr>
        <w:jc w:val="both"/>
        <w:rPr>
          <w:rFonts w:eastAsiaTheme="minorEastAsia"/>
          <w:iCs/>
        </w:rPr>
      </w:pPr>
      <w:r>
        <w:rPr>
          <w:rFonts w:eastAsiaTheme="minorEastAsia"/>
          <w:iCs/>
        </w:rPr>
        <w:t xml:space="preserve">Where </w:t>
      </w:r>
      <m:oMath>
        <m:sSub>
          <m:sSubPr>
            <m:ctrlPr>
              <w:rPr>
                <w:rFonts w:ascii="Cambria Math" w:eastAsiaTheme="minorEastAsia" w:hAnsi="Cambria Math"/>
                <w:i/>
                <w:iCs/>
                <w:lang w:val="it-IT"/>
              </w:rPr>
            </m:ctrlPr>
          </m:sSubPr>
          <m:e>
            <m:r>
              <w:rPr>
                <w:rFonts w:ascii="Cambria Math" w:eastAsiaTheme="minorEastAsia" w:hAnsi="Cambria Math"/>
                <w:lang w:val="it-IT"/>
              </w:rPr>
              <m:t>v</m:t>
            </m:r>
          </m:e>
          <m:sub>
            <m:r>
              <w:rPr>
                <w:rFonts w:ascii="Cambria Math" w:eastAsiaTheme="minorEastAsia" w:hAnsi="Cambria Math"/>
                <w:lang w:val="it-IT"/>
              </w:rPr>
              <m:t>bl</m:t>
            </m:r>
            <m:r>
              <w:rPr>
                <w:rFonts w:ascii="Cambria Math" w:eastAsiaTheme="minorEastAsia" w:hAnsi="Cambria Math"/>
              </w:rPr>
              <m:t>,</m:t>
            </m:r>
            <m:r>
              <w:rPr>
                <w:rFonts w:ascii="Cambria Math" w:eastAsiaTheme="minorEastAsia" w:hAnsi="Cambria Math"/>
                <w:lang w:val="it-IT"/>
              </w:rPr>
              <m:t>n</m:t>
            </m:r>
            <m:r>
              <w:rPr>
                <w:rFonts w:ascii="Cambria Math" w:eastAsiaTheme="minorEastAsia" w:hAnsi="Cambria Math"/>
              </w:rPr>
              <m:t> </m:t>
            </m:r>
          </m:sub>
        </m:sSub>
      </m:oMath>
      <w:r w:rsidRPr="0004657A">
        <w:rPr>
          <w:rFonts w:eastAsiaTheme="minorEastAsia"/>
          <w:iCs/>
        </w:rPr>
        <w:t xml:space="preserve">is the </w:t>
      </w:r>
      <w:r w:rsidRPr="00D02999">
        <w:rPr>
          <w:rFonts w:eastAsiaTheme="minorEastAsia"/>
          <w:iCs/>
        </w:rPr>
        <w:t>volumetric flow rate of blood</w:t>
      </w:r>
      <w:r>
        <w:rPr>
          <w:rFonts w:eastAsiaTheme="minorEastAsia"/>
          <w:iCs/>
        </w:rPr>
        <w:t xml:space="preserve"> (currently a fixed value)</w:t>
      </w:r>
      <w:r w:rsidRPr="0004657A">
        <w:rPr>
          <w:rFonts w:eastAsiaTheme="minorEastAsia"/>
          <w:iCs/>
        </w:rPr>
        <w:t>,</w:t>
      </w:r>
      <w:r>
        <w:rPr>
          <w:rFonts w:eastAsiaTheme="minorEastAsia"/>
          <w:iCs/>
        </w:rPr>
        <w:t xml:space="preserve"> </w:t>
      </w:r>
      <m:oMath>
        <m:sSub>
          <m:sSubPr>
            <m:ctrlPr>
              <w:rPr>
                <w:rFonts w:ascii="Cambria Math" w:eastAsiaTheme="minorEastAsia" w:hAnsi="Cambria Math"/>
                <w:i/>
                <w:iCs/>
                <w:lang w:val="it-IT"/>
              </w:rPr>
            </m:ctrlPr>
          </m:sSubPr>
          <m:e>
            <m:r>
              <w:rPr>
                <w:rFonts w:ascii="Cambria Math" w:eastAsiaTheme="minorEastAsia" w:hAnsi="Cambria Math"/>
                <w:lang w:val="it-IT"/>
              </w:rPr>
              <m:t>ρ</m:t>
            </m:r>
          </m:e>
          <m:sub>
            <m:r>
              <w:rPr>
                <w:rFonts w:ascii="Cambria Math" w:eastAsiaTheme="minorEastAsia" w:hAnsi="Cambria Math"/>
                <w:lang w:val="it-IT"/>
              </w:rPr>
              <m:t>bl</m:t>
            </m:r>
          </m:sub>
        </m:sSub>
      </m:oMath>
      <w:r w:rsidRPr="004B0100">
        <w:rPr>
          <w:rFonts w:eastAsiaTheme="minorEastAsia"/>
          <w:iCs/>
        </w:rPr>
        <w:t xml:space="preserve"> is </w:t>
      </w:r>
      <w:r>
        <w:rPr>
          <w:rFonts w:eastAsiaTheme="minorEastAsia"/>
          <w:iCs/>
        </w:rPr>
        <w:t xml:space="preserve">the density of blood </w:t>
      </w:r>
      <m:oMath>
        <m:r>
          <w:rPr>
            <w:rFonts w:ascii="Cambria Math" w:eastAsiaTheme="minorEastAsia" w:hAnsi="Cambria Math"/>
            <w:lang w:val="it-IT"/>
          </w:rPr>
          <m:t>c</m:t>
        </m:r>
        <m:sSub>
          <m:sSubPr>
            <m:ctrlPr>
              <w:rPr>
                <w:rFonts w:ascii="Cambria Math" w:eastAsiaTheme="minorEastAsia" w:hAnsi="Cambria Math"/>
                <w:i/>
                <w:iCs/>
                <w:lang w:val="it-IT"/>
              </w:rPr>
            </m:ctrlPr>
          </m:sSubPr>
          <m:e>
            <m:r>
              <w:rPr>
                <w:rFonts w:ascii="Cambria Math" w:eastAsiaTheme="minorEastAsia" w:hAnsi="Cambria Math"/>
                <w:lang w:val="it-IT"/>
              </w:rPr>
              <m:t>p</m:t>
            </m:r>
          </m:e>
          <m:sub>
            <m:r>
              <w:rPr>
                <w:rFonts w:ascii="Cambria Math" w:eastAsiaTheme="minorEastAsia" w:hAnsi="Cambria Math"/>
                <w:lang w:val="it-IT"/>
              </w:rPr>
              <m:t>bl</m:t>
            </m:r>
          </m:sub>
        </m:sSub>
      </m:oMath>
      <w:r w:rsidRPr="004B0100">
        <w:rPr>
          <w:rFonts w:eastAsiaTheme="minorEastAsia"/>
          <w:iCs/>
        </w:rPr>
        <w:t xml:space="preserve"> </w:t>
      </w:r>
      <w:r>
        <w:rPr>
          <w:rFonts w:eastAsiaTheme="minorEastAsia"/>
          <w:iCs/>
        </w:rPr>
        <w:t xml:space="preserve">is the specific heat, </w:t>
      </w:r>
      <m:oMath>
        <m:d>
          <m:dPr>
            <m:ctrlPr>
              <w:rPr>
                <w:rFonts w:ascii="Cambria Math" w:eastAsiaTheme="minorEastAsia" w:hAnsi="Cambria Math"/>
                <w:i/>
                <w:iCs/>
                <w:lang w:val="it-IT"/>
              </w:rPr>
            </m:ctrlPr>
          </m:dPr>
          <m:e>
            <m:sSub>
              <m:sSubPr>
                <m:ctrlPr>
                  <w:rPr>
                    <w:rFonts w:ascii="Cambria Math" w:eastAsiaTheme="minorEastAsia" w:hAnsi="Cambria Math"/>
                    <w:i/>
                    <w:iCs/>
                    <w:lang w:val="it-IT"/>
                  </w:rPr>
                </m:ctrlPr>
              </m:sSubPr>
              <m:e>
                <m:r>
                  <w:rPr>
                    <w:rFonts w:ascii="Cambria Math" w:eastAsiaTheme="minorEastAsia" w:hAnsi="Cambria Math"/>
                    <w:lang w:val="it-IT"/>
                  </w:rPr>
                  <m:t>T</m:t>
                </m:r>
              </m:e>
              <m:sub>
                <m:r>
                  <w:rPr>
                    <w:rFonts w:ascii="Cambria Math" w:eastAsiaTheme="minorEastAsia" w:hAnsi="Cambria Math"/>
                    <w:lang w:val="it-IT"/>
                  </w:rPr>
                  <m:t>ven</m:t>
                </m:r>
              </m:sub>
            </m:sSub>
            <m:r>
              <w:rPr>
                <w:rFonts w:ascii="Cambria Math" w:eastAsiaTheme="minorEastAsia" w:hAnsi="Cambria Math"/>
              </w:rPr>
              <m:t>-</m:t>
            </m:r>
            <m:sSub>
              <m:sSubPr>
                <m:ctrlPr>
                  <w:rPr>
                    <w:rFonts w:ascii="Cambria Math" w:eastAsiaTheme="minorEastAsia" w:hAnsi="Cambria Math"/>
                    <w:i/>
                    <w:iCs/>
                    <w:lang w:val="it-IT"/>
                  </w:rPr>
                </m:ctrlPr>
              </m:sSubPr>
              <m:e>
                <m:r>
                  <w:rPr>
                    <w:rFonts w:ascii="Cambria Math" w:eastAsiaTheme="minorEastAsia" w:hAnsi="Cambria Math"/>
                    <w:lang w:val="it-IT"/>
                  </w:rPr>
                  <m:t>T</m:t>
                </m:r>
              </m:e>
              <m:sub>
                <m:r>
                  <w:rPr>
                    <w:rFonts w:ascii="Cambria Math" w:eastAsiaTheme="minorEastAsia" w:hAnsi="Cambria Math"/>
                    <w:lang w:val="it-IT"/>
                  </w:rPr>
                  <m:t>art</m:t>
                </m:r>
              </m:sub>
            </m:sSub>
          </m:e>
        </m:d>
      </m:oMath>
      <w:r w:rsidRPr="0004657A">
        <w:rPr>
          <w:rFonts w:eastAsiaTheme="minorEastAsia"/>
          <w:iCs/>
        </w:rPr>
        <w:t xml:space="preserve"> </w:t>
      </w:r>
      <w:r>
        <w:rPr>
          <w:rFonts w:eastAsiaTheme="minorEastAsia"/>
          <w:iCs/>
        </w:rPr>
        <w:t xml:space="preserve">is the difference between arterial and venous blood temperature. On the other hand, </w:t>
      </w:r>
      <m:oMath>
        <m:r>
          <m:rPr>
            <m:sty m:val="bi"/>
          </m:rPr>
          <w:rPr>
            <w:rFonts w:ascii="Cambria Math" w:eastAsiaTheme="minorEastAsia" w:hAnsi="Cambria Math"/>
          </w:rPr>
          <m:t> </m:t>
        </m:r>
        <m:r>
          <m:rPr>
            <m:sty m:val="bi"/>
          </m:rPr>
          <w:rPr>
            <w:rFonts w:ascii="Cambria Math" w:eastAsiaTheme="minorEastAsia" w:hAnsi="Cambria Math"/>
            <w:lang w:val="it-IT"/>
          </w:rPr>
          <m:t>ϵ</m:t>
        </m:r>
      </m:oMath>
      <w:r w:rsidRPr="0004657A">
        <w:rPr>
          <w:rFonts w:eastAsiaTheme="minorEastAsia"/>
          <w:iCs/>
        </w:rPr>
        <w:t xml:space="preserve"> is a parameter that e</w:t>
      </w:r>
      <w:r>
        <w:rPr>
          <w:rFonts w:eastAsiaTheme="minorEastAsia"/>
          <w:iCs/>
        </w:rPr>
        <w:t xml:space="preserve">xpresses the </w:t>
      </w:r>
      <w:r w:rsidR="002D1CF1">
        <w:rPr>
          <w:rFonts w:eastAsiaTheme="minorEastAsia"/>
          <w:iCs/>
        </w:rPr>
        <w:t>percentage</w:t>
      </w:r>
      <w:r>
        <w:rPr>
          <w:rFonts w:eastAsiaTheme="minorEastAsia"/>
          <w:iCs/>
        </w:rPr>
        <w:t xml:space="preserve"> of energy transferred to tissues </w:t>
      </w:r>
      <w:r w:rsidR="002D1CF1">
        <w:rPr>
          <w:rFonts w:eastAsiaTheme="minorEastAsia"/>
          <w:iCs/>
        </w:rPr>
        <w:t xml:space="preserve">compared to the maximum </w:t>
      </w:r>
      <w:r>
        <w:rPr>
          <w:rFonts w:eastAsiaTheme="minorEastAsia"/>
          <w:iCs/>
        </w:rPr>
        <w:t xml:space="preserve">and </w:t>
      </w:r>
      <w:r w:rsidR="002D1CF1">
        <w:rPr>
          <w:rFonts w:eastAsiaTheme="minorEastAsia"/>
          <w:iCs/>
        </w:rPr>
        <w:t>it</w:t>
      </w:r>
      <w:r>
        <w:rPr>
          <w:rFonts w:eastAsiaTheme="minorEastAsia"/>
          <w:iCs/>
        </w:rPr>
        <w:t xml:space="preserve"> depends on the </w:t>
      </w:r>
      <w:r w:rsidRPr="003C3CB0">
        <w:rPr>
          <w:rFonts w:eastAsiaTheme="minorEastAsia"/>
          <w:b/>
          <w:bCs/>
          <w:iCs/>
        </w:rPr>
        <w:t>heat exchange surface</w:t>
      </w:r>
      <w:r w:rsidR="003C3CB0">
        <w:rPr>
          <w:rFonts w:eastAsiaTheme="minorEastAsia"/>
          <w:iCs/>
        </w:rPr>
        <w:t xml:space="preserve"> and the </w:t>
      </w:r>
      <w:r w:rsidR="003C3CB0" w:rsidRPr="003C3CB0">
        <w:rPr>
          <w:rFonts w:eastAsiaTheme="minorEastAsia"/>
          <w:b/>
          <w:bCs/>
          <w:iCs/>
        </w:rPr>
        <w:t>heat transfer efficiency</w:t>
      </w:r>
      <w:r>
        <w:rPr>
          <w:rFonts w:eastAsiaTheme="minorEastAsia"/>
          <w:iCs/>
        </w:rPr>
        <w:t xml:space="preserve">. In our calculation, </w:t>
      </w:r>
      <m:oMath>
        <m:sSub>
          <m:sSubPr>
            <m:ctrlPr>
              <w:rPr>
                <w:rFonts w:ascii="Cambria Math" w:eastAsiaTheme="minorEastAsia" w:hAnsi="Cambria Math"/>
                <w:i/>
                <w:iCs/>
                <w:lang w:val="it-IT"/>
              </w:rPr>
            </m:ctrlPr>
          </m:sSubPr>
          <m:e>
            <m:r>
              <w:rPr>
                <w:rFonts w:ascii="Cambria Math" w:eastAsiaTheme="minorEastAsia" w:hAnsi="Cambria Math"/>
                <w:lang w:val="it-IT"/>
              </w:rPr>
              <m:t>T</m:t>
            </m:r>
          </m:e>
          <m:sub>
            <m:r>
              <w:rPr>
                <w:rFonts w:ascii="Cambria Math" w:eastAsiaTheme="minorEastAsia" w:hAnsi="Cambria Math"/>
                <w:lang w:val="it-IT"/>
              </w:rPr>
              <m:t>ven</m:t>
            </m:r>
          </m:sub>
        </m:sSub>
      </m:oMath>
      <w:r w:rsidRPr="005E3CF9">
        <w:rPr>
          <w:rFonts w:eastAsiaTheme="minorEastAsia"/>
          <w:iCs/>
        </w:rPr>
        <w:t xml:space="preserve"> is a</w:t>
      </w:r>
      <w:r>
        <w:rPr>
          <w:rFonts w:eastAsiaTheme="minorEastAsia"/>
          <w:iCs/>
        </w:rPr>
        <w:t xml:space="preserve">ssumed to be equal to the internal temperature of the cylinder while </w:t>
      </w:r>
      <m:oMath>
        <m:sSub>
          <m:sSubPr>
            <m:ctrlPr>
              <w:rPr>
                <w:rFonts w:ascii="Cambria Math" w:eastAsiaTheme="minorEastAsia" w:hAnsi="Cambria Math"/>
                <w:i/>
                <w:iCs/>
                <w:lang w:val="it-IT"/>
              </w:rPr>
            </m:ctrlPr>
          </m:sSubPr>
          <m:e>
            <m:r>
              <w:rPr>
                <w:rFonts w:ascii="Cambria Math" w:eastAsiaTheme="minorEastAsia" w:hAnsi="Cambria Math"/>
                <w:lang w:val="it-IT"/>
              </w:rPr>
              <m:t>T</m:t>
            </m:r>
          </m:e>
          <m:sub>
            <m:r>
              <w:rPr>
                <w:rFonts w:ascii="Cambria Math" w:eastAsiaTheme="minorEastAsia" w:hAnsi="Cambria Math"/>
                <w:lang w:val="it-IT"/>
              </w:rPr>
              <m:t>art</m:t>
            </m:r>
          </m:sub>
        </m:sSub>
      </m:oMath>
      <w:r w:rsidRPr="005E3CF9">
        <w:rPr>
          <w:rFonts w:eastAsiaTheme="minorEastAsia"/>
          <w:iCs/>
        </w:rPr>
        <w:t xml:space="preserve"> </w:t>
      </w:r>
      <w:r>
        <w:rPr>
          <w:rFonts w:eastAsiaTheme="minorEastAsia"/>
          <w:iCs/>
        </w:rPr>
        <w:t>is the temperature of the previous cylinder</w:t>
      </w:r>
      <w:r w:rsidR="00861598">
        <w:rPr>
          <w:rFonts w:eastAsiaTheme="minorEastAsia"/>
          <w:iCs/>
        </w:rPr>
        <w:t xml:space="preserve"> according to the flow of blood</w:t>
      </w:r>
      <w:r>
        <w:rPr>
          <w:rFonts w:eastAsiaTheme="minorEastAsia"/>
          <w:iCs/>
        </w:rPr>
        <w:t xml:space="preserve">. </w:t>
      </w:r>
      <w:r w:rsidR="003C3CB0">
        <w:rPr>
          <w:rFonts w:eastAsiaTheme="minorEastAsia"/>
          <w:iCs/>
        </w:rPr>
        <w:t>The human body has the possibility to enlarge (</w:t>
      </w:r>
      <w:r w:rsidR="003C3CB0" w:rsidRPr="003C3CB0">
        <w:rPr>
          <w:rFonts w:eastAsiaTheme="minorEastAsia"/>
          <w:b/>
          <w:bCs/>
          <w:iCs/>
        </w:rPr>
        <w:t>vasodilatation</w:t>
      </w:r>
      <w:r w:rsidR="003C3CB0">
        <w:rPr>
          <w:rFonts w:eastAsiaTheme="minorEastAsia"/>
          <w:iCs/>
        </w:rPr>
        <w:t>) or to restrict (</w:t>
      </w:r>
      <w:r w:rsidR="003C3CB0" w:rsidRPr="003C3CB0">
        <w:rPr>
          <w:rFonts w:eastAsiaTheme="minorEastAsia"/>
          <w:b/>
          <w:bCs/>
          <w:iCs/>
        </w:rPr>
        <w:t>vasoconstriction</w:t>
      </w:r>
      <w:r w:rsidR="003C3CB0">
        <w:rPr>
          <w:rFonts w:eastAsiaTheme="minorEastAsia"/>
          <w:iCs/>
        </w:rPr>
        <w:t xml:space="preserve">) the cross-section of veins and arteries to regulate the heat exchanges between blood and tissues, with the objective to keep the core temperature around 37°C. This mechanism is called thermoregulation system. For example, in cold environments, vasoconstriction allows to reduce the heat exchange surface and limit the dispersions; the opposite mechanism occurs in hot environments, in which the human body aims to increase the dispersions. </w:t>
      </w:r>
      <w:r w:rsidR="003C3CB0" w:rsidRPr="003C3CB0">
        <w:rPr>
          <w:rFonts w:eastAsiaTheme="minorEastAsia"/>
          <w:b/>
          <w:bCs/>
          <w:iCs/>
        </w:rPr>
        <w:t xml:space="preserve">The variations of heat exchanges surfaces (vasoconstriction and vasodilatation) result in variations of the parameter </w:t>
      </w:r>
      <m:oMath>
        <m:r>
          <m:rPr>
            <m:sty m:val="bi"/>
          </m:rPr>
          <w:rPr>
            <w:rFonts w:ascii="Cambria Math" w:eastAsiaTheme="minorEastAsia" w:hAnsi="Cambria Math"/>
            <w:lang w:val="it-IT"/>
          </w:rPr>
          <m:t>ϵ</m:t>
        </m:r>
      </m:oMath>
      <w:r w:rsidR="003C3CB0" w:rsidRPr="003C3CB0">
        <w:rPr>
          <w:rFonts w:eastAsiaTheme="minorEastAsia"/>
          <w:b/>
          <w:bCs/>
          <w:iCs/>
        </w:rPr>
        <w:t>.</w:t>
      </w:r>
      <w:r w:rsidR="003C3CB0">
        <w:rPr>
          <w:rFonts w:eastAsiaTheme="minorEastAsia"/>
          <w:b/>
          <w:bCs/>
          <w:iCs/>
        </w:rPr>
        <w:t xml:space="preserve"> </w:t>
      </w:r>
      <w:r w:rsidR="003C3CB0">
        <w:rPr>
          <w:rFonts w:eastAsiaTheme="minorEastAsia"/>
          <w:iCs/>
        </w:rPr>
        <w:t xml:space="preserve">Indeed, the model returns </w:t>
      </w:r>
      <m:oMath>
        <m:r>
          <m:rPr>
            <m:sty m:val="bi"/>
          </m:rPr>
          <w:rPr>
            <w:rFonts w:ascii="Cambria Math" w:eastAsiaTheme="minorEastAsia" w:hAnsi="Cambria Math"/>
            <w:lang w:val="it-IT"/>
          </w:rPr>
          <m:t>ϵ</m:t>
        </m:r>
      </m:oMath>
      <w:r w:rsidR="003C3CB0" w:rsidRPr="003C3CB0">
        <w:rPr>
          <w:rFonts w:eastAsiaTheme="minorEastAsia"/>
          <w:b/>
          <w:bCs/>
          <w:iCs/>
        </w:rPr>
        <w:t xml:space="preserve"> </w:t>
      </w:r>
      <w:r w:rsidR="003C3CB0" w:rsidRPr="003C3CB0">
        <w:rPr>
          <w:rFonts w:eastAsiaTheme="minorEastAsia"/>
          <w:iCs/>
        </w:rPr>
        <w:t>values</w:t>
      </w:r>
      <w:r w:rsidR="003C3CB0">
        <w:rPr>
          <w:rFonts w:eastAsiaTheme="minorEastAsia"/>
          <w:iCs/>
        </w:rPr>
        <w:t xml:space="preserve"> as function of the external temperature (Figure 2).</w:t>
      </w:r>
      <w:r w:rsidR="00BB6906">
        <w:rPr>
          <w:rFonts w:eastAsiaTheme="minorEastAsia"/>
          <w:iCs/>
        </w:rPr>
        <w:t xml:space="preserve"> </w:t>
      </w:r>
      <w:r w:rsidR="00BB6906" w:rsidRPr="00BB6906">
        <w:rPr>
          <w:rFonts w:eastAsiaTheme="minorEastAsia"/>
          <w:b/>
          <w:bCs/>
          <w:iCs/>
          <w:color w:val="FF0000"/>
        </w:rPr>
        <w:t xml:space="preserve">N.B. The model developed on EES </w:t>
      </w:r>
      <w:r w:rsidR="00861598">
        <w:rPr>
          <w:rFonts w:eastAsiaTheme="minorEastAsia"/>
          <w:b/>
          <w:bCs/>
          <w:iCs/>
          <w:color w:val="FF0000"/>
        </w:rPr>
        <w:t xml:space="preserve">precisely </w:t>
      </w:r>
      <w:r w:rsidR="00BB6906" w:rsidRPr="00BB6906">
        <w:rPr>
          <w:rFonts w:eastAsiaTheme="minorEastAsia"/>
          <w:b/>
          <w:bCs/>
          <w:iCs/>
          <w:color w:val="FF0000"/>
        </w:rPr>
        <w:t xml:space="preserve">calculates </w:t>
      </w:r>
      <m:oMath>
        <m:r>
          <m:rPr>
            <m:sty m:val="bi"/>
          </m:rPr>
          <w:rPr>
            <w:rFonts w:ascii="Cambria Math" w:eastAsiaTheme="minorEastAsia" w:hAnsi="Cambria Math"/>
            <w:color w:val="FF0000"/>
            <w:lang w:val="it-IT"/>
          </w:rPr>
          <m:t>ϵ</m:t>
        </m:r>
      </m:oMath>
      <w:r w:rsidR="00BB6906" w:rsidRPr="00BB6906">
        <w:rPr>
          <w:rFonts w:eastAsiaTheme="minorEastAsia"/>
          <w:b/>
          <w:bCs/>
          <w:color w:val="FF0000"/>
        </w:rPr>
        <w:t xml:space="preserve">, whereas the python code may present numerical problems in  </w:t>
      </w:r>
      <m:oMath>
        <m:r>
          <m:rPr>
            <m:sty m:val="bi"/>
          </m:rPr>
          <w:rPr>
            <w:rFonts w:ascii="Cambria Math" w:eastAsiaTheme="minorEastAsia" w:hAnsi="Cambria Math"/>
            <w:color w:val="FF0000"/>
            <w:lang w:val="it-IT"/>
          </w:rPr>
          <m:t>ϵ</m:t>
        </m:r>
      </m:oMath>
      <w:r w:rsidR="00BB6906" w:rsidRPr="00BB6906">
        <w:rPr>
          <w:rFonts w:eastAsiaTheme="minorEastAsia"/>
          <w:b/>
          <w:bCs/>
          <w:color w:val="FF0000"/>
        </w:rPr>
        <w:t xml:space="preserve"> evaluation.</w:t>
      </w:r>
    </w:p>
    <w:p w14:paraId="708FD0DC" w14:textId="424CCCE3" w:rsidR="003C3CB0" w:rsidRDefault="003C3CB0" w:rsidP="003C3CB0">
      <w:pPr>
        <w:jc w:val="center"/>
        <w:rPr>
          <w:rFonts w:eastAsiaTheme="minorEastAsia"/>
          <w:iCs/>
        </w:rPr>
      </w:pPr>
      <w:r w:rsidRPr="003C3CB0">
        <w:rPr>
          <w:rFonts w:eastAsiaTheme="minorEastAsia"/>
          <w:iCs/>
          <w:noProof/>
        </w:rPr>
        <w:drawing>
          <wp:inline distT="0" distB="0" distL="0" distR="0" wp14:anchorId="175CED32" wp14:editId="2A469B53">
            <wp:extent cx="4371149" cy="3025517"/>
            <wp:effectExtent l="0" t="0" r="0" b="3810"/>
            <wp:docPr id="10" name="Immagine 9" descr="A picture containing text, diagram, line, plot&#10;&#10;Description automatically generated">
              <a:extLst xmlns:a="http://schemas.openxmlformats.org/drawingml/2006/main">
                <a:ext uri="{FF2B5EF4-FFF2-40B4-BE49-F238E27FC236}">
                  <a16:creationId xmlns:a16="http://schemas.microsoft.com/office/drawing/2014/main" id="{46AEBD3B-0036-47E8-904E-44673D7B4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descr="A picture containing text, diagram, line, plot&#10;&#10;Description automatically generated">
                      <a:extLst>
                        <a:ext uri="{FF2B5EF4-FFF2-40B4-BE49-F238E27FC236}">
                          <a16:creationId xmlns:a16="http://schemas.microsoft.com/office/drawing/2014/main" id="{46AEBD3B-0036-47E8-904E-44673D7B464B}"/>
                        </a:ext>
                      </a:extLst>
                    </pic:cNvPr>
                    <pic:cNvPicPr>
                      <a:picLocks noChangeAspect="1"/>
                    </pic:cNvPicPr>
                  </pic:nvPicPr>
                  <pic:blipFill>
                    <a:blip r:embed="rId11"/>
                    <a:stretch>
                      <a:fillRect/>
                    </a:stretch>
                  </pic:blipFill>
                  <pic:spPr>
                    <a:xfrm>
                      <a:off x="0" y="0"/>
                      <a:ext cx="4381833" cy="3032912"/>
                    </a:xfrm>
                    <a:prstGeom prst="rect">
                      <a:avLst/>
                    </a:prstGeom>
                  </pic:spPr>
                </pic:pic>
              </a:graphicData>
            </a:graphic>
          </wp:inline>
        </w:drawing>
      </w:r>
    </w:p>
    <w:p w14:paraId="1CAA20AD" w14:textId="35A74DEB" w:rsidR="003C3CB0" w:rsidRPr="006B6AEB" w:rsidRDefault="003C3CB0" w:rsidP="003C3CB0">
      <w:pPr>
        <w:jc w:val="center"/>
        <w:rPr>
          <w:rFonts w:eastAsiaTheme="minorEastAsia"/>
          <w:i/>
          <w:sz w:val="18"/>
          <w:szCs w:val="18"/>
        </w:rPr>
      </w:pPr>
      <w:r w:rsidRPr="006B6AEB">
        <w:rPr>
          <w:rFonts w:eastAsiaTheme="minorEastAsia"/>
          <w:i/>
          <w:sz w:val="18"/>
          <w:szCs w:val="18"/>
        </w:rPr>
        <w:t xml:space="preserve">Figure 2: calculation of the parameter </w:t>
      </w:r>
      <m:oMath>
        <m:r>
          <m:rPr>
            <m:sty m:val="bi"/>
          </m:rPr>
          <w:rPr>
            <w:rFonts w:ascii="Cambria Math" w:eastAsiaTheme="minorEastAsia" w:hAnsi="Cambria Math"/>
            <w:sz w:val="18"/>
            <w:szCs w:val="18"/>
            <w:lang w:val="it-IT"/>
          </w:rPr>
          <m:t>ϵ</m:t>
        </m:r>
      </m:oMath>
      <w:r w:rsidRPr="006B6AEB">
        <w:rPr>
          <w:rFonts w:eastAsiaTheme="minorEastAsia"/>
          <w:b/>
          <w:bCs/>
          <w:i/>
          <w:sz w:val="18"/>
          <w:szCs w:val="18"/>
        </w:rPr>
        <w:t xml:space="preserve"> </w:t>
      </w:r>
      <w:r w:rsidRPr="006B6AEB">
        <w:rPr>
          <w:rFonts w:eastAsiaTheme="minorEastAsia"/>
          <w:i/>
          <w:sz w:val="18"/>
          <w:szCs w:val="18"/>
        </w:rPr>
        <w:t>as function of the ambient temperature.</w:t>
      </w:r>
    </w:p>
    <w:p w14:paraId="12482858" w14:textId="7EE5A8B5" w:rsidR="00525ACC" w:rsidRPr="00BB6906" w:rsidRDefault="00525ACC" w:rsidP="00525ACC">
      <w:pPr>
        <w:jc w:val="both"/>
        <w:rPr>
          <w:rFonts w:eastAsiaTheme="minorEastAsia"/>
          <w:b/>
          <w:bCs/>
          <w:iCs/>
        </w:rPr>
      </w:pPr>
      <w:r w:rsidRPr="00525ACC">
        <w:rPr>
          <w:rFonts w:eastAsiaTheme="minorEastAsia"/>
          <w:b/>
          <w:bCs/>
          <w:iCs/>
        </w:rPr>
        <w:lastRenderedPageBreak/>
        <w:t>A</w:t>
      </w:r>
      <w:r w:rsidR="003C3CB0">
        <w:rPr>
          <w:rFonts w:eastAsiaTheme="minorEastAsia"/>
          <w:b/>
          <w:bCs/>
          <w:iCs/>
        </w:rPr>
        <w:t xml:space="preserve">t the </w:t>
      </w:r>
      <w:r w:rsidR="00BB6906">
        <w:rPr>
          <w:rFonts w:eastAsiaTheme="minorEastAsia"/>
          <w:b/>
          <w:bCs/>
          <w:iCs/>
        </w:rPr>
        <w:t>status</w:t>
      </w:r>
      <w:r w:rsidR="003C3CB0">
        <w:rPr>
          <w:rFonts w:eastAsiaTheme="minorEastAsia"/>
          <w:b/>
          <w:bCs/>
          <w:iCs/>
        </w:rPr>
        <w:t xml:space="preserve"> of the model, </w:t>
      </w:r>
      <w:r w:rsidR="00BB6906">
        <w:rPr>
          <w:rFonts w:eastAsiaTheme="minorEastAsia"/>
          <w:b/>
          <w:bCs/>
          <w:iCs/>
        </w:rPr>
        <w:t>a</w:t>
      </w:r>
      <w:r w:rsidRPr="00525ACC">
        <w:rPr>
          <w:rFonts w:eastAsiaTheme="minorEastAsia"/>
          <w:b/>
          <w:bCs/>
          <w:iCs/>
        </w:rPr>
        <w:t xml:space="preserve"> direct correlation between the </w:t>
      </w:r>
      <w:r w:rsidR="00106341">
        <w:rPr>
          <w:rFonts w:eastAsiaTheme="minorEastAsia"/>
          <w:b/>
          <w:bCs/>
          <w:iCs/>
        </w:rPr>
        <w:t>blood flow rate</w:t>
      </w:r>
      <w:r w:rsidRPr="00525ACC">
        <w:rPr>
          <w:rFonts w:eastAsiaTheme="minorEastAsia"/>
          <w:b/>
          <w:bCs/>
          <w:iCs/>
        </w:rPr>
        <w:t xml:space="preserve"> </w:t>
      </w:r>
      <w:r w:rsidR="00106341">
        <w:rPr>
          <w:rFonts w:eastAsiaTheme="minorEastAsia"/>
          <w:b/>
          <w:bCs/>
          <w:iCs/>
        </w:rPr>
        <w:t>(</w:t>
      </w:r>
      <m:oMath>
        <m:sSub>
          <m:sSubPr>
            <m:ctrlPr>
              <w:rPr>
                <w:rFonts w:ascii="Cambria Math" w:eastAsiaTheme="minorEastAsia" w:hAnsi="Cambria Math"/>
                <w:b/>
                <w:bCs/>
                <w:i/>
                <w:iCs/>
                <w:lang w:val="it-IT"/>
              </w:rPr>
            </m:ctrlPr>
          </m:sSubPr>
          <m:e>
            <m:r>
              <m:rPr>
                <m:sty m:val="bi"/>
              </m:rPr>
              <w:rPr>
                <w:rFonts w:ascii="Cambria Math" w:eastAsiaTheme="minorEastAsia" w:hAnsi="Cambria Math"/>
                <w:lang w:val="it-IT"/>
              </w:rPr>
              <m:t>v</m:t>
            </m:r>
          </m:e>
          <m:sub>
            <m:r>
              <m:rPr>
                <m:sty m:val="bi"/>
              </m:rPr>
              <w:rPr>
                <w:rFonts w:ascii="Cambria Math" w:eastAsiaTheme="minorEastAsia" w:hAnsi="Cambria Math"/>
                <w:lang w:val="it-IT"/>
              </w:rPr>
              <m:t>bl</m:t>
            </m:r>
            <m:r>
              <m:rPr>
                <m:sty m:val="bi"/>
              </m:rPr>
              <w:rPr>
                <w:rFonts w:ascii="Cambria Math" w:eastAsiaTheme="minorEastAsia" w:hAnsi="Cambria Math"/>
              </w:rPr>
              <m:t>,</m:t>
            </m:r>
            <m:r>
              <m:rPr>
                <m:sty m:val="bi"/>
              </m:rPr>
              <w:rPr>
                <w:rFonts w:ascii="Cambria Math" w:eastAsiaTheme="minorEastAsia" w:hAnsi="Cambria Math"/>
                <w:lang w:val="it-IT"/>
              </w:rPr>
              <m:t>n</m:t>
            </m:r>
            <m:r>
              <m:rPr>
                <m:sty m:val="bi"/>
              </m:rPr>
              <w:rPr>
                <w:rFonts w:ascii="Cambria Math" w:eastAsiaTheme="minorEastAsia" w:hAnsi="Cambria Math"/>
              </w:rPr>
              <m:t> </m:t>
            </m:r>
          </m:sub>
        </m:sSub>
      </m:oMath>
      <w:r w:rsidR="00106341" w:rsidRPr="00106341">
        <w:rPr>
          <w:rFonts w:eastAsiaTheme="minorEastAsia"/>
          <w:b/>
          <w:bCs/>
          <w:iCs/>
        </w:rPr>
        <w:t xml:space="preserve">) </w:t>
      </w:r>
      <w:r w:rsidRPr="00525ACC">
        <w:rPr>
          <w:rFonts w:eastAsiaTheme="minorEastAsia"/>
          <w:b/>
          <w:bCs/>
          <w:iCs/>
        </w:rPr>
        <w:t>and</w:t>
      </w:r>
      <w:r w:rsidR="00106341">
        <w:rPr>
          <w:rFonts w:eastAsiaTheme="minorEastAsia"/>
          <w:b/>
          <w:bCs/>
          <w:iCs/>
        </w:rPr>
        <w:t xml:space="preserve"> the metabolism</w:t>
      </w:r>
      <w:r w:rsidRPr="00525ACC">
        <w:rPr>
          <w:rFonts w:eastAsiaTheme="minorEastAsia"/>
          <w:b/>
          <w:bCs/>
          <w:iCs/>
        </w:rPr>
        <w:t xml:space="preserve"> </w:t>
      </w:r>
      <w:r w:rsidR="00106341">
        <w:rPr>
          <w:rFonts w:eastAsiaTheme="minorEastAsia"/>
          <w:b/>
          <w:bCs/>
          <w:iCs/>
        </w:rPr>
        <w:t>(</w:t>
      </w:r>
      <m:oMath>
        <m:sSub>
          <m:sSubPr>
            <m:ctrlPr>
              <w:rPr>
                <w:rFonts w:ascii="Cambria Math" w:hAnsi="Cambria Math"/>
                <w:b/>
                <w:bCs/>
                <w:i/>
                <w:iCs/>
                <w:sz w:val="20"/>
                <w:szCs w:val="20"/>
                <w:lang w:val="it-IT"/>
              </w:rPr>
            </m:ctrlPr>
          </m:sSubPr>
          <m:e>
            <m:r>
              <m:rPr>
                <m:sty m:val="bi"/>
              </m:rPr>
              <w:rPr>
                <w:rFonts w:ascii="Cambria Math" w:hAnsi="Cambria Math"/>
                <w:sz w:val="20"/>
                <w:szCs w:val="20"/>
                <w:lang w:val="it-IT"/>
              </w:rPr>
              <m:t>M</m:t>
            </m:r>
          </m:e>
          <m:sub>
            <m:r>
              <m:rPr>
                <m:sty m:val="bi"/>
              </m:rPr>
              <w:rPr>
                <w:rFonts w:ascii="Cambria Math" w:hAnsi="Cambria Math"/>
                <w:sz w:val="20"/>
                <w:szCs w:val="20"/>
                <w:lang w:val="it-IT"/>
              </w:rPr>
              <m:t>n</m:t>
            </m:r>
          </m:sub>
        </m:sSub>
      </m:oMath>
      <w:r w:rsidR="00106341" w:rsidRPr="00BB6906">
        <w:rPr>
          <w:rFonts w:eastAsiaTheme="minorEastAsia"/>
          <w:b/>
          <w:bCs/>
          <w:iCs/>
          <w:sz w:val="20"/>
          <w:szCs w:val="20"/>
        </w:rPr>
        <w:t>)</w:t>
      </w:r>
      <w:r w:rsidRPr="00BB6906">
        <w:rPr>
          <w:rFonts w:eastAsiaTheme="minorEastAsia"/>
          <w:b/>
          <w:bCs/>
          <w:iCs/>
          <w:sz w:val="20"/>
          <w:szCs w:val="20"/>
        </w:rPr>
        <w:t xml:space="preserve"> </w:t>
      </w:r>
      <w:r w:rsidRPr="00525ACC">
        <w:rPr>
          <w:rFonts w:eastAsiaTheme="minorEastAsia"/>
          <w:b/>
          <w:bCs/>
          <w:iCs/>
        </w:rPr>
        <w:t xml:space="preserve">is not </w:t>
      </w:r>
      <w:r w:rsidR="00BB6906">
        <w:rPr>
          <w:rFonts w:eastAsiaTheme="minorEastAsia"/>
          <w:b/>
          <w:bCs/>
          <w:iCs/>
        </w:rPr>
        <w:t>implemented</w:t>
      </w:r>
      <w:r w:rsidR="00106341">
        <w:rPr>
          <w:rFonts w:eastAsiaTheme="minorEastAsia"/>
          <w:b/>
          <w:bCs/>
          <w:iCs/>
        </w:rPr>
        <w:t>. Nevertheless,</w:t>
      </w:r>
      <w:r w:rsidRPr="00525ACC">
        <w:rPr>
          <w:rFonts w:eastAsiaTheme="minorEastAsia"/>
          <w:b/>
          <w:bCs/>
          <w:iCs/>
        </w:rPr>
        <w:t xml:space="preserve"> </w:t>
      </w:r>
      <w:r w:rsidR="00BB6906">
        <w:rPr>
          <w:rFonts w:eastAsiaTheme="minorEastAsia"/>
          <w:b/>
          <w:bCs/>
          <w:iCs/>
        </w:rPr>
        <w:t>this issue will be addressed in the future</w:t>
      </w:r>
      <w:r w:rsidR="00106341">
        <w:rPr>
          <w:rFonts w:eastAsiaTheme="minorEastAsia"/>
          <w:b/>
          <w:bCs/>
          <w:iCs/>
        </w:rPr>
        <w:t xml:space="preserve"> </w:t>
      </w:r>
      <w:r w:rsidRPr="00525ACC">
        <w:rPr>
          <w:rFonts w:eastAsiaTheme="minorEastAsia"/>
          <w:b/>
          <w:bCs/>
          <w:iCs/>
        </w:rPr>
        <w:t>because</w:t>
      </w:r>
      <w:r w:rsidR="00BB6906">
        <w:rPr>
          <w:rFonts w:eastAsiaTheme="minorEastAsia"/>
          <w:b/>
          <w:bCs/>
          <w:iCs/>
        </w:rPr>
        <w:t>, since</w:t>
      </w:r>
      <w:r w:rsidRPr="00525ACC">
        <w:rPr>
          <w:rFonts w:eastAsiaTheme="minorEastAsia"/>
          <w:b/>
          <w:bCs/>
          <w:iCs/>
        </w:rPr>
        <w:t xml:space="preserve"> the actual function of blood is providing </w:t>
      </w:r>
      <w:r w:rsidR="00BB6906">
        <w:rPr>
          <w:rFonts w:eastAsiaTheme="minorEastAsia"/>
          <w:b/>
          <w:bCs/>
          <w:iCs/>
        </w:rPr>
        <w:t>oxygen needed by</w:t>
      </w:r>
      <w:r w:rsidRPr="00525ACC">
        <w:rPr>
          <w:rFonts w:eastAsiaTheme="minorEastAsia"/>
          <w:b/>
          <w:bCs/>
          <w:iCs/>
        </w:rPr>
        <w:t xml:space="preserve"> body tissues for metabolism</w:t>
      </w:r>
      <w:r w:rsidR="00BB6906">
        <w:rPr>
          <w:rFonts w:eastAsiaTheme="minorEastAsia"/>
          <w:b/>
          <w:bCs/>
          <w:iCs/>
        </w:rPr>
        <w:t>, there is a close correlation between these two variables</w:t>
      </w:r>
      <w:r>
        <w:rPr>
          <w:rFonts w:eastAsiaTheme="minorEastAsia"/>
          <w:iCs/>
        </w:rPr>
        <w:t>.</w:t>
      </w:r>
      <w:r w:rsidR="00106341">
        <w:rPr>
          <w:rFonts w:eastAsiaTheme="minorEastAsia"/>
          <w:iCs/>
        </w:rPr>
        <w:t xml:space="preserve"> </w:t>
      </w:r>
      <w:r w:rsidR="00BB6906" w:rsidRPr="00BB6906">
        <w:rPr>
          <w:rFonts w:eastAsiaTheme="minorEastAsia"/>
          <w:b/>
          <w:bCs/>
          <w:iCs/>
        </w:rPr>
        <w:t>On its turn</w:t>
      </w:r>
      <w:r w:rsidR="00106341" w:rsidRPr="00BB6906">
        <w:rPr>
          <w:rFonts w:eastAsiaTheme="minorEastAsia"/>
          <w:b/>
          <w:bCs/>
          <w:iCs/>
        </w:rPr>
        <w:t xml:space="preserve">, the blood mass flow rate </w:t>
      </w:r>
      <w:r w:rsidR="00BB6906" w:rsidRPr="00BB6906">
        <w:rPr>
          <w:rFonts w:eastAsiaTheme="minorEastAsia"/>
          <w:b/>
          <w:bCs/>
          <w:iCs/>
        </w:rPr>
        <w:t>is</w:t>
      </w:r>
      <w:r w:rsidR="00BB6906">
        <w:rPr>
          <w:rFonts w:eastAsiaTheme="minorEastAsia"/>
          <w:b/>
          <w:bCs/>
          <w:iCs/>
        </w:rPr>
        <w:t xml:space="preserve"> in principle</w:t>
      </w:r>
      <w:r w:rsidR="00BB6906" w:rsidRPr="00BB6906">
        <w:rPr>
          <w:rFonts w:eastAsiaTheme="minorEastAsia"/>
          <w:b/>
          <w:bCs/>
          <w:iCs/>
        </w:rPr>
        <w:t xml:space="preserve"> related to the heart rate.</w:t>
      </w:r>
    </w:p>
    <w:p w14:paraId="3AAED553" w14:textId="38D93CE2" w:rsidR="00525ACC" w:rsidRDefault="00525ACC" w:rsidP="00D76023">
      <w:pPr>
        <w:jc w:val="both"/>
        <w:rPr>
          <w:rFonts w:eastAsiaTheme="minorEastAsia"/>
          <w:iCs/>
        </w:rPr>
      </w:pPr>
      <w:r>
        <w:t xml:space="preserve">Another heat transfer flow from the human body to the environment is due to the evaporation of sweat: part of the heat produced by human body is </w:t>
      </w:r>
      <w:r w:rsidR="00FB6BF6">
        <w:t>dissipated</w:t>
      </w:r>
      <w:r>
        <w:t xml:space="preserve"> for the </w:t>
      </w:r>
      <w:r w:rsidRPr="0023621C">
        <w:rPr>
          <w:b/>
          <w:bCs/>
        </w:rPr>
        <w:t>evaporation</w:t>
      </w:r>
      <w:r w:rsidR="0023621C">
        <w:rPr>
          <w:b/>
          <w:bCs/>
        </w:rPr>
        <w:t xml:space="preserve"> </w:t>
      </w:r>
      <w:r w:rsidR="0023621C" w:rsidRPr="007B6354">
        <w:t>(</w:t>
      </w:r>
      <m:oMath>
        <m:sSub>
          <m:sSubPr>
            <m:ctrlPr>
              <w:rPr>
                <w:rFonts w:ascii="Cambria Math" w:hAnsi="Cambria Math"/>
                <w:i/>
                <w:iCs/>
                <w:lang w:val="it-IT"/>
              </w:rPr>
            </m:ctrlPr>
          </m:sSubPr>
          <m:e>
            <m:r>
              <w:rPr>
                <w:rFonts w:ascii="Cambria Math" w:hAnsi="Cambria Math"/>
                <w:lang w:val="it-IT"/>
              </w:rPr>
              <m:t>H</m:t>
            </m:r>
          </m:e>
          <m:sub>
            <m:r>
              <w:rPr>
                <w:rFonts w:ascii="Cambria Math" w:hAnsi="Cambria Math"/>
                <w:lang w:val="it-IT"/>
              </w:rPr>
              <m:t>e</m:t>
            </m:r>
          </m:sub>
        </m:sSub>
      </m:oMath>
      <w:r w:rsidR="0023621C" w:rsidRPr="0023621C">
        <w:rPr>
          <w:rFonts w:eastAsiaTheme="minorEastAsia"/>
          <w:iCs/>
        </w:rPr>
        <w:t>)</w:t>
      </w:r>
      <w:r>
        <w:t xml:space="preserve"> of </w:t>
      </w:r>
      <w:r w:rsidRPr="0023621C">
        <w:rPr>
          <w:b/>
          <w:bCs/>
        </w:rPr>
        <w:t xml:space="preserve">sweat drops </w:t>
      </w:r>
      <w:r w:rsidR="007B6354">
        <w:rPr>
          <w:b/>
          <w:bCs/>
        </w:rPr>
        <w:t>onto</w:t>
      </w:r>
      <w:r w:rsidRPr="0023621C">
        <w:rPr>
          <w:b/>
          <w:bCs/>
        </w:rPr>
        <w:t xml:space="preserve"> the skin</w:t>
      </w:r>
      <w:r>
        <w:t xml:space="preserve">. </w:t>
      </w:r>
      <w:r w:rsidR="007B6354">
        <w:t>To</w:t>
      </w:r>
      <w:r>
        <w:t xml:space="preserve"> estimate this contribution, we consider a “</w:t>
      </w:r>
      <w:r w:rsidRPr="0023621C">
        <w:rPr>
          <w:b/>
          <w:bCs/>
        </w:rPr>
        <w:t>skin wittedness</w:t>
      </w:r>
      <w:r>
        <w:t>” variable calculated using correlation (4)</w:t>
      </w:r>
      <w:r w:rsidR="007B6354">
        <w:t xml:space="preserve"> and</w:t>
      </w:r>
      <w:r w:rsidR="0023621C">
        <w:t xml:space="preserve"> </w:t>
      </w:r>
      <m:oMath>
        <m:sSub>
          <m:sSubPr>
            <m:ctrlPr>
              <w:rPr>
                <w:rFonts w:ascii="Cambria Math" w:hAnsi="Cambria Math"/>
                <w:i/>
                <w:iCs/>
                <w:lang w:val="it-IT"/>
              </w:rPr>
            </m:ctrlPr>
          </m:sSubPr>
          <m:e>
            <m:r>
              <w:rPr>
                <w:rFonts w:ascii="Cambria Math" w:hAnsi="Cambria Math"/>
                <w:lang w:val="it-IT"/>
              </w:rPr>
              <m:t>H</m:t>
            </m:r>
          </m:e>
          <m:sub>
            <m:r>
              <w:rPr>
                <w:rFonts w:ascii="Cambria Math" w:hAnsi="Cambria Math"/>
                <w:lang w:val="it-IT"/>
              </w:rPr>
              <m:t>e</m:t>
            </m:r>
          </m:sub>
        </m:sSub>
      </m:oMath>
      <w:r w:rsidR="0023621C" w:rsidRPr="0023621C">
        <w:rPr>
          <w:rFonts w:eastAsiaTheme="minorEastAsia"/>
          <w:iCs/>
        </w:rPr>
        <w:t xml:space="preserve"> </w:t>
      </w:r>
      <w:r w:rsidR="007B6354">
        <w:rPr>
          <w:rFonts w:eastAsiaTheme="minorEastAsia"/>
          <w:iCs/>
        </w:rPr>
        <w:t xml:space="preserve">is calculated </w:t>
      </w:r>
      <w:r w:rsidR="0023621C">
        <w:rPr>
          <w:rFonts w:eastAsiaTheme="minorEastAsia"/>
          <w:iCs/>
        </w:rPr>
        <w:t>as (5):</w:t>
      </w:r>
    </w:p>
    <w:p w14:paraId="50E07385" w14:textId="77777777" w:rsidR="0020170A" w:rsidRPr="0023621C" w:rsidRDefault="0020170A" w:rsidP="00D76023">
      <w:pPr>
        <w:jc w:val="both"/>
      </w:pPr>
    </w:p>
    <w:p w14:paraId="019D789A" w14:textId="59E66241" w:rsidR="00525ACC" w:rsidRDefault="00947713" w:rsidP="00525ACC">
      <w:pPr>
        <w:jc w:val="center"/>
        <w:rPr>
          <w:rFonts w:eastAsiaTheme="minorEastAsia"/>
          <w:iCs/>
        </w:rPr>
      </w:pPr>
      <m:oMath>
        <m:sSub>
          <m:sSubPr>
            <m:ctrlPr>
              <w:rPr>
                <w:rFonts w:ascii="Cambria Math" w:hAnsi="Cambria Math"/>
                <w:i/>
                <w:iCs/>
                <w:lang w:val="it-IT"/>
              </w:rPr>
            </m:ctrlPr>
          </m:sSubPr>
          <m:e>
            <m:r>
              <w:rPr>
                <w:rFonts w:ascii="Cambria Math" w:hAnsi="Cambria Math"/>
                <w:lang w:val="it-IT"/>
              </w:rPr>
              <m:t>w</m:t>
            </m:r>
          </m:e>
          <m:sub>
            <m:r>
              <w:rPr>
                <w:rFonts w:ascii="Cambria Math" w:hAnsi="Cambria Math"/>
                <w:lang w:val="it-IT"/>
              </w:rPr>
              <m:t>sk</m:t>
            </m:r>
          </m:sub>
        </m:sSub>
        <m:r>
          <w:rPr>
            <w:rFonts w:ascii="Cambria Math" w:hAnsi="Cambria Math"/>
          </w:rPr>
          <m:t>=</m:t>
        </m:r>
        <m:d>
          <m:dPr>
            <m:begChr m:val="{"/>
            <m:endChr m:val=""/>
            <m:ctrlPr>
              <w:rPr>
                <w:rFonts w:ascii="Cambria Math" w:hAnsi="Cambria Math"/>
                <w:i/>
                <w:iCs/>
                <w:lang w:val="it-IT"/>
              </w:rPr>
            </m:ctrlPr>
          </m:dPr>
          <m:e>
            <m:eqArr>
              <m:eqArrPr>
                <m:ctrlPr>
                  <w:rPr>
                    <w:rFonts w:ascii="Cambria Math" w:hAnsi="Cambria Math"/>
                    <w:i/>
                    <w:iCs/>
                    <w:lang w:val="it-IT"/>
                  </w:rPr>
                </m:ctrlPr>
              </m:eqArrPr>
              <m:e>
                <m:r>
                  <w:rPr>
                    <w:rFonts w:ascii="Cambria Math" w:hAnsi="Cambria Math"/>
                  </w:rPr>
                  <m:t>0.006                                                 </m:t>
                </m:r>
                <m:r>
                  <w:rPr>
                    <w:rFonts w:ascii="Cambria Math" w:hAnsi="Cambria Math"/>
                    <w:lang w:val="it-IT"/>
                  </w:rPr>
                  <m:t>if</m:t>
                </m:r>
                <m:r>
                  <w:rPr>
                    <w:rFonts w:ascii="Cambria Math" w:hAnsi="Cambria Math"/>
                  </w:rPr>
                  <m:t>  </m:t>
                </m:r>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amb</m:t>
                    </m:r>
                  </m:sub>
                </m:sSub>
                <m:r>
                  <w:rPr>
                    <w:rFonts w:ascii="Cambria Math" w:hAnsi="Cambria Math"/>
                  </w:rPr>
                  <m:t> ≤ </m:t>
                </m:r>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CT</m:t>
                    </m:r>
                  </m:sub>
                </m:sSub>
                <m:r>
                  <w:rPr>
                    <w:rFonts w:ascii="Cambria Math" w:hAnsi="Cambria Math"/>
                  </w:rPr>
                  <m:t> </m:t>
                </m:r>
              </m:e>
              <m:e>
                <m:r>
                  <w:rPr>
                    <w:rFonts w:ascii="Cambria Math" w:hAnsi="Cambria Math"/>
                  </w:rPr>
                  <m:t>0.006+0.009 ∙ </m:t>
                </m:r>
                <m:d>
                  <m:dPr>
                    <m:ctrlPr>
                      <w:rPr>
                        <w:rFonts w:ascii="Cambria Math" w:hAnsi="Cambria Math"/>
                        <w:i/>
                        <w:iCs/>
                        <w:lang w:val="it-IT"/>
                      </w:rPr>
                    </m:ctrlPr>
                  </m:dPr>
                  <m:e>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amb</m:t>
                        </m:r>
                      </m:sub>
                    </m:sSub>
                    <m:r>
                      <w:rPr>
                        <w:rFonts w:ascii="Cambria Math" w:hAnsi="Cambria Math"/>
                      </w:rPr>
                      <m:t>-</m:t>
                    </m:r>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CT</m:t>
                        </m:r>
                      </m:sub>
                    </m:sSub>
                  </m:e>
                </m:d>
                <m:r>
                  <w:rPr>
                    <w:rFonts w:ascii="Cambria Math" w:hAnsi="Cambria Math"/>
                  </w:rPr>
                  <m:t>     </m:t>
                </m:r>
                <m:r>
                  <w:rPr>
                    <w:rFonts w:ascii="Cambria Math" w:hAnsi="Cambria Math"/>
                    <w:lang w:val="it-IT"/>
                  </w:rPr>
                  <m:t>if</m:t>
                </m:r>
                <m:r>
                  <w:rPr>
                    <w:rFonts w:ascii="Cambria Math" w:hAnsi="Cambria Math"/>
                  </w:rPr>
                  <m:t> </m:t>
                </m:r>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amb</m:t>
                    </m:r>
                  </m:sub>
                </m:sSub>
                <m:r>
                  <w:rPr>
                    <w:rFonts w:ascii="Cambria Math" w:hAnsi="Cambria Math"/>
                  </w:rPr>
                  <m:t> &gt; </m:t>
                </m:r>
                <m:sSub>
                  <m:sSubPr>
                    <m:ctrlPr>
                      <w:rPr>
                        <w:rFonts w:ascii="Cambria Math" w:hAnsi="Cambria Math"/>
                        <w:i/>
                        <w:iCs/>
                        <w:lang w:val="it-IT"/>
                      </w:rPr>
                    </m:ctrlPr>
                  </m:sSubPr>
                  <m:e>
                    <m:r>
                      <w:rPr>
                        <w:rFonts w:ascii="Cambria Math" w:hAnsi="Cambria Math"/>
                        <w:lang w:val="it-IT"/>
                      </w:rPr>
                      <m:t>T</m:t>
                    </m:r>
                  </m:e>
                  <m:sub>
                    <m:r>
                      <w:rPr>
                        <w:rFonts w:ascii="Cambria Math" w:hAnsi="Cambria Math"/>
                        <w:lang w:val="it-IT"/>
                      </w:rPr>
                      <m:t>CT</m:t>
                    </m:r>
                  </m:sub>
                </m:sSub>
              </m:e>
            </m:eqArr>
          </m:e>
        </m:d>
      </m:oMath>
      <w:r w:rsidR="00525ACC" w:rsidRPr="00525ACC">
        <w:rPr>
          <w:rFonts w:eastAsiaTheme="minorEastAsia"/>
          <w:iCs/>
        </w:rPr>
        <w:t xml:space="preserve"> </w:t>
      </w:r>
      <w:r w:rsidR="00525ACC">
        <w:rPr>
          <w:rFonts w:eastAsiaTheme="minorEastAsia"/>
          <w:iCs/>
        </w:rPr>
        <w:tab/>
        <w:t>(4)</w:t>
      </w:r>
    </w:p>
    <w:p w14:paraId="1B61993B" w14:textId="152F59CD" w:rsidR="0023621C" w:rsidRPr="00CA2F56" w:rsidRDefault="00947713" w:rsidP="00525ACC">
      <w:pPr>
        <w:jc w:val="center"/>
        <w:rPr>
          <w:sz w:val="20"/>
          <w:szCs w:val="20"/>
        </w:rPr>
      </w:pPr>
      <m:oMath>
        <m:sSub>
          <m:sSubPr>
            <m:ctrlPr>
              <w:rPr>
                <w:rFonts w:ascii="Cambria Math" w:hAnsi="Cambria Math"/>
                <w:i/>
                <w:iCs/>
                <w:sz w:val="28"/>
                <w:szCs w:val="28"/>
                <w:lang w:val="it-IT"/>
              </w:rPr>
            </m:ctrlPr>
          </m:sSubPr>
          <m:e>
            <m:r>
              <w:rPr>
                <w:rFonts w:ascii="Cambria Math" w:hAnsi="Cambria Math"/>
                <w:sz w:val="28"/>
                <w:szCs w:val="28"/>
                <w:lang w:val="it-IT"/>
              </w:rPr>
              <m:t>H</m:t>
            </m:r>
          </m:e>
          <m:sub>
            <m:r>
              <w:rPr>
                <w:rFonts w:ascii="Cambria Math" w:hAnsi="Cambria Math"/>
                <w:sz w:val="28"/>
                <w:szCs w:val="28"/>
                <w:lang w:val="it-IT"/>
              </w:rPr>
              <m:t>e</m:t>
            </m:r>
          </m:sub>
        </m:sSub>
        <m:r>
          <w:rPr>
            <w:rFonts w:ascii="Cambria Math" w:hAnsi="Cambria Math"/>
            <w:sz w:val="28"/>
            <w:szCs w:val="28"/>
          </w:rPr>
          <m:t>=</m:t>
        </m:r>
        <m:sSub>
          <m:sSubPr>
            <m:ctrlPr>
              <w:rPr>
                <w:rFonts w:ascii="Cambria Math" w:hAnsi="Cambria Math"/>
                <w:i/>
                <w:iCs/>
                <w:sz w:val="28"/>
                <w:szCs w:val="28"/>
                <w:lang w:val="it-IT"/>
              </w:rPr>
            </m:ctrlPr>
          </m:sSubPr>
          <m:e>
            <m:sSub>
              <m:sSubPr>
                <m:ctrlPr>
                  <w:rPr>
                    <w:rFonts w:ascii="Cambria Math" w:hAnsi="Cambria Math"/>
                    <w:i/>
                    <w:iCs/>
                    <w:sz w:val="28"/>
                    <w:szCs w:val="28"/>
                    <w:lang w:val="it-IT"/>
                  </w:rPr>
                </m:ctrlPr>
              </m:sSubPr>
              <m:e>
                <m:r>
                  <w:rPr>
                    <w:rFonts w:ascii="Cambria Math" w:hAnsi="Cambria Math"/>
                    <w:sz w:val="28"/>
                    <w:szCs w:val="28"/>
                    <w:lang w:val="it-IT"/>
                  </w:rPr>
                  <m:t>A</m:t>
                </m:r>
              </m:e>
              <m:sub>
                <m:r>
                  <w:rPr>
                    <w:rFonts w:ascii="Cambria Math" w:hAnsi="Cambria Math"/>
                    <w:sz w:val="28"/>
                    <w:szCs w:val="28"/>
                    <w:lang w:val="it-IT"/>
                  </w:rPr>
                  <m:t>s</m:t>
                </m:r>
              </m:sub>
            </m:sSub>
            <m:r>
              <w:rPr>
                <w:rFonts w:ascii="Cambria Math" w:hAnsi="Cambria Math"/>
                <w:sz w:val="28"/>
                <w:szCs w:val="28"/>
              </w:rPr>
              <m:t>∙</m:t>
            </m:r>
            <m:r>
              <w:rPr>
                <w:rFonts w:ascii="Cambria Math" w:hAnsi="Cambria Math"/>
                <w:sz w:val="28"/>
                <w:szCs w:val="28"/>
              </w:rPr>
              <m:t> </m:t>
            </m:r>
            <m:r>
              <w:rPr>
                <w:rFonts w:ascii="Cambria Math" w:hAnsi="Cambria Math"/>
                <w:sz w:val="28"/>
                <w:szCs w:val="28"/>
                <w:lang w:val="it-IT"/>
              </w:rPr>
              <m:t>w</m:t>
            </m:r>
          </m:e>
          <m:sub>
            <m:r>
              <w:rPr>
                <w:rFonts w:ascii="Cambria Math" w:hAnsi="Cambria Math"/>
                <w:sz w:val="28"/>
                <w:szCs w:val="28"/>
                <w:lang w:val="it-IT"/>
              </w:rPr>
              <m:t>sk</m:t>
            </m:r>
          </m:sub>
        </m:sSub>
        <m:r>
          <w:rPr>
            <w:rFonts w:ascii="Cambria Math" w:hAnsi="Cambria Math"/>
            <w:sz w:val="28"/>
            <w:szCs w:val="28"/>
          </w:rPr>
          <m:t>∙</m:t>
        </m:r>
        <m:f>
          <m:fPr>
            <m:ctrlPr>
              <w:rPr>
                <w:rFonts w:ascii="Cambria Math" w:hAnsi="Cambria Math"/>
                <w:i/>
                <w:iCs/>
                <w:sz w:val="28"/>
                <w:szCs w:val="28"/>
                <w:lang w:val="it-IT"/>
              </w:rPr>
            </m:ctrlPr>
          </m:fPr>
          <m:num>
            <m:sSub>
              <m:sSubPr>
                <m:ctrlPr>
                  <w:rPr>
                    <w:rFonts w:ascii="Cambria Math" w:hAnsi="Cambria Math"/>
                    <w:i/>
                    <w:iCs/>
                    <w:sz w:val="28"/>
                    <w:szCs w:val="28"/>
                    <w:lang w:val="it-IT"/>
                  </w:rPr>
                </m:ctrlPr>
              </m:sSubPr>
              <m:e>
                <m:r>
                  <w:rPr>
                    <w:rFonts w:ascii="Cambria Math" w:hAnsi="Cambria Math"/>
                    <w:sz w:val="28"/>
                    <w:szCs w:val="28"/>
                    <w:lang w:val="it-IT"/>
                  </w:rPr>
                  <m:t>P</m:t>
                </m:r>
              </m:e>
              <m:sub>
                <m:r>
                  <w:rPr>
                    <w:rFonts w:ascii="Cambria Math" w:hAnsi="Cambria Math"/>
                    <w:sz w:val="28"/>
                    <w:szCs w:val="28"/>
                    <w:lang w:val="it-IT"/>
                  </w:rPr>
                  <m:t>v</m:t>
                </m:r>
                <m:r>
                  <w:rPr>
                    <w:rFonts w:ascii="Cambria Math" w:hAnsi="Cambria Math"/>
                    <w:sz w:val="28"/>
                    <w:szCs w:val="28"/>
                  </w:rPr>
                  <m:t>,</m:t>
                </m:r>
                <m:r>
                  <w:rPr>
                    <w:rFonts w:ascii="Cambria Math" w:hAnsi="Cambria Math"/>
                    <w:sz w:val="28"/>
                    <w:szCs w:val="28"/>
                    <w:lang w:val="it-IT"/>
                  </w:rPr>
                  <m:t>cl</m:t>
                </m:r>
              </m:sub>
            </m:sSub>
            <m:r>
              <w:rPr>
                <w:rFonts w:ascii="Cambria Math" w:hAnsi="Cambria Math"/>
                <w:sz w:val="28"/>
                <w:szCs w:val="28"/>
              </w:rPr>
              <m:t>-</m:t>
            </m:r>
            <m:sSub>
              <m:sSubPr>
                <m:ctrlPr>
                  <w:rPr>
                    <w:rFonts w:ascii="Cambria Math" w:hAnsi="Cambria Math"/>
                    <w:i/>
                    <w:iCs/>
                    <w:sz w:val="28"/>
                    <w:szCs w:val="28"/>
                    <w:lang w:val="it-IT"/>
                  </w:rPr>
                </m:ctrlPr>
              </m:sSubPr>
              <m:e>
                <m:r>
                  <w:rPr>
                    <w:rFonts w:ascii="Cambria Math" w:hAnsi="Cambria Math"/>
                    <w:sz w:val="28"/>
                    <w:szCs w:val="28"/>
                    <w:lang w:val="it-IT"/>
                  </w:rPr>
                  <m:t>P</m:t>
                </m:r>
              </m:e>
              <m:sub>
                <m:r>
                  <w:rPr>
                    <w:rFonts w:ascii="Cambria Math" w:hAnsi="Cambria Math"/>
                    <w:sz w:val="28"/>
                    <w:szCs w:val="28"/>
                    <w:lang w:val="it-IT"/>
                  </w:rPr>
                  <m:t>v</m:t>
                </m:r>
                <m:r>
                  <w:rPr>
                    <w:rFonts w:ascii="Cambria Math" w:hAnsi="Cambria Math"/>
                    <w:sz w:val="28"/>
                    <w:szCs w:val="28"/>
                  </w:rPr>
                  <m:t>,</m:t>
                </m:r>
                <m:r>
                  <w:rPr>
                    <w:rFonts w:ascii="Cambria Math" w:hAnsi="Cambria Math"/>
                    <w:sz w:val="28"/>
                    <w:szCs w:val="28"/>
                    <w:lang w:val="it-IT"/>
                  </w:rPr>
                  <m:t>amb</m:t>
                </m:r>
              </m:sub>
            </m:sSub>
          </m:num>
          <m:den>
            <m:sSub>
              <m:sSubPr>
                <m:ctrlPr>
                  <w:rPr>
                    <w:rFonts w:ascii="Cambria Math" w:hAnsi="Cambria Math"/>
                    <w:i/>
                    <w:iCs/>
                    <w:sz w:val="28"/>
                    <w:szCs w:val="28"/>
                    <w:lang w:val="it-IT"/>
                  </w:rPr>
                </m:ctrlPr>
              </m:sSubPr>
              <m:e>
                <m:r>
                  <w:rPr>
                    <w:rFonts w:ascii="Cambria Math" w:hAnsi="Cambria Math"/>
                    <w:sz w:val="28"/>
                    <w:szCs w:val="28"/>
                    <w:lang w:val="it-IT"/>
                  </w:rPr>
                  <m:t>R</m:t>
                </m:r>
              </m:e>
              <m:sub>
                <m:r>
                  <w:rPr>
                    <w:rFonts w:ascii="Cambria Math" w:hAnsi="Cambria Math"/>
                    <w:sz w:val="28"/>
                    <w:szCs w:val="28"/>
                    <w:vertAlign w:val="subscript"/>
                    <w:lang w:val="it-IT"/>
                  </w:rPr>
                  <m:t>e</m:t>
                </m:r>
              </m:sub>
            </m:sSub>
            <m:r>
              <w:rPr>
                <w:rFonts w:ascii="Cambria Math" w:hAnsi="Cambria Math"/>
                <w:sz w:val="28"/>
                <w:szCs w:val="28"/>
              </w:rPr>
              <m:t>+</m:t>
            </m:r>
            <m:f>
              <m:fPr>
                <m:ctrlPr>
                  <w:rPr>
                    <w:rFonts w:ascii="Cambria Math" w:hAnsi="Cambria Math"/>
                    <w:i/>
                    <w:iCs/>
                    <w:sz w:val="28"/>
                    <w:szCs w:val="28"/>
                    <w:lang w:val="it-IT"/>
                  </w:rPr>
                </m:ctrlPr>
              </m:fPr>
              <m:num>
                <m:r>
                  <w:rPr>
                    <w:rFonts w:ascii="Cambria Math" w:hAnsi="Cambria Math"/>
                    <w:sz w:val="28"/>
                    <w:szCs w:val="28"/>
                  </w:rPr>
                  <m:t>1</m:t>
                </m:r>
              </m:num>
              <m:den>
                <m:sSub>
                  <m:sSubPr>
                    <m:ctrlPr>
                      <w:rPr>
                        <w:rFonts w:ascii="Cambria Math" w:hAnsi="Cambria Math"/>
                        <w:i/>
                        <w:iCs/>
                        <w:sz w:val="28"/>
                        <w:szCs w:val="28"/>
                        <w:lang w:val="it-IT"/>
                      </w:rPr>
                    </m:ctrlPr>
                  </m:sSubPr>
                  <m:e>
                    <m:r>
                      <w:rPr>
                        <w:rFonts w:ascii="Cambria Math" w:hAnsi="Cambria Math"/>
                        <w:sz w:val="28"/>
                        <w:szCs w:val="28"/>
                        <w:lang w:val="it-IT"/>
                      </w:rPr>
                      <m:t>f</m:t>
                    </m:r>
                  </m:e>
                  <m:sub>
                    <m:r>
                      <w:rPr>
                        <w:rFonts w:ascii="Cambria Math" w:hAnsi="Cambria Math"/>
                        <w:sz w:val="28"/>
                        <w:szCs w:val="28"/>
                        <w:vertAlign w:val="subscript"/>
                        <w:lang w:val="it-IT"/>
                      </w:rPr>
                      <m:t>cl</m:t>
                    </m:r>
                  </m:sub>
                </m:sSub>
                <m:r>
                  <w:rPr>
                    <w:rFonts w:ascii="Cambria Math" w:hAnsi="Cambria Math"/>
                    <w:sz w:val="28"/>
                    <w:szCs w:val="28"/>
                  </w:rPr>
                  <m:t>·</m:t>
                </m:r>
                <m:sSub>
                  <m:sSubPr>
                    <m:ctrlPr>
                      <w:rPr>
                        <w:rFonts w:ascii="Cambria Math" w:hAnsi="Cambria Math"/>
                        <w:i/>
                        <w:iCs/>
                        <w:sz w:val="28"/>
                        <w:szCs w:val="28"/>
                        <w:lang w:val="it-IT"/>
                      </w:rPr>
                    </m:ctrlPr>
                  </m:sSubPr>
                  <m:e>
                    <m:r>
                      <w:rPr>
                        <w:rFonts w:ascii="Cambria Math" w:hAnsi="Cambria Math"/>
                        <w:sz w:val="28"/>
                        <w:szCs w:val="28"/>
                      </w:rPr>
                      <m:t>h</m:t>
                    </m:r>
                  </m:e>
                  <m:sub>
                    <m:r>
                      <w:rPr>
                        <w:rFonts w:ascii="Cambria Math" w:hAnsi="Cambria Math"/>
                        <w:sz w:val="28"/>
                        <w:szCs w:val="28"/>
                        <w:vertAlign w:val="subscript"/>
                        <w:lang w:val="it-IT"/>
                      </w:rPr>
                      <m:t>e</m:t>
                    </m:r>
                  </m:sub>
                </m:sSub>
              </m:den>
            </m:f>
          </m:den>
        </m:f>
      </m:oMath>
      <w:r w:rsidR="0023621C" w:rsidRPr="00CA2F56">
        <w:rPr>
          <w:rFonts w:eastAsiaTheme="minorEastAsia"/>
          <w:iCs/>
          <w:sz w:val="24"/>
          <w:szCs w:val="24"/>
        </w:rPr>
        <w:t xml:space="preserve"> </w:t>
      </w:r>
      <w:r w:rsidR="0023621C" w:rsidRPr="00CA2F56">
        <w:rPr>
          <w:rFonts w:eastAsiaTheme="minorEastAsia"/>
          <w:iCs/>
          <w:sz w:val="24"/>
          <w:szCs w:val="24"/>
        </w:rPr>
        <w:tab/>
      </w:r>
      <w:r w:rsidR="0023621C" w:rsidRPr="00CA2F56">
        <w:rPr>
          <w:rFonts w:eastAsiaTheme="minorEastAsia"/>
          <w:iCs/>
          <w:sz w:val="20"/>
          <w:szCs w:val="20"/>
        </w:rPr>
        <w:t>(5)</w:t>
      </w:r>
    </w:p>
    <w:p w14:paraId="1C7DB756" w14:textId="77777777" w:rsidR="007B6354" w:rsidRDefault="007B6354" w:rsidP="00D76023">
      <w:pPr>
        <w:jc w:val="both"/>
      </w:pPr>
    </w:p>
    <w:p w14:paraId="5F123C23" w14:textId="0C993012" w:rsidR="00013CD5" w:rsidRDefault="00350806" w:rsidP="00D76023">
      <w:pPr>
        <w:jc w:val="both"/>
        <w:rPr>
          <w:rFonts w:eastAsiaTheme="minorEastAsia"/>
          <w:iCs/>
        </w:rPr>
      </w:pPr>
      <w:r>
        <w:t>In case the body is in motion, the cylinder performs a work (</w:t>
      </w:r>
      <m:oMath>
        <m:sSub>
          <m:sSubPr>
            <m:ctrlPr>
              <w:rPr>
                <w:rFonts w:ascii="Cambria Math" w:hAnsi="Cambria Math"/>
                <w:i/>
                <w:iCs/>
                <w:lang w:val="it-IT"/>
              </w:rPr>
            </m:ctrlPr>
          </m:sSubPr>
          <m:e>
            <m:r>
              <w:rPr>
                <w:rFonts w:ascii="Cambria Math" w:hAnsi="Cambria Math"/>
                <w:lang w:val="it-IT"/>
              </w:rPr>
              <m:t>W</m:t>
            </m:r>
          </m:e>
          <m:sub>
            <m:r>
              <w:rPr>
                <w:rFonts w:ascii="Cambria Math" w:hAnsi="Cambria Math"/>
                <w:lang w:val="it-IT"/>
              </w:rPr>
              <m:t>n</m:t>
            </m:r>
          </m:sub>
        </m:sSub>
      </m:oMath>
      <w:r w:rsidRPr="00350806">
        <w:rPr>
          <w:rFonts w:eastAsiaTheme="minorEastAsia"/>
          <w:iCs/>
        </w:rPr>
        <w:t>)</w:t>
      </w:r>
      <w:r>
        <w:rPr>
          <w:rFonts w:eastAsiaTheme="minorEastAsia"/>
          <w:iCs/>
        </w:rPr>
        <w:t xml:space="preserve"> that should be </w:t>
      </w:r>
      <w:r w:rsidR="007B6354">
        <w:rPr>
          <w:rFonts w:eastAsiaTheme="minorEastAsia"/>
          <w:iCs/>
        </w:rPr>
        <w:t xml:space="preserve">considered </w:t>
      </w:r>
      <w:r>
        <w:rPr>
          <w:rFonts w:eastAsiaTheme="minorEastAsia"/>
          <w:iCs/>
        </w:rPr>
        <w:t xml:space="preserve">when modelling </w:t>
      </w:r>
      <w:r w:rsidR="003230DA">
        <w:rPr>
          <w:rFonts w:eastAsiaTheme="minorEastAsia"/>
          <w:iCs/>
        </w:rPr>
        <w:t xml:space="preserve">the </w:t>
      </w:r>
      <w:r>
        <w:rPr>
          <w:rFonts w:eastAsiaTheme="minorEastAsia"/>
          <w:iCs/>
        </w:rPr>
        <w:t xml:space="preserve">thermodynamics of cylinders. </w:t>
      </w:r>
      <w:r w:rsidR="007B6354">
        <w:rPr>
          <w:rFonts w:eastAsiaTheme="minorEastAsia"/>
          <w:iCs/>
        </w:rPr>
        <w:t xml:space="preserve">At the </w:t>
      </w:r>
      <w:r w:rsidR="00A02E7B">
        <w:rPr>
          <w:rFonts w:eastAsiaTheme="minorEastAsia"/>
          <w:iCs/>
        </w:rPr>
        <w:t>status</w:t>
      </w:r>
      <w:r w:rsidR="007B6354">
        <w:rPr>
          <w:rFonts w:eastAsiaTheme="minorEastAsia"/>
          <w:iCs/>
        </w:rPr>
        <w:t>, the model allows to consider external work by arbitrarily incrementing the metabolism.</w:t>
      </w:r>
      <w:r w:rsidR="00A02E7B">
        <w:rPr>
          <w:rFonts w:eastAsiaTheme="minorEastAsia"/>
          <w:iCs/>
        </w:rPr>
        <w:t xml:space="preserve"> However, depending on the performance and training level, each person may have a different response in terms of metabolism.</w:t>
      </w:r>
    </w:p>
    <w:p w14:paraId="264800C4" w14:textId="0E31B9D4" w:rsidR="00342C62" w:rsidRDefault="003230DA" w:rsidP="00BC0602">
      <w:pPr>
        <w:spacing w:after="0"/>
      </w:pPr>
      <w:r w:rsidRPr="003230DA">
        <w:rPr>
          <w:noProof/>
        </w:rPr>
        <w:drawing>
          <wp:inline distT="0" distB="0" distL="0" distR="0" wp14:anchorId="2CF50A63" wp14:editId="7F4ECF7C">
            <wp:extent cx="6120130" cy="3567430"/>
            <wp:effectExtent l="0" t="0" r="0" b="0"/>
            <wp:docPr id="1437172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567430"/>
                    </a:xfrm>
                    <a:prstGeom prst="rect">
                      <a:avLst/>
                    </a:prstGeom>
                    <a:noFill/>
                    <a:ln>
                      <a:noFill/>
                    </a:ln>
                  </pic:spPr>
                </pic:pic>
              </a:graphicData>
            </a:graphic>
          </wp:inline>
        </w:drawing>
      </w:r>
    </w:p>
    <w:p w14:paraId="4B8A4BEF" w14:textId="218FA57E" w:rsidR="00342C62" w:rsidRPr="0076679A" w:rsidRDefault="00342C62" w:rsidP="00342C62">
      <w:pPr>
        <w:jc w:val="center"/>
        <w:rPr>
          <w:i/>
          <w:iCs/>
          <w:sz w:val="18"/>
          <w:szCs w:val="18"/>
        </w:rPr>
      </w:pPr>
      <w:r w:rsidRPr="0076679A">
        <w:rPr>
          <w:i/>
          <w:iCs/>
          <w:sz w:val="18"/>
          <w:szCs w:val="18"/>
        </w:rPr>
        <w:t xml:space="preserve">Figure </w:t>
      </w:r>
      <w:r w:rsidR="0020170A" w:rsidRPr="0076679A">
        <w:rPr>
          <w:i/>
          <w:iCs/>
          <w:sz w:val="18"/>
          <w:szCs w:val="18"/>
        </w:rPr>
        <w:t>3</w:t>
      </w:r>
      <w:r w:rsidR="003230DA" w:rsidRPr="0076679A">
        <w:rPr>
          <w:i/>
          <w:iCs/>
          <w:sz w:val="18"/>
          <w:szCs w:val="18"/>
        </w:rPr>
        <w:t>: Scheme of the model</w:t>
      </w:r>
      <w:r w:rsidR="00BC0602" w:rsidRPr="0076679A">
        <w:rPr>
          <w:i/>
          <w:iCs/>
          <w:sz w:val="18"/>
          <w:szCs w:val="18"/>
        </w:rPr>
        <w:t>.</w:t>
      </w:r>
    </w:p>
    <w:p w14:paraId="6CF8770C" w14:textId="2C21BE00" w:rsidR="007B6354" w:rsidRDefault="0020170A" w:rsidP="0020170A">
      <w:pPr>
        <w:jc w:val="both"/>
        <w:rPr>
          <w:rFonts w:eastAsiaTheme="minorEastAsia"/>
          <w:iCs/>
          <w:highlight w:val="yellow"/>
        </w:rPr>
      </w:pPr>
      <w:r>
        <w:rPr>
          <w:rFonts w:eastAsiaTheme="minorEastAsia"/>
          <w:iCs/>
        </w:rPr>
        <w:t xml:space="preserve">According to the above description, the goal of the thermoregulation system is to minimize the increase of the core temperature, and thus of the </w:t>
      </w:r>
      <w:r w:rsidRPr="0020170A">
        <w:rPr>
          <w:rFonts w:eastAsiaTheme="minorEastAsia"/>
          <w:b/>
          <w:bCs/>
          <w:iCs/>
        </w:rPr>
        <w:t>inter</w:t>
      </w:r>
      <w:r>
        <w:rPr>
          <w:rFonts w:eastAsiaTheme="minorEastAsia"/>
          <w:b/>
          <w:bCs/>
          <w:iCs/>
        </w:rPr>
        <w:t>n</w:t>
      </w:r>
      <w:r w:rsidRPr="0020170A">
        <w:rPr>
          <w:rFonts w:eastAsiaTheme="minorEastAsia"/>
          <w:b/>
          <w:bCs/>
          <w:iCs/>
        </w:rPr>
        <w:t>al energy</w:t>
      </w:r>
      <w:r>
        <w:rPr>
          <w:rFonts w:eastAsiaTheme="minorEastAsia"/>
          <w:iCs/>
        </w:rPr>
        <w:t xml:space="preserve"> of the body (</w:t>
      </w:r>
      <m:oMath>
        <m:r>
          <w:rPr>
            <w:rFonts w:ascii="Cambria Math" w:eastAsiaTheme="minorEastAsia" w:hAnsi="Cambria Math"/>
          </w:rPr>
          <m:t>∆</m:t>
        </m:r>
        <m:r>
          <w:rPr>
            <w:rFonts w:ascii="Cambria Math" w:eastAsiaTheme="minorEastAsia" w:hAnsi="Cambria Math"/>
            <w:lang w:val="it-IT"/>
          </w:rPr>
          <m:t>U</m:t>
        </m:r>
      </m:oMath>
      <w:r w:rsidRPr="00350806">
        <w:rPr>
          <w:rFonts w:eastAsiaTheme="minorEastAsia"/>
          <w:iCs/>
        </w:rPr>
        <w:t>)</w:t>
      </w:r>
      <w:r>
        <w:rPr>
          <w:rFonts w:eastAsiaTheme="minorEastAsia"/>
          <w:iCs/>
        </w:rPr>
        <w:t>, resulting from the overall energy balance of the body (Figure 3).</w:t>
      </w:r>
      <w:r w:rsidR="007B6354">
        <w:rPr>
          <w:rFonts w:eastAsiaTheme="minorEastAsia"/>
          <w:iCs/>
        </w:rPr>
        <w:t xml:space="preserve"> </w:t>
      </w:r>
      <w:r w:rsidR="007B6354" w:rsidRPr="007B6354">
        <w:rPr>
          <w:rFonts w:eastAsiaTheme="minorEastAsia"/>
          <w:iCs/>
        </w:rPr>
        <w:t>T</w:t>
      </w:r>
      <w:r w:rsidRPr="007B6354">
        <w:rPr>
          <w:rFonts w:eastAsiaTheme="minorEastAsia"/>
          <w:iCs/>
        </w:rPr>
        <w:t>he thermoregulatory system is modelled as an optimization model that minimizes</w:t>
      </w:r>
      <w:r w:rsidR="007B6354" w:rsidRPr="007B6354">
        <w:rPr>
          <w:rFonts w:eastAsiaTheme="minorEastAsia"/>
          <w:iCs/>
        </w:rPr>
        <w:t xml:space="preserve"> to zero</w:t>
      </w:r>
      <w:r w:rsidRPr="007B6354">
        <w:rPr>
          <w:rFonts w:eastAsiaTheme="minorEastAsia"/>
          <w:iCs/>
        </w:rPr>
        <w:t xml:space="preserve"> the</w:t>
      </w:r>
      <w:r w:rsidR="007B6354" w:rsidRPr="007B6354">
        <w:rPr>
          <w:rFonts w:eastAsiaTheme="minorEastAsia"/>
          <w:iCs/>
        </w:rPr>
        <w:t xml:space="preserve"> overall</w:t>
      </w:r>
      <w:r w:rsidRPr="007B6354">
        <w:rPr>
          <w:rFonts w:eastAsiaTheme="minorEastAsia"/>
          <w:iCs/>
        </w:rPr>
        <w:t xml:space="preserve"> increase of the internal energy </w:t>
      </w:r>
      <w:r w:rsidR="007B6354" w:rsidRPr="007B6354">
        <w:rPr>
          <w:rFonts w:eastAsiaTheme="minorEastAsia"/>
          <w:iCs/>
        </w:rPr>
        <w:t>of the body</w:t>
      </w:r>
      <w:r w:rsidR="007B6354">
        <w:rPr>
          <w:rFonts w:eastAsiaTheme="minorEastAsia"/>
          <w:iCs/>
        </w:rPr>
        <w:t xml:space="preserve"> (more details in Section 2)</w:t>
      </w:r>
      <w:r w:rsidR="007B6354" w:rsidRPr="007B6354">
        <w:rPr>
          <w:rFonts w:eastAsiaTheme="minorEastAsia"/>
          <w:iCs/>
        </w:rPr>
        <w:t>.</w:t>
      </w:r>
    </w:p>
    <w:p w14:paraId="1447056F" w14:textId="684F10F7" w:rsidR="00D21262" w:rsidRDefault="007B6354" w:rsidP="00D21262">
      <w:r>
        <w:t xml:space="preserve">In </w:t>
      </w:r>
      <w:r w:rsidR="00D21262">
        <w:t>our model, the body is composed of the following cylindrical parts:</w:t>
      </w:r>
    </w:p>
    <w:p w14:paraId="03A83C62" w14:textId="77777777" w:rsidR="00D21262" w:rsidRDefault="00D21262" w:rsidP="00D21262">
      <w:pPr>
        <w:pStyle w:val="Paragrafoelenco"/>
        <w:numPr>
          <w:ilvl w:val="0"/>
          <w:numId w:val="2"/>
        </w:numPr>
        <w:spacing w:after="0" w:line="240" w:lineRule="auto"/>
        <w:jc w:val="both"/>
      </w:pPr>
      <w:r>
        <w:lastRenderedPageBreak/>
        <w:t>Arm</w:t>
      </w:r>
    </w:p>
    <w:p w14:paraId="682132E6" w14:textId="77777777" w:rsidR="00D21262" w:rsidRDefault="00D21262" w:rsidP="00D21262">
      <w:pPr>
        <w:pStyle w:val="Paragrafoelenco"/>
        <w:numPr>
          <w:ilvl w:val="0"/>
          <w:numId w:val="2"/>
        </w:numPr>
        <w:spacing w:after="0" w:line="240" w:lineRule="auto"/>
        <w:jc w:val="both"/>
      </w:pPr>
      <w:r>
        <w:t>Foot</w:t>
      </w:r>
    </w:p>
    <w:p w14:paraId="5CAA7D57" w14:textId="77777777" w:rsidR="00D21262" w:rsidRDefault="00D21262" w:rsidP="00D21262">
      <w:pPr>
        <w:pStyle w:val="Paragrafoelenco"/>
        <w:numPr>
          <w:ilvl w:val="0"/>
          <w:numId w:val="2"/>
        </w:numPr>
        <w:spacing w:after="0" w:line="240" w:lineRule="auto"/>
        <w:jc w:val="both"/>
      </w:pPr>
      <w:r>
        <w:t>Forearm</w:t>
      </w:r>
    </w:p>
    <w:p w14:paraId="13976001" w14:textId="77777777" w:rsidR="00D21262" w:rsidRDefault="00D21262" w:rsidP="00D21262">
      <w:pPr>
        <w:pStyle w:val="Paragrafoelenco"/>
        <w:numPr>
          <w:ilvl w:val="0"/>
          <w:numId w:val="2"/>
        </w:numPr>
        <w:spacing w:after="0" w:line="240" w:lineRule="auto"/>
        <w:jc w:val="both"/>
      </w:pPr>
      <w:r>
        <w:t>Hand</w:t>
      </w:r>
    </w:p>
    <w:p w14:paraId="314AC155" w14:textId="77777777" w:rsidR="00D21262" w:rsidRDefault="00D21262" w:rsidP="00D21262">
      <w:pPr>
        <w:pStyle w:val="Paragrafoelenco"/>
        <w:numPr>
          <w:ilvl w:val="0"/>
          <w:numId w:val="2"/>
        </w:numPr>
        <w:spacing w:after="0" w:line="240" w:lineRule="auto"/>
        <w:jc w:val="both"/>
      </w:pPr>
      <w:r>
        <w:t>Head</w:t>
      </w:r>
    </w:p>
    <w:p w14:paraId="1BE7B1D9" w14:textId="77777777" w:rsidR="00D21262" w:rsidRDefault="00D21262" w:rsidP="00D21262">
      <w:pPr>
        <w:pStyle w:val="Paragrafoelenco"/>
        <w:numPr>
          <w:ilvl w:val="0"/>
          <w:numId w:val="2"/>
        </w:numPr>
        <w:spacing w:after="0" w:line="240" w:lineRule="auto"/>
        <w:jc w:val="both"/>
      </w:pPr>
      <w:r>
        <w:t>Leg</w:t>
      </w:r>
    </w:p>
    <w:p w14:paraId="229E8EC0" w14:textId="77777777" w:rsidR="00D21262" w:rsidRDefault="00D21262" w:rsidP="00D21262">
      <w:pPr>
        <w:pStyle w:val="Paragrafoelenco"/>
        <w:numPr>
          <w:ilvl w:val="0"/>
          <w:numId w:val="2"/>
        </w:numPr>
        <w:spacing w:after="0" w:line="240" w:lineRule="auto"/>
        <w:jc w:val="both"/>
      </w:pPr>
      <w:r>
        <w:t>Neck</w:t>
      </w:r>
    </w:p>
    <w:p w14:paraId="37D72914" w14:textId="77777777" w:rsidR="00D21262" w:rsidRDefault="00D21262" w:rsidP="00D21262">
      <w:pPr>
        <w:pStyle w:val="Paragrafoelenco"/>
        <w:numPr>
          <w:ilvl w:val="0"/>
          <w:numId w:val="2"/>
        </w:numPr>
        <w:spacing w:after="0" w:line="240" w:lineRule="auto"/>
        <w:jc w:val="both"/>
      </w:pPr>
      <w:r>
        <w:t>Thigh</w:t>
      </w:r>
    </w:p>
    <w:p w14:paraId="544FA920" w14:textId="77777777" w:rsidR="00D21262" w:rsidRDefault="00D21262" w:rsidP="00D21262">
      <w:pPr>
        <w:pStyle w:val="Paragrafoelenco"/>
        <w:numPr>
          <w:ilvl w:val="0"/>
          <w:numId w:val="2"/>
        </w:numPr>
        <w:spacing w:after="0" w:line="240" w:lineRule="auto"/>
        <w:jc w:val="both"/>
      </w:pPr>
      <w:r>
        <w:t>Trunk</w:t>
      </w:r>
    </w:p>
    <w:p w14:paraId="63587A28" w14:textId="54A92C87" w:rsidR="00E76882" w:rsidRDefault="00E76882" w:rsidP="0020170A">
      <w:pPr>
        <w:rPr>
          <w:rFonts w:eastAsiaTheme="minorEastAsia"/>
          <w:iCs/>
        </w:rPr>
      </w:pPr>
      <w:r w:rsidRPr="00E76882">
        <w:rPr>
          <w:rFonts w:eastAsiaTheme="minorEastAsia"/>
          <w:iCs/>
        </w:rPr>
        <w:t>Th</w:t>
      </w:r>
      <w:r>
        <w:rPr>
          <w:rFonts w:eastAsiaTheme="minorEastAsia"/>
          <w:iCs/>
        </w:rPr>
        <w:t>e current version of the code also contains the exergy model of the human body grounding on the same approach as described in previous paragraphs.</w:t>
      </w:r>
    </w:p>
    <w:p w14:paraId="29E13CB1" w14:textId="77777777" w:rsidR="00FB6BF6" w:rsidRPr="00E76882" w:rsidRDefault="00FB6BF6" w:rsidP="0020170A">
      <w:pPr>
        <w:rPr>
          <w:rFonts w:eastAsiaTheme="minorEastAsia"/>
          <w:iCs/>
        </w:rPr>
      </w:pPr>
    </w:p>
    <w:p w14:paraId="12CB4375" w14:textId="226EB502" w:rsidR="0020170A" w:rsidRPr="00E84F70" w:rsidRDefault="0020170A" w:rsidP="00E84F70">
      <w:pPr>
        <w:pStyle w:val="Paragrafoelenco"/>
        <w:numPr>
          <w:ilvl w:val="0"/>
          <w:numId w:val="7"/>
        </w:numPr>
        <w:rPr>
          <w:b/>
          <w:bCs/>
          <w:sz w:val="32"/>
          <w:szCs w:val="32"/>
        </w:rPr>
      </w:pPr>
      <w:r w:rsidRPr="00E84F70">
        <w:rPr>
          <w:b/>
          <w:bCs/>
          <w:sz w:val="32"/>
          <w:szCs w:val="32"/>
        </w:rPr>
        <w:t>Structure of the model</w:t>
      </w:r>
    </w:p>
    <w:p w14:paraId="30131E8A" w14:textId="77777777" w:rsidR="00FB6BF6" w:rsidRDefault="00FB6BF6" w:rsidP="00113518">
      <w:pPr>
        <w:jc w:val="both"/>
        <w:rPr>
          <w:rFonts w:eastAsiaTheme="minorEastAsia"/>
          <w:iCs/>
        </w:rPr>
      </w:pPr>
    </w:p>
    <w:p w14:paraId="3E27AAAB" w14:textId="010175DC" w:rsidR="0020170A" w:rsidRDefault="0020170A" w:rsidP="00113518">
      <w:pPr>
        <w:jc w:val="both"/>
        <w:rPr>
          <w:rFonts w:eastAsiaTheme="minorEastAsia"/>
          <w:iCs/>
        </w:rPr>
      </w:pPr>
      <w:r>
        <w:rPr>
          <w:rFonts w:eastAsiaTheme="minorEastAsia"/>
          <w:iCs/>
        </w:rPr>
        <w:t xml:space="preserve">The most updated version of the model is developed in Python; the script is shared on </w:t>
      </w:r>
      <w:proofErr w:type="spellStart"/>
      <w:r>
        <w:rPr>
          <w:rFonts w:eastAsiaTheme="minorEastAsia"/>
          <w:iCs/>
        </w:rPr>
        <w:t>Github</w:t>
      </w:r>
      <w:proofErr w:type="spellEnd"/>
      <w:r>
        <w:rPr>
          <w:rFonts w:eastAsiaTheme="minorEastAsia"/>
          <w:iCs/>
        </w:rPr>
        <w:t xml:space="preserve"> and it is structured in different levels:</w:t>
      </w:r>
    </w:p>
    <w:p w14:paraId="07476FA1" w14:textId="108F5CAD" w:rsidR="0020170A" w:rsidRDefault="0020170A" w:rsidP="00E76882">
      <w:pPr>
        <w:pStyle w:val="Paragrafoelenco"/>
        <w:numPr>
          <w:ilvl w:val="0"/>
          <w:numId w:val="5"/>
        </w:numPr>
        <w:jc w:val="both"/>
        <w:rPr>
          <w:rFonts w:eastAsiaTheme="minorEastAsia"/>
          <w:iCs/>
        </w:rPr>
      </w:pPr>
      <w:r>
        <w:rPr>
          <w:rFonts w:eastAsiaTheme="minorEastAsia"/>
          <w:iCs/>
        </w:rPr>
        <w:t>The first level</w:t>
      </w:r>
      <w:r w:rsidR="00E76882">
        <w:rPr>
          <w:rFonts w:eastAsiaTheme="minorEastAsia"/>
          <w:iCs/>
        </w:rPr>
        <w:t xml:space="preserve"> of the model</w:t>
      </w:r>
      <w:r>
        <w:rPr>
          <w:rFonts w:eastAsiaTheme="minorEastAsia"/>
          <w:iCs/>
        </w:rPr>
        <w:t xml:space="preserve"> is the “</w:t>
      </w:r>
      <w:r w:rsidRPr="0020170A">
        <w:rPr>
          <w:rFonts w:eastAsiaTheme="minorEastAsia"/>
          <w:i/>
        </w:rPr>
        <w:t>constant.py</w:t>
      </w:r>
      <w:r>
        <w:rPr>
          <w:rFonts w:eastAsiaTheme="minorEastAsia"/>
          <w:iCs/>
        </w:rPr>
        <w:t xml:space="preserve">” file, in which we set </w:t>
      </w:r>
      <w:r w:rsidR="00FB6BF6">
        <w:rPr>
          <w:rFonts w:eastAsiaTheme="minorEastAsia"/>
          <w:iCs/>
        </w:rPr>
        <w:t>the</w:t>
      </w:r>
      <w:r>
        <w:rPr>
          <w:rFonts w:eastAsiaTheme="minorEastAsia"/>
          <w:iCs/>
        </w:rPr>
        <w:t xml:space="preserve"> constants of the model (i.e. fluids thermos-physical properties).</w:t>
      </w:r>
    </w:p>
    <w:p w14:paraId="318CBB5F" w14:textId="5C82E0ED" w:rsidR="00D21262" w:rsidRDefault="00D21262" w:rsidP="00E76882">
      <w:pPr>
        <w:pStyle w:val="Paragrafoelenco"/>
        <w:numPr>
          <w:ilvl w:val="0"/>
          <w:numId w:val="5"/>
        </w:numPr>
        <w:jc w:val="both"/>
        <w:rPr>
          <w:rFonts w:eastAsiaTheme="minorEastAsia"/>
          <w:iCs/>
        </w:rPr>
      </w:pPr>
      <w:r>
        <w:rPr>
          <w:rFonts w:eastAsiaTheme="minorEastAsia"/>
          <w:iCs/>
        </w:rPr>
        <w:t>The second level the “</w:t>
      </w:r>
      <w:r w:rsidRPr="00D21262">
        <w:rPr>
          <w:rFonts w:eastAsiaTheme="minorEastAsia"/>
          <w:i/>
        </w:rPr>
        <w:t>cylinder_model.py</w:t>
      </w:r>
      <w:r>
        <w:rPr>
          <w:rFonts w:eastAsiaTheme="minorEastAsia"/>
          <w:iCs/>
        </w:rPr>
        <w:t>”; the cylinder is modelled as a class, which means that given the geometric properties of the cylinder (i.e. length or radius), the model returns the heat exchange surfaces and the heat transfer flows. Indeed, “</w:t>
      </w:r>
      <w:r w:rsidRPr="00D21262">
        <w:rPr>
          <w:rFonts w:eastAsiaTheme="minorEastAsia"/>
          <w:i/>
        </w:rPr>
        <w:t>cylinder_model.py</w:t>
      </w:r>
      <w:r>
        <w:rPr>
          <w:rFonts w:eastAsiaTheme="minorEastAsia"/>
          <w:iCs/>
        </w:rPr>
        <w:t>” recalls the “</w:t>
      </w:r>
      <w:r w:rsidRPr="0020170A">
        <w:rPr>
          <w:rFonts w:eastAsiaTheme="minorEastAsia"/>
          <w:i/>
        </w:rPr>
        <w:t>constant.py</w:t>
      </w:r>
      <w:r>
        <w:rPr>
          <w:rFonts w:eastAsiaTheme="minorEastAsia"/>
          <w:iCs/>
        </w:rPr>
        <w:t>” to retrieve the thermo-physical properties of fluids to implement the heat transfer equations valid for all cylinders.</w:t>
      </w:r>
    </w:p>
    <w:p w14:paraId="3912E89C" w14:textId="06085A30" w:rsidR="00E76882" w:rsidRDefault="00E76882" w:rsidP="00E76882">
      <w:pPr>
        <w:pStyle w:val="Paragrafoelenco"/>
        <w:numPr>
          <w:ilvl w:val="0"/>
          <w:numId w:val="5"/>
        </w:numPr>
        <w:jc w:val="both"/>
        <w:rPr>
          <w:rFonts w:eastAsiaTheme="minorEastAsia"/>
          <w:iCs/>
        </w:rPr>
      </w:pPr>
      <w:r>
        <w:rPr>
          <w:rFonts w:eastAsiaTheme="minorEastAsia"/>
          <w:iCs/>
        </w:rPr>
        <w:t>The third level of the model are the subclasses (located in the subfolder “subclasses”) that recalls “</w:t>
      </w:r>
      <w:r w:rsidRPr="00D21262">
        <w:rPr>
          <w:rFonts w:eastAsiaTheme="minorEastAsia"/>
          <w:i/>
        </w:rPr>
        <w:t>cylinder_model.py</w:t>
      </w:r>
      <w:r>
        <w:rPr>
          <w:rFonts w:eastAsiaTheme="minorEastAsia"/>
          <w:iCs/>
        </w:rPr>
        <w:t>” and sets the geometrical properties of cylinders. For example, the files “</w:t>
      </w:r>
      <w:r w:rsidRPr="00E76882">
        <w:rPr>
          <w:rFonts w:eastAsiaTheme="minorEastAsia"/>
          <w:i/>
        </w:rPr>
        <w:t>arm.py</w:t>
      </w:r>
      <w:r>
        <w:rPr>
          <w:rFonts w:eastAsiaTheme="minorEastAsia"/>
          <w:iCs/>
        </w:rPr>
        <w:t>”, “</w:t>
      </w:r>
      <w:r w:rsidRPr="00E76882">
        <w:rPr>
          <w:rFonts w:eastAsiaTheme="minorEastAsia"/>
          <w:i/>
        </w:rPr>
        <w:t>foot.py</w:t>
      </w:r>
      <w:r>
        <w:rPr>
          <w:rFonts w:eastAsiaTheme="minorEastAsia"/>
          <w:iCs/>
        </w:rPr>
        <w:t>” … are the subclasses.</w:t>
      </w:r>
    </w:p>
    <w:p w14:paraId="1B41F444" w14:textId="23CE137E" w:rsidR="00E76882" w:rsidRDefault="00E76882" w:rsidP="00E76882">
      <w:pPr>
        <w:pStyle w:val="Paragrafoelenco"/>
        <w:numPr>
          <w:ilvl w:val="0"/>
          <w:numId w:val="5"/>
        </w:numPr>
        <w:jc w:val="both"/>
        <w:rPr>
          <w:rFonts w:eastAsiaTheme="minorEastAsia"/>
          <w:iCs/>
        </w:rPr>
      </w:pPr>
      <w:r>
        <w:rPr>
          <w:rFonts w:eastAsiaTheme="minorEastAsia"/>
          <w:iCs/>
        </w:rPr>
        <w:t>The fourth level of the model is the “</w:t>
      </w:r>
      <w:r w:rsidRPr="00E76882">
        <w:rPr>
          <w:rFonts w:eastAsiaTheme="minorEastAsia"/>
          <w:i/>
        </w:rPr>
        <w:t>body_model.py</w:t>
      </w:r>
      <w:r>
        <w:rPr>
          <w:rFonts w:eastAsiaTheme="minorEastAsia"/>
          <w:iCs/>
        </w:rPr>
        <w:t>”, that recalls all subclasses and performs the overall energy and exergy balance of the human body. This file also contains the optimization algorithm for the increase of internal energy minimization.</w:t>
      </w:r>
    </w:p>
    <w:p w14:paraId="40A83617" w14:textId="3E18FCC8" w:rsidR="00A02E7B" w:rsidRDefault="00A02E7B" w:rsidP="00E76882">
      <w:pPr>
        <w:pStyle w:val="Paragrafoelenco"/>
        <w:numPr>
          <w:ilvl w:val="0"/>
          <w:numId w:val="5"/>
        </w:numPr>
        <w:jc w:val="both"/>
        <w:rPr>
          <w:rFonts w:eastAsiaTheme="minorEastAsia"/>
          <w:iCs/>
        </w:rPr>
      </w:pPr>
      <w:r>
        <w:rPr>
          <w:rFonts w:eastAsiaTheme="minorEastAsia"/>
          <w:iCs/>
        </w:rPr>
        <w:t>The fifth level is the “</w:t>
      </w:r>
      <w:r>
        <w:rPr>
          <w:rFonts w:eastAsiaTheme="minorEastAsia"/>
          <w:i/>
        </w:rPr>
        <w:t>I</w:t>
      </w:r>
      <w:r w:rsidRPr="00A02E7B">
        <w:rPr>
          <w:rFonts w:eastAsiaTheme="minorEastAsia"/>
          <w:i/>
        </w:rPr>
        <w:t>nitial Calculation.py</w:t>
      </w:r>
      <w:r>
        <w:rPr>
          <w:rFonts w:eastAsiaTheme="minorEastAsia"/>
          <w:iCs/>
        </w:rPr>
        <w:t>” that allows to run the calculations, also deciding which variable should be the inputs and the outputs.</w:t>
      </w:r>
    </w:p>
    <w:p w14:paraId="77E4F617" w14:textId="06786BE7" w:rsidR="00225E38" w:rsidRPr="00FB6BF6" w:rsidRDefault="00A02E7B" w:rsidP="00A02E7B">
      <w:pPr>
        <w:jc w:val="both"/>
        <w:rPr>
          <w:rFonts w:eastAsiaTheme="minorEastAsia"/>
          <w:iCs/>
        </w:rPr>
      </w:pPr>
      <w:r>
        <w:rPr>
          <w:rFonts w:eastAsiaTheme="minorEastAsia"/>
          <w:iCs/>
        </w:rPr>
        <w:t xml:space="preserve">Figure </w:t>
      </w:r>
      <w:r w:rsidR="00AA4C69">
        <w:rPr>
          <w:rFonts w:eastAsiaTheme="minorEastAsia"/>
          <w:iCs/>
        </w:rPr>
        <w:t>4</w:t>
      </w:r>
      <w:r>
        <w:rPr>
          <w:rFonts w:eastAsiaTheme="minorEastAsia"/>
          <w:iCs/>
        </w:rPr>
        <w:t xml:space="preserve"> represents the structure of the model that is available in Git-hub, that have been extensively commented.</w:t>
      </w:r>
      <w:r w:rsidR="00FB6BF6">
        <w:rPr>
          <w:rFonts w:eastAsiaTheme="minorEastAsia"/>
          <w:iCs/>
        </w:rPr>
        <w:t xml:space="preserve"> The number of variables that can be calculated are equal to the number of cylinders. For example, the model can be used to assess, given </w:t>
      </w:r>
      <m:oMath>
        <m:r>
          <m:rPr>
            <m:sty m:val="bi"/>
          </m:rPr>
          <w:rPr>
            <w:rFonts w:ascii="Cambria Math" w:eastAsiaTheme="minorEastAsia" w:hAnsi="Cambria Math"/>
          </w:rPr>
          <m:t> </m:t>
        </m:r>
        <m:r>
          <m:rPr>
            <m:sty m:val="bi"/>
          </m:rPr>
          <w:rPr>
            <w:rFonts w:ascii="Cambria Math" w:eastAsiaTheme="minorEastAsia" w:hAnsi="Cambria Math"/>
            <w:lang w:val="it-IT"/>
          </w:rPr>
          <m:t>ϵ</m:t>
        </m:r>
      </m:oMath>
      <w:r w:rsidR="00FB6BF6" w:rsidRPr="0004657A">
        <w:rPr>
          <w:rFonts w:eastAsiaTheme="minorEastAsia"/>
          <w:iCs/>
        </w:rPr>
        <w:t xml:space="preserve"> </w:t>
      </w:r>
      <w:r w:rsidR="00FB6BF6">
        <w:rPr>
          <w:rFonts w:eastAsiaTheme="minorEastAsia"/>
          <w:iCs/>
        </w:rPr>
        <w:t xml:space="preserve">and the metabolism, the values of core temperature inside cylinders. On the other hand, it would be possible to set one of the temperatures (i.e. the core temperature of the trunk) to evaluate </w:t>
      </w:r>
      <m:oMath>
        <m:r>
          <m:rPr>
            <m:sty m:val="bi"/>
          </m:rPr>
          <w:rPr>
            <w:rFonts w:ascii="Cambria Math" w:eastAsiaTheme="minorEastAsia" w:hAnsi="Cambria Math"/>
          </w:rPr>
          <m:t> </m:t>
        </m:r>
        <m:r>
          <m:rPr>
            <m:sty m:val="bi"/>
          </m:rPr>
          <w:rPr>
            <w:rFonts w:ascii="Cambria Math" w:eastAsiaTheme="minorEastAsia" w:hAnsi="Cambria Math"/>
            <w:lang w:val="it-IT"/>
          </w:rPr>
          <m:t>ϵ</m:t>
        </m:r>
      </m:oMath>
      <w:r w:rsidR="00FB6BF6" w:rsidRPr="00FB6BF6">
        <w:rPr>
          <w:rFonts w:eastAsiaTheme="minorEastAsia"/>
          <w:b/>
          <w:bCs/>
        </w:rPr>
        <w:t xml:space="preserve"> </w:t>
      </w:r>
      <w:r w:rsidR="00FB6BF6" w:rsidRPr="00FB6BF6">
        <w:rPr>
          <w:rFonts w:eastAsiaTheme="minorEastAsia"/>
        </w:rPr>
        <w:t>and the other temperatures of the body</w:t>
      </w:r>
      <w:r w:rsidR="00FB6BF6">
        <w:rPr>
          <w:rFonts w:eastAsiaTheme="minorEastAsia"/>
          <w:b/>
          <w:bCs/>
        </w:rPr>
        <w:t xml:space="preserve">. More in general, we can play with </w:t>
      </w:r>
      <w:proofErr w:type="gramStart"/>
      <w:r w:rsidR="00FB6BF6">
        <w:rPr>
          <w:rFonts w:eastAsiaTheme="minorEastAsia"/>
          <w:b/>
          <w:bCs/>
        </w:rPr>
        <w:t>the  model</w:t>
      </w:r>
      <w:proofErr w:type="gramEnd"/>
      <w:r w:rsidR="00FB6BF6">
        <w:rPr>
          <w:rFonts w:eastAsiaTheme="minorEastAsia"/>
          <w:b/>
          <w:bCs/>
        </w:rPr>
        <w:t xml:space="preserve"> to evaluate a number of variables equal to the number of cylinders</w:t>
      </w:r>
      <w:r w:rsidR="006B6AEB">
        <w:rPr>
          <w:rFonts w:eastAsiaTheme="minorEastAsia"/>
          <w:b/>
          <w:bCs/>
        </w:rPr>
        <w:t xml:space="preserve"> (e.g. evaporation, metabolism)</w:t>
      </w:r>
      <w:r w:rsidR="00FB6BF6">
        <w:rPr>
          <w:rFonts w:eastAsiaTheme="minorEastAsia"/>
          <w:b/>
          <w:bCs/>
        </w:rPr>
        <w:t>, and by setting the other variables to known values (eventually measured experimentally).</w:t>
      </w:r>
    </w:p>
    <w:p w14:paraId="188762F8" w14:textId="77777777" w:rsidR="00225E38" w:rsidRDefault="00225E38" w:rsidP="00225E38">
      <w:pPr>
        <w:rPr>
          <w:rFonts w:eastAsiaTheme="minorEastAsia"/>
          <w:iCs/>
        </w:rPr>
      </w:pPr>
    </w:p>
    <w:p w14:paraId="4EB56CD4" w14:textId="77777777" w:rsidR="00225E38" w:rsidRPr="00225E38" w:rsidRDefault="00225E38" w:rsidP="00225E38">
      <w:pPr>
        <w:rPr>
          <w:rFonts w:eastAsiaTheme="minorEastAsia"/>
        </w:rPr>
        <w:sectPr w:rsidR="00225E38" w:rsidRPr="00225E38" w:rsidSect="00C26123">
          <w:footerReference w:type="default" r:id="rId13"/>
          <w:pgSz w:w="11906" w:h="16838"/>
          <w:pgMar w:top="1417" w:right="1134" w:bottom="1134" w:left="1134" w:header="708" w:footer="708" w:gutter="0"/>
          <w:cols w:space="708"/>
          <w:docGrid w:linePitch="360"/>
        </w:sectPr>
      </w:pPr>
    </w:p>
    <w:p w14:paraId="5E0BE69B" w14:textId="2B8A8C35" w:rsidR="0020170A" w:rsidRDefault="00A02E7B" w:rsidP="00A02E7B">
      <w:pPr>
        <w:rPr>
          <w:rFonts w:eastAsiaTheme="minorEastAsia"/>
          <w:iCs/>
        </w:rPr>
      </w:pPr>
      <w:r w:rsidRPr="00A02E7B">
        <w:rPr>
          <w:noProof/>
        </w:rPr>
        <w:lastRenderedPageBreak/>
        <w:drawing>
          <wp:inline distT="0" distB="0" distL="0" distR="0" wp14:anchorId="4729449E" wp14:editId="369177CF">
            <wp:extent cx="9396000" cy="5145814"/>
            <wp:effectExtent l="0" t="0" r="0" b="0"/>
            <wp:docPr id="2094671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376"/>
                    <a:stretch/>
                  </pic:blipFill>
                  <pic:spPr bwMode="auto">
                    <a:xfrm>
                      <a:off x="0" y="0"/>
                      <a:ext cx="9396000" cy="5145814"/>
                    </a:xfrm>
                    <a:prstGeom prst="rect">
                      <a:avLst/>
                    </a:prstGeom>
                    <a:noFill/>
                    <a:ln>
                      <a:noFill/>
                    </a:ln>
                    <a:extLst>
                      <a:ext uri="{53640926-AAD7-44D8-BBD7-CCE9431645EC}">
                        <a14:shadowObscured xmlns:a14="http://schemas.microsoft.com/office/drawing/2010/main"/>
                      </a:ext>
                    </a:extLst>
                  </pic:spPr>
                </pic:pic>
              </a:graphicData>
            </a:graphic>
          </wp:inline>
        </w:drawing>
      </w:r>
    </w:p>
    <w:p w14:paraId="688D561D" w14:textId="369B1E98" w:rsidR="0020170A" w:rsidRDefault="00E84F70" w:rsidP="00A02E7B">
      <w:pPr>
        <w:jc w:val="center"/>
        <w:rPr>
          <w:rFonts w:eastAsiaTheme="minorEastAsia"/>
          <w:iCs/>
        </w:rPr>
      </w:pPr>
      <w:r w:rsidRPr="0076679A">
        <w:rPr>
          <w:rFonts w:eastAsiaTheme="minorEastAsia"/>
          <w:i/>
          <w:sz w:val="18"/>
          <w:szCs w:val="18"/>
        </w:rPr>
        <w:t xml:space="preserve">Figure </w:t>
      </w:r>
      <w:r w:rsidR="00AA4C69">
        <w:rPr>
          <w:rFonts w:eastAsiaTheme="minorEastAsia"/>
          <w:i/>
          <w:sz w:val="18"/>
          <w:szCs w:val="18"/>
        </w:rPr>
        <w:t>4</w:t>
      </w:r>
      <w:r w:rsidRPr="0076679A">
        <w:rPr>
          <w:rFonts w:eastAsiaTheme="minorEastAsia"/>
          <w:i/>
          <w:sz w:val="18"/>
          <w:szCs w:val="18"/>
        </w:rPr>
        <w:t>: representation of the model.</w:t>
      </w:r>
    </w:p>
    <w:p w14:paraId="211CE0B4" w14:textId="77777777" w:rsidR="00225E38" w:rsidRDefault="00225E38" w:rsidP="00113518">
      <w:pPr>
        <w:jc w:val="both"/>
        <w:rPr>
          <w:rFonts w:eastAsiaTheme="minorEastAsia"/>
          <w:iCs/>
        </w:rPr>
        <w:sectPr w:rsidR="00225E38" w:rsidSect="00225E38">
          <w:pgSz w:w="16838" w:h="11906" w:orient="landscape"/>
          <w:pgMar w:top="1134" w:right="1417" w:bottom="1134" w:left="1134" w:header="708" w:footer="708" w:gutter="0"/>
          <w:cols w:space="708"/>
          <w:docGrid w:linePitch="360"/>
        </w:sectPr>
      </w:pPr>
    </w:p>
    <w:p w14:paraId="11D42B14" w14:textId="77777777" w:rsidR="0020170A" w:rsidRDefault="0020170A" w:rsidP="00113518">
      <w:pPr>
        <w:jc w:val="both"/>
        <w:rPr>
          <w:rFonts w:eastAsiaTheme="minorEastAsia"/>
          <w:iCs/>
        </w:rPr>
      </w:pPr>
    </w:p>
    <w:p w14:paraId="1A3499EC" w14:textId="79989BAF" w:rsidR="003F3363" w:rsidRPr="00D20717" w:rsidRDefault="003F3363" w:rsidP="00D20717">
      <w:pPr>
        <w:pStyle w:val="Paragrafoelenco"/>
        <w:numPr>
          <w:ilvl w:val="0"/>
          <w:numId w:val="7"/>
        </w:numPr>
        <w:rPr>
          <w:b/>
          <w:bCs/>
          <w:sz w:val="32"/>
          <w:szCs w:val="32"/>
        </w:rPr>
      </w:pPr>
      <w:r w:rsidRPr="00D20717">
        <w:rPr>
          <w:b/>
          <w:bCs/>
          <w:sz w:val="32"/>
          <w:szCs w:val="32"/>
        </w:rPr>
        <w:t>Limitations and potential upgrades</w:t>
      </w:r>
    </w:p>
    <w:p w14:paraId="08BEC913" w14:textId="77777777" w:rsidR="003F3363" w:rsidRDefault="003F3363" w:rsidP="00113518">
      <w:pPr>
        <w:jc w:val="both"/>
        <w:rPr>
          <w:rFonts w:eastAsiaTheme="minorEastAsia"/>
          <w:iCs/>
        </w:rPr>
      </w:pPr>
    </w:p>
    <w:p w14:paraId="7B094208" w14:textId="759F7648" w:rsidR="00D20717" w:rsidRPr="000D714A" w:rsidRDefault="00E84F70" w:rsidP="00D20717">
      <w:pPr>
        <w:jc w:val="both"/>
      </w:pPr>
      <w:r>
        <w:t xml:space="preserve">The model currently presents </w:t>
      </w:r>
      <w:r w:rsidR="00D20717">
        <w:t>several limitation</w:t>
      </w:r>
      <w:r w:rsidR="000D714A">
        <w:t>s;</w:t>
      </w:r>
      <w:r w:rsidR="00D20717">
        <w:t xml:space="preserve"> among them, </w:t>
      </w:r>
      <w:r w:rsidR="000D714A">
        <w:t>considering</w:t>
      </w:r>
      <w:r w:rsidR="00D20717">
        <w:t xml:space="preserve"> the aim of Age-it project, it is necessary to remark that t</w:t>
      </w:r>
      <w:r w:rsidR="00D20717" w:rsidRPr="00D20717">
        <w:rPr>
          <w:b/>
          <w:bCs/>
        </w:rPr>
        <w:t xml:space="preserve">he model does not consider the effects of ageing and cardiovascular </w:t>
      </w:r>
      <w:r w:rsidR="000D714A">
        <w:rPr>
          <w:b/>
          <w:bCs/>
        </w:rPr>
        <w:t>issues in elderly people</w:t>
      </w:r>
      <w:r w:rsidR="00D20717">
        <w:t>: with ageing, the capacity of the thermoregulatory system changes, thus determining potential increases or decreases of the internal temperature.</w:t>
      </w:r>
      <w:r w:rsidR="00A86369">
        <w:t xml:space="preserve"> </w:t>
      </w:r>
      <w:r w:rsidR="000D714A">
        <w:t xml:space="preserve">For example, </w:t>
      </w:r>
      <w:r w:rsidR="000D714A">
        <w:rPr>
          <w:rFonts w:eastAsiaTheme="minorEastAsia"/>
        </w:rPr>
        <w:t xml:space="preserve">the capacity of vasoconstriction and dilatation, expressed by </w:t>
      </w:r>
      <m:oMath>
        <m:r>
          <m:rPr>
            <m:sty m:val="bi"/>
          </m:rPr>
          <w:rPr>
            <w:rFonts w:ascii="Cambria Math" w:eastAsiaTheme="minorEastAsia" w:hAnsi="Cambria Math"/>
          </w:rPr>
          <m:t> </m:t>
        </m:r>
        <m:r>
          <m:rPr>
            <m:sty m:val="bi"/>
          </m:rPr>
          <w:rPr>
            <w:rFonts w:ascii="Cambria Math" w:eastAsiaTheme="minorEastAsia" w:hAnsi="Cambria Math"/>
            <w:lang w:val="it-IT"/>
          </w:rPr>
          <m:t>ϵ</m:t>
        </m:r>
      </m:oMath>
      <w:r w:rsidR="000D714A" w:rsidRPr="000D714A">
        <w:rPr>
          <w:rFonts w:eastAsiaTheme="minorEastAsia"/>
          <w:b/>
          <w:bCs/>
        </w:rPr>
        <w:t>,</w:t>
      </w:r>
      <w:r w:rsidR="000D714A">
        <w:rPr>
          <w:rFonts w:eastAsiaTheme="minorEastAsia"/>
          <w:b/>
          <w:bCs/>
        </w:rPr>
        <w:t xml:space="preserve"> </w:t>
      </w:r>
      <w:r w:rsidR="000D714A">
        <w:rPr>
          <w:rFonts w:eastAsiaTheme="minorEastAsia"/>
        </w:rPr>
        <w:t>can be different in old people than in young ones.</w:t>
      </w:r>
    </w:p>
    <w:p w14:paraId="2DFDC207" w14:textId="23AF2A8C" w:rsidR="00D20717" w:rsidRPr="00D20717" w:rsidRDefault="00D20717" w:rsidP="00D20717">
      <w:pPr>
        <w:jc w:val="both"/>
      </w:pPr>
      <w:r>
        <w:t xml:space="preserve">In addition, the </w:t>
      </w:r>
      <w:r w:rsidR="00A86369">
        <w:t xml:space="preserve">current version of the model also presents </w:t>
      </w:r>
      <w:r>
        <w:t xml:space="preserve">following </w:t>
      </w:r>
      <w:r w:rsidR="00A86369">
        <w:t>limitations</w:t>
      </w:r>
      <w:r w:rsidR="00AA4C69">
        <w:t xml:space="preserve"> (sorted by priority)</w:t>
      </w:r>
      <w:r w:rsidR="00A86369">
        <w:t>:</w:t>
      </w:r>
    </w:p>
    <w:p w14:paraId="5D5486DD" w14:textId="3238C007" w:rsidR="00D20717" w:rsidRPr="00D20717" w:rsidRDefault="00D20717" w:rsidP="00D20717">
      <w:pPr>
        <w:pStyle w:val="Paragrafoelenco"/>
        <w:numPr>
          <w:ilvl w:val="0"/>
          <w:numId w:val="8"/>
        </w:numPr>
        <w:spacing w:after="0" w:line="240" w:lineRule="auto"/>
        <w:jc w:val="both"/>
        <w:rPr>
          <w:b/>
          <w:bCs/>
        </w:rPr>
      </w:pPr>
      <w:r w:rsidRPr="00D20717">
        <w:rPr>
          <w:b/>
          <w:bCs/>
        </w:rPr>
        <w:t>The model does not consider “time” as a variable</w:t>
      </w:r>
      <w:r>
        <w:t xml:space="preserve">: the thermodynamic behaviour should be evaluated dynamically in non-steady-state conditions. </w:t>
      </w:r>
    </w:p>
    <w:p w14:paraId="73E0EB9A" w14:textId="536D1EAA" w:rsidR="00D20717" w:rsidRPr="00EB5355" w:rsidRDefault="00D20717" w:rsidP="00D20717">
      <w:pPr>
        <w:pStyle w:val="Paragrafoelenco"/>
        <w:numPr>
          <w:ilvl w:val="0"/>
          <w:numId w:val="8"/>
        </w:numPr>
        <w:spacing w:after="0" w:line="240" w:lineRule="auto"/>
        <w:jc w:val="both"/>
        <w:rPr>
          <w:b/>
          <w:bCs/>
        </w:rPr>
      </w:pPr>
      <w:r w:rsidRPr="00D20717">
        <w:rPr>
          <w:b/>
          <w:bCs/>
        </w:rPr>
        <w:t>The model does not consider motion and exercises</w:t>
      </w:r>
      <w:r>
        <w:rPr>
          <w:b/>
          <w:bCs/>
        </w:rPr>
        <w:t xml:space="preserve">: </w:t>
      </w:r>
      <w:r w:rsidRPr="00D20717">
        <w:t xml:space="preserve">in case </w:t>
      </w:r>
      <w:r>
        <w:t>the body is in motion, the work the body (</w:t>
      </w:r>
      <m:oMath>
        <m:sSub>
          <m:sSubPr>
            <m:ctrlPr>
              <w:rPr>
                <w:rFonts w:ascii="Cambria Math" w:hAnsi="Cambria Math"/>
                <w:i/>
                <w:iCs/>
                <w:lang w:val="it-IT"/>
              </w:rPr>
            </m:ctrlPr>
          </m:sSubPr>
          <m:e>
            <m:r>
              <w:rPr>
                <w:rFonts w:ascii="Cambria Math" w:hAnsi="Cambria Math"/>
                <w:lang w:val="it-IT"/>
              </w:rPr>
              <m:t>W</m:t>
            </m:r>
          </m:e>
          <m:sub>
            <m:r>
              <w:rPr>
                <w:rFonts w:ascii="Cambria Math" w:hAnsi="Cambria Math"/>
                <w:lang w:val="it-IT"/>
              </w:rPr>
              <m:t>n</m:t>
            </m:r>
          </m:sub>
        </m:sSub>
      </m:oMath>
      <w:r w:rsidRPr="00D20717">
        <w:rPr>
          <w:rFonts w:eastAsiaTheme="minorEastAsia"/>
          <w:iCs/>
        </w:rPr>
        <w:t>) is not zero.</w:t>
      </w:r>
      <w:r>
        <w:rPr>
          <w:rFonts w:eastAsiaTheme="minorEastAsia"/>
          <w:iCs/>
        </w:rPr>
        <w:t xml:space="preserve"> To generate work, the human body </w:t>
      </w:r>
      <w:r w:rsidR="00AA4C69">
        <w:rPr>
          <w:rFonts w:eastAsiaTheme="minorEastAsia"/>
          <w:iCs/>
        </w:rPr>
        <w:t>must</w:t>
      </w:r>
      <w:r>
        <w:rPr>
          <w:rFonts w:eastAsiaTheme="minorEastAsia"/>
          <w:iCs/>
        </w:rPr>
        <w:t xml:space="preserve"> increase metabolism; to increase metabolism, the human body has to increase the oxygen/blood mass flow rate; to increase the oxygen/blood flow rate, the human body has to increase the heart rate, the breathing, and the arteries/veins have to increase their cross section to prevent the increase of pressure (vasodilatation). To keep the temperature under control, that would be incremented by metabolism and blood flow rate, the body starts sweating and dissipating heat with sweat evaporation.</w:t>
      </w:r>
    </w:p>
    <w:p w14:paraId="7B5F7794" w14:textId="57F93A23" w:rsidR="00EB5355" w:rsidRPr="00EB5355" w:rsidRDefault="00EB5355" w:rsidP="00EB5355">
      <w:pPr>
        <w:pStyle w:val="Paragrafoelenco"/>
        <w:numPr>
          <w:ilvl w:val="0"/>
          <w:numId w:val="8"/>
        </w:numPr>
        <w:spacing w:after="0" w:line="240" w:lineRule="auto"/>
        <w:jc w:val="both"/>
      </w:pPr>
      <w:r w:rsidRPr="00D20717">
        <w:rPr>
          <w:b/>
          <w:bCs/>
        </w:rPr>
        <w:t>The model is valid for naked body, and clothes are not accounted</w:t>
      </w:r>
      <w:r>
        <w:t>: clothes represent an additional layer and thus a conductive heat transfer resistance that depends on the material of clothing. In addition, there is an air layer between the skin and the clothes. In case movement is considered, such air gap has a variable thickness.</w:t>
      </w:r>
      <w:r w:rsidR="009F494A">
        <w:t xml:space="preserve"> </w:t>
      </w:r>
    </w:p>
    <w:p w14:paraId="2694D980" w14:textId="2217D7B7" w:rsidR="00D20717" w:rsidRDefault="00D20717" w:rsidP="00D20717">
      <w:pPr>
        <w:pStyle w:val="Paragrafoelenco"/>
        <w:numPr>
          <w:ilvl w:val="0"/>
          <w:numId w:val="8"/>
        </w:numPr>
        <w:spacing w:after="0" w:line="240" w:lineRule="auto"/>
        <w:jc w:val="both"/>
      </w:pPr>
      <w:r w:rsidRPr="00D20717">
        <w:rPr>
          <w:b/>
          <w:bCs/>
        </w:rPr>
        <w:t xml:space="preserve">The model </w:t>
      </w:r>
      <w:r w:rsidR="00AA4C69" w:rsidRPr="00D20717">
        <w:rPr>
          <w:b/>
          <w:bCs/>
        </w:rPr>
        <w:t>considers</w:t>
      </w:r>
      <w:r w:rsidRPr="00D20717">
        <w:rPr>
          <w:b/>
          <w:bCs/>
        </w:rPr>
        <w:t xml:space="preserve"> body parts as single cylinders without </w:t>
      </w:r>
      <w:r w:rsidR="00AA4C69">
        <w:rPr>
          <w:b/>
          <w:bCs/>
        </w:rPr>
        <w:t xml:space="preserve">evaluating its multiple </w:t>
      </w:r>
      <w:r w:rsidRPr="00D20717">
        <w:rPr>
          <w:b/>
          <w:bCs/>
        </w:rPr>
        <w:t>layers (i.e. muscles, fat) and different shapes than regular cylinders</w:t>
      </w:r>
      <w:r>
        <w:t>: certain parts of the body are more similar to a sphere (i.e. head) or tapered cylinders (i.e. foot) rather than standard cylinders. In addition, cylinders should be composed of several layers (i.e. bones, veins, muscles, fat, skin) with different thermal properties.</w:t>
      </w:r>
    </w:p>
    <w:p w14:paraId="4EF35D78" w14:textId="223AF478" w:rsidR="00A86369" w:rsidRDefault="00A86369" w:rsidP="00A86369">
      <w:pPr>
        <w:pStyle w:val="Paragrafoelenco"/>
        <w:numPr>
          <w:ilvl w:val="0"/>
          <w:numId w:val="8"/>
        </w:numPr>
        <w:spacing w:after="0" w:line="240" w:lineRule="auto"/>
        <w:jc w:val="both"/>
      </w:pPr>
      <w:r w:rsidRPr="0016740E">
        <w:rPr>
          <w:b/>
          <w:bCs/>
        </w:rPr>
        <w:t>Some more specific model for certain parts of the body</w:t>
      </w:r>
      <w:r>
        <w:t xml:space="preserve"> (i.e. head, trunk, hands, foot) could be considered. I.e., gloves</w:t>
      </w:r>
    </w:p>
    <w:p w14:paraId="236B6882" w14:textId="1E533F85" w:rsidR="00D20717" w:rsidRPr="00D20717" w:rsidRDefault="00D20717" w:rsidP="00D20717">
      <w:pPr>
        <w:pStyle w:val="Paragrafoelenco"/>
        <w:numPr>
          <w:ilvl w:val="0"/>
          <w:numId w:val="8"/>
        </w:numPr>
        <w:jc w:val="both"/>
        <w:rPr>
          <w:b/>
          <w:bCs/>
        </w:rPr>
      </w:pPr>
      <w:r w:rsidRPr="00D20717">
        <w:rPr>
          <w:b/>
          <w:bCs/>
        </w:rPr>
        <w:t xml:space="preserve">The model does not include differences between males and </w:t>
      </w:r>
      <w:proofErr w:type="gramStart"/>
      <w:r w:rsidRPr="00D20717">
        <w:rPr>
          <w:b/>
          <w:bCs/>
        </w:rPr>
        <w:t>females</w:t>
      </w:r>
      <w:proofErr w:type="gramEnd"/>
      <w:r w:rsidRPr="00D20717">
        <w:rPr>
          <w:b/>
          <w:bCs/>
        </w:rPr>
        <w:t xml:space="preserve"> thermal behaviour</w:t>
      </w:r>
      <w:r w:rsidR="00A86369">
        <w:rPr>
          <w:b/>
          <w:bCs/>
        </w:rPr>
        <w:t>, excluding the different metabolism expressed with empirical correlations.</w:t>
      </w:r>
      <w:r w:rsidRPr="00D20717">
        <w:rPr>
          <w:b/>
          <w:bCs/>
        </w:rPr>
        <w:t xml:space="preserve"> </w:t>
      </w:r>
    </w:p>
    <w:p w14:paraId="14565237" w14:textId="77777777" w:rsidR="00E84F70" w:rsidRPr="00D20717" w:rsidRDefault="00E84F70" w:rsidP="00D20717">
      <w:pPr>
        <w:pStyle w:val="Paragrafoelenco"/>
        <w:numPr>
          <w:ilvl w:val="0"/>
          <w:numId w:val="8"/>
        </w:numPr>
        <w:spacing w:after="0" w:line="240" w:lineRule="auto"/>
        <w:jc w:val="both"/>
        <w:rPr>
          <w:b/>
          <w:bCs/>
        </w:rPr>
      </w:pPr>
      <w:r w:rsidRPr="00D20717">
        <w:rPr>
          <w:b/>
          <w:bCs/>
        </w:rPr>
        <w:t>The exergy analysis should be improved, especially considering the effect of metabolism.</w:t>
      </w:r>
    </w:p>
    <w:p w14:paraId="39F2F276" w14:textId="77777777" w:rsidR="00E84F70" w:rsidRPr="00D20717" w:rsidRDefault="00E84F70" w:rsidP="00D20717">
      <w:pPr>
        <w:pStyle w:val="Paragrafoelenco"/>
        <w:numPr>
          <w:ilvl w:val="0"/>
          <w:numId w:val="8"/>
        </w:numPr>
        <w:spacing w:after="0" w:line="240" w:lineRule="auto"/>
        <w:jc w:val="both"/>
        <w:rPr>
          <w:b/>
          <w:bCs/>
        </w:rPr>
      </w:pPr>
      <w:r w:rsidRPr="00D20717">
        <w:rPr>
          <w:b/>
          <w:bCs/>
        </w:rPr>
        <w:t>The model does not allow to consider wearable devices for the energy production.</w:t>
      </w:r>
    </w:p>
    <w:p w14:paraId="40A8B09C" w14:textId="77777777" w:rsidR="00D20717" w:rsidRDefault="00D20717" w:rsidP="00E84F70">
      <w:pPr>
        <w:jc w:val="both"/>
      </w:pPr>
    </w:p>
    <w:p w14:paraId="1096D265" w14:textId="7B88DF07" w:rsidR="00EB5355" w:rsidRDefault="00D20717" w:rsidP="00A86369">
      <w:pPr>
        <w:spacing w:after="0" w:line="240" w:lineRule="auto"/>
        <w:jc w:val="both"/>
      </w:pPr>
      <w:r w:rsidRPr="00D20717">
        <w:t>In addition to the above mentioned “modelling” limitations,</w:t>
      </w:r>
      <w:r w:rsidR="00A86369">
        <w:t xml:space="preserve"> sorted by priority,</w:t>
      </w:r>
      <w:r w:rsidRPr="00D20717">
        <w:t xml:space="preserve"> it is necessary to consider that</w:t>
      </w:r>
      <w:r>
        <w:rPr>
          <w:b/>
          <w:bCs/>
        </w:rPr>
        <w:t xml:space="preserve"> t</w:t>
      </w:r>
      <w:r w:rsidRPr="00D20717">
        <w:rPr>
          <w:b/>
          <w:bCs/>
        </w:rPr>
        <w:t xml:space="preserve">he model is not calibrated/validated with experimental data (see Section </w:t>
      </w:r>
      <w:r w:rsidR="00EB5355">
        <w:rPr>
          <w:b/>
          <w:bCs/>
        </w:rPr>
        <w:t>5</w:t>
      </w:r>
      <w:r w:rsidRPr="00D20717">
        <w:rPr>
          <w:b/>
          <w:bCs/>
        </w:rPr>
        <w:t xml:space="preserve">): </w:t>
      </w:r>
      <w:r>
        <w:t>most of inputs are based on static assumptions available in literature; primary data would allow to obtain data that are valid for specific boundary conditions defined in the experimental setup.</w:t>
      </w:r>
      <w:r w:rsidR="00A86369">
        <w:rPr>
          <w:b/>
          <w:bCs/>
        </w:rPr>
        <w:t xml:space="preserve"> </w:t>
      </w:r>
      <w:r w:rsidR="00E84F70">
        <w:t xml:space="preserve">Given the above-mentioned limitations, we </w:t>
      </w:r>
      <w:r w:rsidR="00A86369">
        <w:t>developed</w:t>
      </w:r>
      <w:r w:rsidR="00E84F70">
        <w:t xml:space="preserve"> a literature analysis of studies, classified based on the research topic.</w:t>
      </w:r>
    </w:p>
    <w:p w14:paraId="25D0079E" w14:textId="77777777" w:rsidR="00EB5355" w:rsidRDefault="00EB5355" w:rsidP="00A86369">
      <w:pPr>
        <w:spacing w:after="0" w:line="240" w:lineRule="auto"/>
        <w:jc w:val="both"/>
      </w:pPr>
    </w:p>
    <w:p w14:paraId="410FB4CA" w14:textId="400762A1" w:rsidR="00EB5355" w:rsidRPr="00EB5355" w:rsidRDefault="00EB5355" w:rsidP="00EB5355">
      <w:pPr>
        <w:pStyle w:val="Paragrafoelenco"/>
        <w:numPr>
          <w:ilvl w:val="0"/>
          <w:numId w:val="7"/>
        </w:numPr>
        <w:rPr>
          <w:b/>
          <w:bCs/>
          <w:sz w:val="32"/>
          <w:szCs w:val="32"/>
        </w:rPr>
      </w:pPr>
      <w:r w:rsidRPr="00EB5355">
        <w:rPr>
          <w:b/>
          <w:bCs/>
          <w:sz w:val="32"/>
          <w:szCs w:val="32"/>
        </w:rPr>
        <w:t>Literature review</w:t>
      </w:r>
    </w:p>
    <w:p w14:paraId="13F4A37B" w14:textId="77777777" w:rsidR="00EB5355" w:rsidRDefault="00EB5355" w:rsidP="00A86369">
      <w:pPr>
        <w:spacing w:after="0" w:line="240" w:lineRule="auto"/>
        <w:jc w:val="both"/>
      </w:pPr>
    </w:p>
    <w:p w14:paraId="774D0B41" w14:textId="4BD82107" w:rsidR="00113518" w:rsidRDefault="00E84F70" w:rsidP="00A86369">
      <w:pPr>
        <w:spacing w:after="0" w:line="240" w:lineRule="auto"/>
        <w:jc w:val="both"/>
      </w:pPr>
      <w:r>
        <w:t xml:space="preserve">The review is summarized in </w:t>
      </w:r>
      <w:r w:rsidR="00A86369">
        <w:t>an excel file</w:t>
      </w:r>
      <w:r>
        <w:t xml:space="preserve"> table</w:t>
      </w:r>
      <w:r w:rsidR="00A86369">
        <w:t>, attached to this report,</w:t>
      </w:r>
      <w:r>
        <w:t xml:space="preserve"> that easily allows to identify for which type of research gap each study could provide useful information.</w:t>
      </w:r>
      <w:r w:rsidR="00A86369">
        <w:t xml:space="preserve"> Firstly, the literature review has been conducted on “</w:t>
      </w:r>
      <w:r w:rsidR="00B143C7">
        <w:t>Scopus</w:t>
      </w:r>
      <w:r w:rsidR="00A86369">
        <w:t>” with keywords “</w:t>
      </w:r>
      <w:r w:rsidR="00A86369" w:rsidRPr="00A86369">
        <w:rPr>
          <w:b/>
          <w:bCs/>
        </w:rPr>
        <w:t>thermal model AND human body</w:t>
      </w:r>
      <w:r w:rsidR="00A86369">
        <w:t>”. This research brought to identify 49 papers related to this topic only in 2022-2023. Therefore, an additional filter “</w:t>
      </w:r>
      <w:r w:rsidR="00A86369" w:rsidRPr="00A86369">
        <w:rPr>
          <w:b/>
          <w:bCs/>
        </w:rPr>
        <w:t xml:space="preserve">thermal model AND human </w:t>
      </w:r>
      <w:r w:rsidR="00A86369" w:rsidRPr="00A86369">
        <w:rPr>
          <w:b/>
          <w:bCs/>
        </w:rPr>
        <w:lastRenderedPageBreak/>
        <w:t>body AND elderly</w:t>
      </w:r>
      <w:r w:rsidR="00A86369">
        <w:t xml:space="preserve">” has been added and 13 studies have been found regarding this topic. The literature review results are summarized in an excel file that allows to filter the papers depending on the scope (experimental, modelling, review) and the research focus (e.g. metabolism, age, clothes, motion…). In this way, when the current version of the model will be further developed by filling one of the above-listed limitations, it will be possible to easily identify those paper that could provide useful data, correlations, methodological </w:t>
      </w:r>
      <w:r w:rsidR="00886D2A">
        <w:t>approaches,</w:t>
      </w:r>
      <w:r w:rsidR="00A86369">
        <w:t xml:space="preserve"> or other information. </w:t>
      </w:r>
    </w:p>
    <w:p w14:paraId="35E335C8" w14:textId="619B1F4E" w:rsidR="00374983" w:rsidRDefault="0048233F" w:rsidP="00A86369">
      <w:pPr>
        <w:spacing w:after="0" w:line="240" w:lineRule="auto"/>
        <w:jc w:val="both"/>
      </w:pPr>
      <w:r>
        <w:t xml:space="preserve">Figure </w:t>
      </w:r>
      <w:r w:rsidR="00AA4C69">
        <w:t>5</w:t>
      </w:r>
      <w:r>
        <w:t xml:space="preserve">a shows that </w:t>
      </w:r>
      <w:r w:rsidR="001D38D5">
        <w:t>most of</w:t>
      </w:r>
      <w:r>
        <w:t xml:space="preserve"> the studies (56%) are experimental studies aiming to the measuring of physiological parameters expressing the </w:t>
      </w:r>
      <w:r w:rsidR="001D38D5">
        <w:t xml:space="preserve">behaviour of thermoregulatory systems. These studies are based on experimental tests on heterogeneous human samples in terms of age, gender, fitness level. A major attention is also given to the analysis of the environmental boundary conditions during different levels of exercise stress. These studies represent a solid ground to define experimental setups because they explain which thermophysical indicators should be considered and how measures can be conducted. Concerning the studies related to the development of thermodynamic models of human body, they represent around 34% of the total. These studies are particularly useful to integrate the current model with additional features </w:t>
      </w:r>
      <w:r w:rsidR="00374983">
        <w:t xml:space="preserve">and address the limitations outlined in the previous section. In addition, it is necessary to underline those studies (10 papers, around 20% of the total) that couple experimental and modelling </w:t>
      </w:r>
      <w:proofErr w:type="spellStart"/>
      <w:r w:rsidR="00AA4C69">
        <w:t>enalyses</w:t>
      </w:r>
      <w:proofErr w:type="spellEnd"/>
      <w:r w:rsidR="00374983">
        <w:t xml:space="preserve"> to create, calibrate and validate the model developed by the authors. Six studies (around 10%) are literature reviews that could be extremely helpful to summarize the state of the art focused on both experimental studies and to extend the current literature overview and to papers that have been published before 2022. </w:t>
      </w:r>
    </w:p>
    <w:p w14:paraId="211DD976" w14:textId="62757A04" w:rsidR="00113518" w:rsidRDefault="00374983" w:rsidP="00374983">
      <w:pPr>
        <w:spacing w:after="0" w:line="240" w:lineRule="auto"/>
        <w:jc w:val="both"/>
      </w:pPr>
      <w:r>
        <w:t xml:space="preserve">Figure </w:t>
      </w:r>
      <w:r w:rsidR="00AA4C69">
        <w:t>5</w:t>
      </w:r>
      <w:r>
        <w:t>b represents the classification of all studies identified in the literature review classified by research focus. Remarkably, most of the studies address with particular interest the thermodynamic model of clothes (17%), the development of multiple-layers cylinder models (17%) and the thermodynamic analysis of specific part of the body that could be exposed to particular conditions (17%); for example, a detailed modelling of head helmets during cycling or the effect of gloves on people hand.</w:t>
      </w:r>
      <w:r w:rsidR="00A11970">
        <w:t xml:space="preserve"> Some studies specifically address, using a computational or experimental approach, the thermodynamic effects of physical exercise (13%), of age (10%) and of different thermal conditions in buildings. On the other hand, some papers do not address any specific issue among the above-mentioned ones. However, also these papers should be undervalued because, although not very specific, they provide useful insights about multiple aspects of the problem (which as the evaluation of environmental boundary conditions). This classification represents a strong basis for the implementation of the model thus addressing all its limitations.</w:t>
      </w:r>
    </w:p>
    <w:p w14:paraId="2C8547FD" w14:textId="58A13349" w:rsidR="0048233F" w:rsidRDefault="0048233F" w:rsidP="001D38D5">
      <w:pPr>
        <w:jc w:val="center"/>
      </w:pPr>
      <w:r w:rsidRPr="0048233F">
        <w:rPr>
          <w:noProof/>
        </w:rPr>
        <w:drawing>
          <wp:inline distT="0" distB="0" distL="0" distR="0" wp14:anchorId="35513A82" wp14:editId="73255EBC">
            <wp:extent cx="6120130" cy="3576955"/>
            <wp:effectExtent l="0" t="0" r="0" b="4445"/>
            <wp:docPr id="75934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576955"/>
                    </a:xfrm>
                    <a:prstGeom prst="rect">
                      <a:avLst/>
                    </a:prstGeom>
                    <a:noFill/>
                    <a:ln>
                      <a:noFill/>
                    </a:ln>
                  </pic:spPr>
                </pic:pic>
              </a:graphicData>
            </a:graphic>
          </wp:inline>
        </w:drawing>
      </w:r>
    </w:p>
    <w:p w14:paraId="08FFED40" w14:textId="0063BD01" w:rsidR="0048233F" w:rsidRPr="0076679A" w:rsidRDefault="0048233F" w:rsidP="0048233F">
      <w:pPr>
        <w:jc w:val="center"/>
        <w:rPr>
          <w:i/>
          <w:iCs/>
          <w:sz w:val="18"/>
          <w:szCs w:val="18"/>
        </w:rPr>
      </w:pPr>
      <w:r w:rsidRPr="0076679A">
        <w:rPr>
          <w:i/>
          <w:iCs/>
          <w:sz w:val="18"/>
          <w:szCs w:val="18"/>
        </w:rPr>
        <w:t xml:space="preserve">Figure </w:t>
      </w:r>
      <w:r w:rsidR="00AA4C69">
        <w:rPr>
          <w:i/>
          <w:iCs/>
          <w:sz w:val="18"/>
          <w:szCs w:val="18"/>
        </w:rPr>
        <w:t>5</w:t>
      </w:r>
      <w:r w:rsidRPr="0076679A">
        <w:rPr>
          <w:i/>
          <w:iCs/>
          <w:sz w:val="18"/>
          <w:szCs w:val="18"/>
        </w:rPr>
        <w:t>: Literature review results</w:t>
      </w:r>
    </w:p>
    <w:p w14:paraId="39CDE16A" w14:textId="75359C53" w:rsidR="0016740E" w:rsidRDefault="0016740E" w:rsidP="0016740E">
      <w:r>
        <w:lastRenderedPageBreak/>
        <w:t xml:space="preserve">The above-mentioned papers are published in Journals that belong to different scientific fields due to the high interdisciplinary level of the study. </w:t>
      </w:r>
      <w:r w:rsidR="0076679A">
        <w:t xml:space="preserve">Journals are classified into 4 categories that related to different scientific field. </w:t>
      </w:r>
    </w:p>
    <w:p w14:paraId="24AF73E5" w14:textId="2C490C0E" w:rsidR="0076679A" w:rsidRPr="0076679A" w:rsidRDefault="0076679A" w:rsidP="0016740E">
      <w:pPr>
        <w:rPr>
          <w:i/>
          <w:iCs/>
          <w:sz w:val="18"/>
          <w:szCs w:val="18"/>
        </w:rPr>
      </w:pPr>
      <w:r w:rsidRPr="0076679A">
        <w:rPr>
          <w:i/>
          <w:iCs/>
          <w:sz w:val="18"/>
          <w:szCs w:val="18"/>
        </w:rPr>
        <w:t>Table 1: Journal clustering.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2"/>
        <w:gridCol w:w="2230"/>
        <w:gridCol w:w="1582"/>
        <w:gridCol w:w="2534"/>
      </w:tblGrid>
      <w:tr w:rsidR="0016740E" w:rsidRPr="0016740E" w14:paraId="54204C3F" w14:textId="77777777" w:rsidTr="001F6688">
        <w:trPr>
          <w:trHeight w:val="300"/>
        </w:trPr>
        <w:tc>
          <w:tcPr>
            <w:tcW w:w="1739" w:type="pct"/>
            <w:shd w:val="clear" w:color="000000" w:fill="BDD7EE"/>
            <w:noWrap/>
            <w:vAlign w:val="center"/>
            <w:hideMark/>
          </w:tcPr>
          <w:p w14:paraId="42E0A9D6" w14:textId="77777777" w:rsidR="001F6688" w:rsidRDefault="001F6688" w:rsidP="0016740E">
            <w:pPr>
              <w:spacing w:after="0" w:line="240" w:lineRule="auto"/>
              <w:jc w:val="center"/>
              <w:rPr>
                <w:rFonts w:ascii="Calibri" w:eastAsia="Times New Roman" w:hAnsi="Calibri" w:cs="Calibri"/>
                <w:b/>
                <w:bCs/>
                <w:color w:val="000000"/>
                <w:kern w:val="0"/>
                <w:sz w:val="16"/>
                <w:szCs w:val="16"/>
                <w:lang w:eastAsia="en-GB"/>
                <w14:ligatures w14:val="none"/>
              </w:rPr>
            </w:pPr>
            <w:r>
              <w:rPr>
                <w:rFonts w:ascii="Calibri" w:eastAsia="Times New Roman" w:hAnsi="Calibri" w:cs="Calibri"/>
                <w:b/>
                <w:bCs/>
                <w:color w:val="000000"/>
                <w:kern w:val="0"/>
                <w:sz w:val="16"/>
                <w:szCs w:val="16"/>
                <w:lang w:eastAsia="en-GB"/>
                <w14:ligatures w14:val="none"/>
              </w:rPr>
              <w:t xml:space="preserve">Biomedical </w:t>
            </w:r>
          </w:p>
          <w:p w14:paraId="40D4B513" w14:textId="39170326" w:rsidR="0016740E" w:rsidRPr="0016740E" w:rsidRDefault="001F6688" w:rsidP="0016740E">
            <w:pPr>
              <w:spacing w:after="0" w:line="240" w:lineRule="auto"/>
              <w:jc w:val="center"/>
              <w:rPr>
                <w:rFonts w:ascii="Calibri" w:eastAsia="Times New Roman" w:hAnsi="Calibri" w:cs="Calibri"/>
                <w:b/>
                <w:bCs/>
                <w:color w:val="000000"/>
                <w:kern w:val="0"/>
                <w:sz w:val="16"/>
                <w:szCs w:val="16"/>
                <w:lang w:eastAsia="en-GB"/>
                <w14:ligatures w14:val="none"/>
              </w:rPr>
            </w:pPr>
            <w:r>
              <w:rPr>
                <w:rFonts w:ascii="Calibri" w:eastAsia="Times New Roman" w:hAnsi="Calibri" w:cs="Calibri"/>
                <w:b/>
                <w:bCs/>
                <w:color w:val="000000"/>
                <w:kern w:val="0"/>
                <w:sz w:val="16"/>
                <w:szCs w:val="16"/>
                <w:lang w:eastAsia="en-GB"/>
                <w14:ligatures w14:val="none"/>
              </w:rPr>
              <w:t>engineering</w:t>
            </w:r>
          </w:p>
        </w:tc>
        <w:tc>
          <w:tcPr>
            <w:tcW w:w="1150" w:type="pct"/>
            <w:shd w:val="clear" w:color="000000" w:fill="FFD966"/>
            <w:noWrap/>
            <w:vAlign w:val="center"/>
            <w:hideMark/>
          </w:tcPr>
          <w:p w14:paraId="3CD6C8DC" w14:textId="77777777" w:rsidR="001F6688" w:rsidRDefault="0016740E" w:rsidP="0016740E">
            <w:pPr>
              <w:spacing w:after="0" w:line="240" w:lineRule="auto"/>
              <w:jc w:val="center"/>
              <w:rPr>
                <w:rFonts w:ascii="Calibri" w:eastAsia="Times New Roman" w:hAnsi="Calibri" w:cs="Calibri"/>
                <w:b/>
                <w:bCs/>
                <w:color w:val="000000"/>
                <w:kern w:val="0"/>
                <w:sz w:val="16"/>
                <w:szCs w:val="16"/>
                <w:lang w:eastAsia="en-GB"/>
                <w14:ligatures w14:val="none"/>
              </w:rPr>
            </w:pPr>
            <w:r w:rsidRPr="0016740E">
              <w:rPr>
                <w:rFonts w:ascii="Calibri" w:eastAsia="Times New Roman" w:hAnsi="Calibri" w:cs="Calibri"/>
                <w:b/>
                <w:bCs/>
                <w:color w:val="000000"/>
                <w:kern w:val="0"/>
                <w:sz w:val="16"/>
                <w:szCs w:val="16"/>
                <w:lang w:eastAsia="en-GB"/>
                <w14:ligatures w14:val="none"/>
              </w:rPr>
              <w:t xml:space="preserve">Energy </w:t>
            </w:r>
          </w:p>
          <w:p w14:paraId="3B336727" w14:textId="3A00695C" w:rsidR="0016740E" w:rsidRPr="0016740E" w:rsidRDefault="0016740E" w:rsidP="0016740E">
            <w:pPr>
              <w:spacing w:after="0" w:line="240" w:lineRule="auto"/>
              <w:jc w:val="center"/>
              <w:rPr>
                <w:rFonts w:ascii="Calibri" w:eastAsia="Times New Roman" w:hAnsi="Calibri" w:cs="Calibri"/>
                <w:b/>
                <w:bCs/>
                <w:color w:val="000000"/>
                <w:kern w:val="0"/>
                <w:sz w:val="16"/>
                <w:szCs w:val="16"/>
                <w:lang w:eastAsia="en-GB"/>
                <w14:ligatures w14:val="none"/>
              </w:rPr>
            </w:pPr>
            <w:r w:rsidRPr="0016740E">
              <w:rPr>
                <w:rFonts w:ascii="Calibri" w:eastAsia="Times New Roman" w:hAnsi="Calibri" w:cs="Calibri"/>
                <w:b/>
                <w:bCs/>
                <w:color w:val="000000"/>
                <w:kern w:val="0"/>
                <w:sz w:val="16"/>
                <w:szCs w:val="16"/>
                <w:lang w:eastAsia="en-GB"/>
                <w14:ligatures w14:val="none"/>
              </w:rPr>
              <w:t>Engineering</w:t>
            </w:r>
          </w:p>
        </w:tc>
        <w:tc>
          <w:tcPr>
            <w:tcW w:w="789" w:type="pct"/>
            <w:shd w:val="clear" w:color="000000" w:fill="F4B084"/>
            <w:noWrap/>
            <w:vAlign w:val="center"/>
            <w:hideMark/>
          </w:tcPr>
          <w:p w14:paraId="3E09276C" w14:textId="77777777" w:rsidR="0016740E" w:rsidRPr="0016740E" w:rsidRDefault="0016740E" w:rsidP="0016740E">
            <w:pPr>
              <w:spacing w:after="0" w:line="240" w:lineRule="auto"/>
              <w:jc w:val="center"/>
              <w:rPr>
                <w:rFonts w:ascii="Calibri" w:eastAsia="Times New Roman" w:hAnsi="Calibri" w:cs="Calibri"/>
                <w:b/>
                <w:bCs/>
                <w:color w:val="000000"/>
                <w:kern w:val="0"/>
                <w:sz w:val="16"/>
                <w:szCs w:val="16"/>
                <w:lang w:eastAsia="en-GB"/>
                <w14:ligatures w14:val="none"/>
              </w:rPr>
            </w:pPr>
            <w:r w:rsidRPr="0016740E">
              <w:rPr>
                <w:rFonts w:ascii="Calibri" w:eastAsia="Times New Roman" w:hAnsi="Calibri" w:cs="Calibri"/>
                <w:b/>
                <w:bCs/>
                <w:color w:val="000000"/>
                <w:kern w:val="0"/>
                <w:sz w:val="16"/>
                <w:szCs w:val="16"/>
                <w:lang w:eastAsia="en-GB"/>
                <w14:ligatures w14:val="none"/>
              </w:rPr>
              <w:t>Energy and buildings</w:t>
            </w:r>
          </w:p>
        </w:tc>
        <w:tc>
          <w:tcPr>
            <w:tcW w:w="1322" w:type="pct"/>
            <w:shd w:val="clear" w:color="000000" w:fill="BFBFBF"/>
            <w:noWrap/>
            <w:vAlign w:val="center"/>
            <w:hideMark/>
          </w:tcPr>
          <w:p w14:paraId="57818F9A" w14:textId="77777777" w:rsidR="001F6688" w:rsidRDefault="0016740E" w:rsidP="0016740E">
            <w:pPr>
              <w:spacing w:after="0" w:line="240" w:lineRule="auto"/>
              <w:jc w:val="center"/>
              <w:rPr>
                <w:rFonts w:ascii="Calibri" w:eastAsia="Times New Roman" w:hAnsi="Calibri" w:cs="Calibri"/>
                <w:b/>
                <w:bCs/>
                <w:color w:val="000000"/>
                <w:kern w:val="0"/>
                <w:sz w:val="16"/>
                <w:szCs w:val="16"/>
                <w:lang w:eastAsia="en-GB"/>
                <w14:ligatures w14:val="none"/>
              </w:rPr>
            </w:pPr>
            <w:r w:rsidRPr="0016740E">
              <w:rPr>
                <w:rFonts w:ascii="Calibri" w:eastAsia="Times New Roman" w:hAnsi="Calibri" w:cs="Calibri"/>
                <w:b/>
                <w:bCs/>
                <w:color w:val="000000"/>
                <w:kern w:val="0"/>
                <w:sz w:val="16"/>
                <w:szCs w:val="16"/>
                <w:lang w:eastAsia="en-GB"/>
                <w14:ligatures w14:val="none"/>
              </w:rPr>
              <w:t xml:space="preserve">Other engineering </w:t>
            </w:r>
          </w:p>
          <w:p w14:paraId="003A356D" w14:textId="16E482FB" w:rsidR="0016740E" w:rsidRPr="0016740E" w:rsidRDefault="0016740E" w:rsidP="0016740E">
            <w:pPr>
              <w:spacing w:after="0" w:line="240" w:lineRule="auto"/>
              <w:jc w:val="center"/>
              <w:rPr>
                <w:rFonts w:ascii="Calibri" w:eastAsia="Times New Roman" w:hAnsi="Calibri" w:cs="Calibri"/>
                <w:b/>
                <w:bCs/>
                <w:color w:val="000000"/>
                <w:kern w:val="0"/>
                <w:sz w:val="16"/>
                <w:szCs w:val="16"/>
                <w:lang w:eastAsia="en-GB"/>
                <w14:ligatures w14:val="none"/>
              </w:rPr>
            </w:pPr>
            <w:r w:rsidRPr="0016740E">
              <w:rPr>
                <w:rFonts w:ascii="Calibri" w:eastAsia="Times New Roman" w:hAnsi="Calibri" w:cs="Calibri"/>
                <w:b/>
                <w:bCs/>
                <w:color w:val="000000"/>
                <w:kern w:val="0"/>
                <w:sz w:val="16"/>
                <w:szCs w:val="16"/>
                <w:lang w:eastAsia="en-GB"/>
                <w14:ligatures w14:val="none"/>
              </w:rPr>
              <w:t>fields</w:t>
            </w:r>
          </w:p>
        </w:tc>
      </w:tr>
      <w:tr w:rsidR="001F6688" w:rsidRPr="0016740E" w14:paraId="2AEF0B98" w14:textId="77777777" w:rsidTr="001F6688">
        <w:trPr>
          <w:trHeight w:val="290"/>
        </w:trPr>
        <w:tc>
          <w:tcPr>
            <w:tcW w:w="1739" w:type="pct"/>
            <w:shd w:val="clear" w:color="auto" w:fill="auto"/>
            <w:noWrap/>
            <w:vAlign w:val="center"/>
            <w:hideMark/>
          </w:tcPr>
          <w:p w14:paraId="7619E8D2"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American Journal of Physiology</w:t>
            </w:r>
          </w:p>
        </w:tc>
        <w:tc>
          <w:tcPr>
            <w:tcW w:w="1150" w:type="pct"/>
            <w:shd w:val="clear" w:color="auto" w:fill="auto"/>
            <w:noWrap/>
            <w:vAlign w:val="bottom"/>
            <w:hideMark/>
          </w:tcPr>
          <w:p w14:paraId="5B05CA02"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Applied Energy</w:t>
            </w:r>
          </w:p>
        </w:tc>
        <w:tc>
          <w:tcPr>
            <w:tcW w:w="789" w:type="pct"/>
            <w:shd w:val="clear" w:color="auto" w:fill="auto"/>
            <w:noWrap/>
            <w:vAlign w:val="center"/>
            <w:hideMark/>
          </w:tcPr>
          <w:p w14:paraId="0823832D"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Building and Environment</w:t>
            </w:r>
          </w:p>
        </w:tc>
        <w:tc>
          <w:tcPr>
            <w:tcW w:w="1322" w:type="pct"/>
            <w:shd w:val="clear" w:color="auto" w:fill="auto"/>
            <w:noWrap/>
            <w:vAlign w:val="center"/>
            <w:hideMark/>
          </w:tcPr>
          <w:p w14:paraId="556BFDA8"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Chemical Engineering Journal</w:t>
            </w:r>
          </w:p>
        </w:tc>
      </w:tr>
      <w:tr w:rsidR="001F6688" w:rsidRPr="0016740E" w14:paraId="61167DD6" w14:textId="77777777" w:rsidTr="001F6688">
        <w:trPr>
          <w:trHeight w:val="290"/>
        </w:trPr>
        <w:tc>
          <w:tcPr>
            <w:tcW w:w="1739" w:type="pct"/>
            <w:shd w:val="clear" w:color="auto" w:fill="auto"/>
            <w:noWrap/>
            <w:vAlign w:val="center"/>
            <w:hideMark/>
          </w:tcPr>
          <w:p w14:paraId="2F9C9FD6"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Computers in Biology and Medicine</w:t>
            </w:r>
          </w:p>
        </w:tc>
        <w:tc>
          <w:tcPr>
            <w:tcW w:w="1150" w:type="pct"/>
            <w:shd w:val="clear" w:color="auto" w:fill="auto"/>
            <w:noWrap/>
            <w:vAlign w:val="bottom"/>
            <w:hideMark/>
          </w:tcPr>
          <w:p w14:paraId="26AC9183"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Energies</w:t>
            </w:r>
          </w:p>
        </w:tc>
        <w:tc>
          <w:tcPr>
            <w:tcW w:w="789" w:type="pct"/>
            <w:shd w:val="clear" w:color="auto" w:fill="auto"/>
            <w:noWrap/>
            <w:vAlign w:val="center"/>
            <w:hideMark/>
          </w:tcPr>
          <w:p w14:paraId="45570DFB"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Energy and Buildings</w:t>
            </w:r>
          </w:p>
        </w:tc>
        <w:tc>
          <w:tcPr>
            <w:tcW w:w="1322" w:type="pct"/>
            <w:shd w:val="clear" w:color="auto" w:fill="auto"/>
            <w:noWrap/>
            <w:vAlign w:val="center"/>
            <w:hideMark/>
          </w:tcPr>
          <w:p w14:paraId="37C02349"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 xml:space="preserve">IEEE Journal </w:t>
            </w:r>
            <w:proofErr w:type="gramStart"/>
            <w:r w:rsidRPr="0016740E">
              <w:rPr>
                <w:rFonts w:ascii="Calibri" w:eastAsia="Times New Roman" w:hAnsi="Calibri" w:cs="Calibri"/>
                <w:color w:val="000000"/>
                <w:kern w:val="0"/>
                <w:sz w:val="16"/>
                <w:szCs w:val="16"/>
                <w:lang w:eastAsia="en-GB"/>
                <w14:ligatures w14:val="none"/>
              </w:rPr>
              <w:t>Of</w:t>
            </w:r>
            <w:proofErr w:type="gramEnd"/>
            <w:r w:rsidRPr="0016740E">
              <w:rPr>
                <w:rFonts w:ascii="Calibri" w:eastAsia="Times New Roman" w:hAnsi="Calibri" w:cs="Calibri"/>
                <w:color w:val="000000"/>
                <w:kern w:val="0"/>
                <w:sz w:val="16"/>
                <w:szCs w:val="16"/>
                <w:lang w:eastAsia="en-GB"/>
                <w14:ligatures w14:val="none"/>
              </w:rPr>
              <w:t xml:space="preserve"> Biomedical And Health Informatics</w:t>
            </w:r>
          </w:p>
        </w:tc>
      </w:tr>
      <w:tr w:rsidR="001F6688" w:rsidRPr="0016740E" w14:paraId="43F2FE93" w14:textId="77777777" w:rsidTr="001F6688">
        <w:trPr>
          <w:trHeight w:val="290"/>
        </w:trPr>
        <w:tc>
          <w:tcPr>
            <w:tcW w:w="1739" w:type="pct"/>
            <w:shd w:val="clear" w:color="auto" w:fill="auto"/>
            <w:noWrap/>
            <w:vAlign w:val="center"/>
            <w:hideMark/>
          </w:tcPr>
          <w:p w14:paraId="36E65E2C"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International Journal of Biometeorology</w:t>
            </w:r>
          </w:p>
        </w:tc>
        <w:tc>
          <w:tcPr>
            <w:tcW w:w="1150" w:type="pct"/>
            <w:shd w:val="clear" w:color="auto" w:fill="auto"/>
            <w:noWrap/>
            <w:vAlign w:val="bottom"/>
            <w:hideMark/>
          </w:tcPr>
          <w:p w14:paraId="3EB7993F"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Energy</w:t>
            </w:r>
          </w:p>
        </w:tc>
        <w:tc>
          <w:tcPr>
            <w:tcW w:w="789" w:type="pct"/>
            <w:shd w:val="clear" w:color="auto" w:fill="auto"/>
            <w:noWrap/>
            <w:vAlign w:val="center"/>
            <w:hideMark/>
          </w:tcPr>
          <w:p w14:paraId="247EE8DE"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Indoor Air</w:t>
            </w:r>
          </w:p>
        </w:tc>
        <w:tc>
          <w:tcPr>
            <w:tcW w:w="1322" w:type="pct"/>
            <w:shd w:val="clear" w:color="auto" w:fill="auto"/>
            <w:noWrap/>
            <w:vAlign w:val="center"/>
            <w:hideMark/>
          </w:tcPr>
          <w:p w14:paraId="33B86477"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Journal of Biomechanical Engineering</w:t>
            </w:r>
          </w:p>
        </w:tc>
      </w:tr>
      <w:tr w:rsidR="001F6688" w:rsidRPr="0016740E" w14:paraId="6BDB5648" w14:textId="77777777" w:rsidTr="001F6688">
        <w:trPr>
          <w:trHeight w:val="290"/>
        </w:trPr>
        <w:tc>
          <w:tcPr>
            <w:tcW w:w="1739" w:type="pct"/>
            <w:shd w:val="clear" w:color="auto" w:fill="auto"/>
            <w:noWrap/>
            <w:vAlign w:val="center"/>
            <w:hideMark/>
          </w:tcPr>
          <w:p w14:paraId="5C1D22F8"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International Journal of Environmental Research and Public Health</w:t>
            </w:r>
          </w:p>
        </w:tc>
        <w:tc>
          <w:tcPr>
            <w:tcW w:w="1150" w:type="pct"/>
            <w:shd w:val="clear" w:color="auto" w:fill="auto"/>
            <w:noWrap/>
            <w:vAlign w:val="bottom"/>
            <w:hideMark/>
          </w:tcPr>
          <w:p w14:paraId="64D36E91"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Energy Conversion and Management</w:t>
            </w:r>
          </w:p>
        </w:tc>
        <w:tc>
          <w:tcPr>
            <w:tcW w:w="789" w:type="pct"/>
            <w:shd w:val="clear" w:color="auto" w:fill="auto"/>
            <w:noWrap/>
            <w:vAlign w:val="center"/>
            <w:hideMark/>
          </w:tcPr>
          <w:p w14:paraId="1E458ECA"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Indoor and Built Environment</w:t>
            </w:r>
          </w:p>
        </w:tc>
        <w:tc>
          <w:tcPr>
            <w:tcW w:w="1322" w:type="pct"/>
            <w:shd w:val="clear" w:color="auto" w:fill="auto"/>
            <w:noWrap/>
            <w:vAlign w:val="center"/>
            <w:hideMark/>
          </w:tcPr>
          <w:p w14:paraId="6D839440"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 xml:space="preserve">Materials </w:t>
            </w:r>
          </w:p>
        </w:tc>
      </w:tr>
      <w:tr w:rsidR="001F6688" w:rsidRPr="0016740E" w14:paraId="786EC5CA" w14:textId="77777777" w:rsidTr="001F6688">
        <w:trPr>
          <w:trHeight w:val="290"/>
        </w:trPr>
        <w:tc>
          <w:tcPr>
            <w:tcW w:w="1739" w:type="pct"/>
            <w:shd w:val="clear" w:color="auto" w:fill="auto"/>
            <w:noWrap/>
            <w:vAlign w:val="center"/>
            <w:hideMark/>
          </w:tcPr>
          <w:p w14:paraId="5889EBE2"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Journal of Physiological Anthropology</w:t>
            </w:r>
          </w:p>
        </w:tc>
        <w:tc>
          <w:tcPr>
            <w:tcW w:w="1150" w:type="pct"/>
            <w:shd w:val="clear" w:color="auto" w:fill="auto"/>
            <w:noWrap/>
            <w:vAlign w:val="bottom"/>
            <w:hideMark/>
          </w:tcPr>
          <w:p w14:paraId="3E2B3450"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Heat and Mass Transfer</w:t>
            </w:r>
          </w:p>
        </w:tc>
        <w:tc>
          <w:tcPr>
            <w:tcW w:w="789" w:type="pct"/>
            <w:shd w:val="clear" w:color="auto" w:fill="auto"/>
            <w:noWrap/>
            <w:vAlign w:val="bottom"/>
            <w:hideMark/>
          </w:tcPr>
          <w:p w14:paraId="1A82BA88"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p>
        </w:tc>
        <w:tc>
          <w:tcPr>
            <w:tcW w:w="1322" w:type="pct"/>
            <w:shd w:val="clear" w:color="auto" w:fill="auto"/>
            <w:noWrap/>
            <w:vAlign w:val="center"/>
            <w:hideMark/>
          </w:tcPr>
          <w:p w14:paraId="243AA23D" w14:textId="77777777" w:rsidR="0016740E" w:rsidRPr="0016740E" w:rsidRDefault="0016740E" w:rsidP="0016740E">
            <w:pPr>
              <w:spacing w:after="0" w:line="240" w:lineRule="auto"/>
              <w:rPr>
                <w:rFonts w:ascii="Times New Roman" w:eastAsia="Times New Roman" w:hAnsi="Times New Roman" w:cs="Times New Roman"/>
                <w:kern w:val="0"/>
                <w:sz w:val="16"/>
                <w:szCs w:val="16"/>
                <w:lang w:eastAsia="en-GB"/>
                <w14:ligatures w14:val="none"/>
              </w:rPr>
            </w:pPr>
          </w:p>
        </w:tc>
      </w:tr>
      <w:tr w:rsidR="001F6688" w:rsidRPr="0016740E" w14:paraId="5CD4BAF1" w14:textId="77777777" w:rsidTr="001F6688">
        <w:trPr>
          <w:trHeight w:val="290"/>
        </w:trPr>
        <w:tc>
          <w:tcPr>
            <w:tcW w:w="1739" w:type="pct"/>
            <w:shd w:val="clear" w:color="auto" w:fill="auto"/>
            <w:noWrap/>
            <w:vAlign w:val="center"/>
            <w:hideMark/>
          </w:tcPr>
          <w:p w14:paraId="4CA6C919"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Journal of Thermal Biology</w:t>
            </w:r>
          </w:p>
        </w:tc>
        <w:tc>
          <w:tcPr>
            <w:tcW w:w="1150" w:type="pct"/>
            <w:shd w:val="clear" w:color="auto" w:fill="auto"/>
            <w:noWrap/>
            <w:vAlign w:val="bottom"/>
            <w:hideMark/>
          </w:tcPr>
          <w:p w14:paraId="357DA185"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International Journal of Thermal Sciences</w:t>
            </w:r>
          </w:p>
        </w:tc>
        <w:tc>
          <w:tcPr>
            <w:tcW w:w="789" w:type="pct"/>
            <w:shd w:val="clear" w:color="auto" w:fill="auto"/>
            <w:noWrap/>
            <w:vAlign w:val="bottom"/>
            <w:hideMark/>
          </w:tcPr>
          <w:p w14:paraId="2FAA3233"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p>
        </w:tc>
        <w:tc>
          <w:tcPr>
            <w:tcW w:w="1322" w:type="pct"/>
            <w:shd w:val="clear" w:color="auto" w:fill="auto"/>
            <w:noWrap/>
            <w:vAlign w:val="center"/>
            <w:hideMark/>
          </w:tcPr>
          <w:p w14:paraId="2F54A1ED" w14:textId="77777777" w:rsidR="0016740E" w:rsidRPr="0016740E" w:rsidRDefault="0016740E" w:rsidP="0016740E">
            <w:pPr>
              <w:spacing w:after="0" w:line="240" w:lineRule="auto"/>
              <w:rPr>
                <w:rFonts w:ascii="Times New Roman" w:eastAsia="Times New Roman" w:hAnsi="Times New Roman" w:cs="Times New Roman"/>
                <w:kern w:val="0"/>
                <w:sz w:val="16"/>
                <w:szCs w:val="16"/>
                <w:lang w:eastAsia="en-GB"/>
                <w14:ligatures w14:val="none"/>
              </w:rPr>
            </w:pPr>
          </w:p>
        </w:tc>
      </w:tr>
      <w:tr w:rsidR="001F6688" w:rsidRPr="0016740E" w14:paraId="1BC42C04" w14:textId="77777777" w:rsidTr="001F6688">
        <w:trPr>
          <w:trHeight w:val="290"/>
        </w:trPr>
        <w:tc>
          <w:tcPr>
            <w:tcW w:w="1739" w:type="pct"/>
            <w:shd w:val="clear" w:color="auto" w:fill="auto"/>
            <w:noWrap/>
            <w:vAlign w:val="center"/>
            <w:hideMark/>
          </w:tcPr>
          <w:p w14:paraId="68149214"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PLOS ONE</w:t>
            </w:r>
          </w:p>
        </w:tc>
        <w:tc>
          <w:tcPr>
            <w:tcW w:w="1150" w:type="pct"/>
            <w:shd w:val="clear" w:color="auto" w:fill="auto"/>
            <w:noWrap/>
            <w:vAlign w:val="bottom"/>
            <w:hideMark/>
          </w:tcPr>
          <w:p w14:paraId="783503FF"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Journal of Energy Storage</w:t>
            </w:r>
          </w:p>
        </w:tc>
        <w:tc>
          <w:tcPr>
            <w:tcW w:w="789" w:type="pct"/>
            <w:shd w:val="clear" w:color="auto" w:fill="auto"/>
            <w:noWrap/>
            <w:vAlign w:val="bottom"/>
            <w:hideMark/>
          </w:tcPr>
          <w:p w14:paraId="24E73BB5"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p>
        </w:tc>
        <w:tc>
          <w:tcPr>
            <w:tcW w:w="1322" w:type="pct"/>
            <w:shd w:val="clear" w:color="auto" w:fill="auto"/>
            <w:noWrap/>
            <w:vAlign w:val="center"/>
            <w:hideMark/>
          </w:tcPr>
          <w:p w14:paraId="55EA6226" w14:textId="77777777" w:rsidR="0016740E" w:rsidRPr="0016740E" w:rsidRDefault="0016740E" w:rsidP="0016740E">
            <w:pPr>
              <w:spacing w:after="0" w:line="240" w:lineRule="auto"/>
              <w:rPr>
                <w:rFonts w:ascii="Times New Roman" w:eastAsia="Times New Roman" w:hAnsi="Times New Roman" w:cs="Times New Roman"/>
                <w:kern w:val="0"/>
                <w:sz w:val="16"/>
                <w:szCs w:val="16"/>
                <w:lang w:eastAsia="en-GB"/>
                <w14:ligatures w14:val="none"/>
              </w:rPr>
            </w:pPr>
          </w:p>
        </w:tc>
      </w:tr>
      <w:tr w:rsidR="001F6688" w:rsidRPr="0016740E" w14:paraId="22B231CF" w14:textId="77777777" w:rsidTr="001F6688">
        <w:trPr>
          <w:trHeight w:val="290"/>
        </w:trPr>
        <w:tc>
          <w:tcPr>
            <w:tcW w:w="1739" w:type="pct"/>
            <w:shd w:val="clear" w:color="auto" w:fill="auto"/>
            <w:noWrap/>
            <w:vAlign w:val="center"/>
            <w:hideMark/>
          </w:tcPr>
          <w:p w14:paraId="4FD9519F"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Sports Medicine</w:t>
            </w:r>
          </w:p>
        </w:tc>
        <w:tc>
          <w:tcPr>
            <w:tcW w:w="1150" w:type="pct"/>
            <w:shd w:val="clear" w:color="auto" w:fill="auto"/>
            <w:noWrap/>
            <w:vAlign w:val="bottom"/>
            <w:hideMark/>
          </w:tcPr>
          <w:p w14:paraId="5F1D1521"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r w:rsidRPr="0016740E">
              <w:rPr>
                <w:rFonts w:ascii="Calibri" w:eastAsia="Times New Roman" w:hAnsi="Calibri" w:cs="Calibri"/>
                <w:color w:val="000000"/>
                <w:kern w:val="0"/>
                <w:sz w:val="16"/>
                <w:szCs w:val="16"/>
                <w:lang w:eastAsia="en-GB"/>
                <w14:ligatures w14:val="none"/>
              </w:rPr>
              <w:t>Renewable and Sustainable Energy Reviews</w:t>
            </w:r>
          </w:p>
        </w:tc>
        <w:tc>
          <w:tcPr>
            <w:tcW w:w="789" w:type="pct"/>
            <w:shd w:val="clear" w:color="auto" w:fill="auto"/>
            <w:noWrap/>
            <w:vAlign w:val="bottom"/>
            <w:hideMark/>
          </w:tcPr>
          <w:p w14:paraId="79C0810E" w14:textId="77777777" w:rsidR="0016740E" w:rsidRPr="0016740E" w:rsidRDefault="0016740E" w:rsidP="0016740E">
            <w:pPr>
              <w:spacing w:after="0" w:line="240" w:lineRule="auto"/>
              <w:jc w:val="center"/>
              <w:rPr>
                <w:rFonts w:ascii="Calibri" w:eastAsia="Times New Roman" w:hAnsi="Calibri" w:cs="Calibri"/>
                <w:color w:val="000000"/>
                <w:kern w:val="0"/>
                <w:sz w:val="16"/>
                <w:szCs w:val="16"/>
                <w:lang w:eastAsia="en-GB"/>
                <w14:ligatures w14:val="none"/>
              </w:rPr>
            </w:pPr>
          </w:p>
        </w:tc>
        <w:tc>
          <w:tcPr>
            <w:tcW w:w="1322" w:type="pct"/>
            <w:shd w:val="clear" w:color="auto" w:fill="auto"/>
            <w:noWrap/>
            <w:vAlign w:val="center"/>
            <w:hideMark/>
          </w:tcPr>
          <w:p w14:paraId="6923EFC4" w14:textId="77777777" w:rsidR="0016740E" w:rsidRPr="0016740E" w:rsidRDefault="0016740E" w:rsidP="0016740E">
            <w:pPr>
              <w:spacing w:after="0" w:line="240" w:lineRule="auto"/>
              <w:rPr>
                <w:rFonts w:ascii="Times New Roman" w:eastAsia="Times New Roman" w:hAnsi="Times New Roman" w:cs="Times New Roman"/>
                <w:kern w:val="0"/>
                <w:sz w:val="16"/>
                <w:szCs w:val="16"/>
                <w:lang w:eastAsia="en-GB"/>
                <w14:ligatures w14:val="none"/>
              </w:rPr>
            </w:pPr>
          </w:p>
        </w:tc>
      </w:tr>
    </w:tbl>
    <w:p w14:paraId="7920FDE8" w14:textId="77777777" w:rsidR="0016740E" w:rsidRDefault="0016740E" w:rsidP="0016740E"/>
    <w:p w14:paraId="480F2750" w14:textId="4ACF44D0" w:rsidR="0016740E" w:rsidRPr="0076679A" w:rsidRDefault="0016740E" w:rsidP="0076679A">
      <w:pPr>
        <w:jc w:val="both"/>
      </w:pPr>
      <w:r>
        <w:t xml:space="preserve">Figure </w:t>
      </w:r>
      <w:r w:rsidR="00AA4C69">
        <w:t>6</w:t>
      </w:r>
      <w:r>
        <w:t xml:space="preserve"> demonstrates that most of publication</w:t>
      </w:r>
      <w:r w:rsidR="0076679A">
        <w:t xml:space="preserve">s are available in journals in the biomedical field (30), particularly in </w:t>
      </w:r>
      <w:r w:rsidR="0076679A" w:rsidRPr="0076679A">
        <w:rPr>
          <w:i/>
          <w:iCs/>
        </w:rPr>
        <w:t>Journal of Thermal Biology</w:t>
      </w:r>
      <w:r w:rsidR="0076679A">
        <w:t xml:space="preserve"> (15). Energy and building also represents an important cluster of publications because 13 papers can be associated with that research field, especially </w:t>
      </w:r>
      <w:r w:rsidR="0076679A" w:rsidRPr="0076679A">
        <w:rPr>
          <w:i/>
          <w:iCs/>
        </w:rPr>
        <w:t>Building and environment</w:t>
      </w:r>
      <w:r w:rsidR="0076679A">
        <w:t xml:space="preserve">. Energy engineering publications, namely those Journals that address energy research in a broader way, can count 10 publications. In addition, there are a few Journals that, although not belonging to none of the </w:t>
      </w:r>
      <w:r w:rsidR="00E052B5">
        <w:t>above-mentioned</w:t>
      </w:r>
      <w:r w:rsidR="0076679A">
        <w:t xml:space="preserve"> categories, contain valuable studies regarding the energy modelling and experimental analysis of human body thermodynamics.</w:t>
      </w:r>
      <w:r w:rsidR="00E052B5">
        <w:t xml:space="preserve"> Over the above considerations, it is possible to observe that while it the papers published in international Journals are mostly experimental-oriented (although containing extremely solid </w:t>
      </w:r>
      <w:r w:rsidR="00A856B6">
        <w:t>experimentally validated</w:t>
      </w:r>
      <w:r w:rsidR="00E052B5">
        <w:t xml:space="preserve"> mathematical models), the papers published in Engineering present a more evident equilibrium between modelling and experimental analyses. </w:t>
      </w:r>
      <w:r w:rsidR="00A856B6">
        <w:t>On the other hand, when we focus on those papers related to ageing, these studies are published on biomedical journals (9) and in Energy and Buildings group (4) and regard both modelling and experiments.</w:t>
      </w:r>
    </w:p>
    <w:p w14:paraId="703E9580" w14:textId="77777777" w:rsidR="000B021C" w:rsidRDefault="000B021C" w:rsidP="000B021C">
      <w:pPr>
        <w:widowControl w:val="0"/>
        <w:autoSpaceDE w:val="0"/>
        <w:autoSpaceDN w:val="0"/>
        <w:adjustRightInd w:val="0"/>
        <w:ind w:left="480" w:hanging="480"/>
        <w:jc w:val="both"/>
        <w:rPr>
          <w:bCs/>
          <w:szCs w:val="18"/>
        </w:rPr>
      </w:pPr>
      <w:r>
        <w:rPr>
          <w:bCs/>
          <w:szCs w:val="18"/>
        </w:rPr>
        <w:t>Most present authors:</w:t>
      </w:r>
    </w:p>
    <w:p w14:paraId="2BFA4D62" w14:textId="77777777" w:rsidR="000B021C" w:rsidRPr="00AF33F0" w:rsidRDefault="000B021C" w:rsidP="000B021C">
      <w:pPr>
        <w:pStyle w:val="Paragrafoelenco"/>
        <w:widowControl w:val="0"/>
        <w:numPr>
          <w:ilvl w:val="0"/>
          <w:numId w:val="10"/>
        </w:numPr>
        <w:autoSpaceDE w:val="0"/>
        <w:autoSpaceDN w:val="0"/>
        <w:adjustRightInd w:val="0"/>
        <w:spacing w:after="0" w:line="240" w:lineRule="auto"/>
        <w:jc w:val="both"/>
        <w:rPr>
          <w:bCs/>
          <w:szCs w:val="18"/>
        </w:rPr>
      </w:pPr>
      <w:r w:rsidRPr="00AF33F0">
        <w:rPr>
          <w:bCs/>
          <w:szCs w:val="18"/>
        </w:rPr>
        <w:t xml:space="preserve">Ying Lei </w:t>
      </w:r>
    </w:p>
    <w:p w14:paraId="3C776212" w14:textId="77777777" w:rsidR="000B021C" w:rsidRDefault="000B021C" w:rsidP="000B021C">
      <w:pPr>
        <w:pStyle w:val="Paragrafoelenco"/>
        <w:widowControl w:val="0"/>
        <w:numPr>
          <w:ilvl w:val="0"/>
          <w:numId w:val="10"/>
        </w:numPr>
        <w:autoSpaceDE w:val="0"/>
        <w:autoSpaceDN w:val="0"/>
        <w:adjustRightInd w:val="0"/>
        <w:spacing w:after="0" w:line="240" w:lineRule="auto"/>
        <w:jc w:val="both"/>
        <w:rPr>
          <w:bCs/>
          <w:szCs w:val="18"/>
        </w:rPr>
      </w:pPr>
      <w:r w:rsidRPr="00AF33F0">
        <w:rPr>
          <w:bCs/>
          <w:szCs w:val="18"/>
        </w:rPr>
        <w:t>Faming Wang</w:t>
      </w:r>
    </w:p>
    <w:p w14:paraId="0F5B1288" w14:textId="77777777" w:rsidR="00416671" w:rsidRDefault="000B021C" w:rsidP="000B021C">
      <w:pPr>
        <w:pStyle w:val="Paragrafoelenco"/>
        <w:widowControl w:val="0"/>
        <w:numPr>
          <w:ilvl w:val="0"/>
          <w:numId w:val="10"/>
        </w:numPr>
        <w:autoSpaceDE w:val="0"/>
        <w:autoSpaceDN w:val="0"/>
        <w:adjustRightInd w:val="0"/>
        <w:spacing w:after="0" w:line="240" w:lineRule="auto"/>
        <w:jc w:val="both"/>
        <w:rPr>
          <w:bCs/>
          <w:szCs w:val="18"/>
        </w:rPr>
      </w:pPr>
      <w:r w:rsidRPr="00AF33F0">
        <w:rPr>
          <w:bCs/>
          <w:szCs w:val="18"/>
        </w:rPr>
        <w:t xml:space="preserve">Carlos Eduardo </w:t>
      </w:r>
    </w:p>
    <w:p w14:paraId="4AFA3297" w14:textId="2E5BB5D2" w:rsidR="000B021C" w:rsidRPr="00AF33F0" w:rsidRDefault="000B021C" w:rsidP="000B021C">
      <w:pPr>
        <w:pStyle w:val="Paragrafoelenco"/>
        <w:widowControl w:val="0"/>
        <w:numPr>
          <w:ilvl w:val="0"/>
          <w:numId w:val="10"/>
        </w:numPr>
        <w:autoSpaceDE w:val="0"/>
        <w:autoSpaceDN w:val="0"/>
        <w:adjustRightInd w:val="0"/>
        <w:spacing w:after="0" w:line="240" w:lineRule="auto"/>
        <w:jc w:val="both"/>
        <w:rPr>
          <w:bCs/>
          <w:szCs w:val="18"/>
        </w:rPr>
      </w:pPr>
      <w:proofErr w:type="spellStart"/>
      <w:r w:rsidRPr="00AF33F0">
        <w:rPr>
          <w:bCs/>
          <w:szCs w:val="18"/>
        </w:rPr>
        <w:t>Keutenedjian</w:t>
      </w:r>
      <w:proofErr w:type="spellEnd"/>
      <w:r w:rsidRPr="00AF33F0">
        <w:rPr>
          <w:bCs/>
          <w:szCs w:val="18"/>
        </w:rPr>
        <w:t xml:space="preserve"> </w:t>
      </w:r>
      <w:proofErr w:type="spellStart"/>
      <w:r w:rsidRPr="00AF33F0">
        <w:rPr>
          <w:bCs/>
          <w:szCs w:val="18"/>
        </w:rPr>
        <w:t>Mady</w:t>
      </w:r>
      <w:proofErr w:type="spellEnd"/>
    </w:p>
    <w:p w14:paraId="7B73B3D4" w14:textId="77777777" w:rsidR="000B021C" w:rsidRPr="00AF33F0" w:rsidRDefault="000B021C" w:rsidP="000B021C">
      <w:pPr>
        <w:widowControl w:val="0"/>
        <w:autoSpaceDE w:val="0"/>
        <w:autoSpaceDN w:val="0"/>
        <w:adjustRightInd w:val="0"/>
        <w:ind w:left="480" w:hanging="480"/>
        <w:rPr>
          <w:bCs/>
          <w:szCs w:val="18"/>
        </w:rPr>
      </w:pPr>
      <w:r w:rsidRPr="00AF33F0">
        <w:rPr>
          <w:bCs/>
          <w:szCs w:val="18"/>
        </w:rPr>
        <w:t>Most present institutions:</w:t>
      </w:r>
    </w:p>
    <w:p w14:paraId="20C6B837" w14:textId="77777777" w:rsidR="000B021C" w:rsidRDefault="000B021C" w:rsidP="000B021C">
      <w:pPr>
        <w:pStyle w:val="Paragrafoelenco"/>
        <w:widowControl w:val="0"/>
        <w:numPr>
          <w:ilvl w:val="0"/>
          <w:numId w:val="10"/>
        </w:numPr>
        <w:autoSpaceDE w:val="0"/>
        <w:autoSpaceDN w:val="0"/>
        <w:adjustRightInd w:val="0"/>
        <w:spacing w:after="0" w:line="240" w:lineRule="auto"/>
        <w:rPr>
          <w:bCs/>
          <w:szCs w:val="18"/>
        </w:rPr>
      </w:pPr>
      <w:r w:rsidRPr="00AF33F0">
        <w:rPr>
          <w:bCs/>
          <w:szCs w:val="18"/>
        </w:rPr>
        <w:t>College of Safety Science and Engineering, Xi’an University of Science and Technology, Xi’an 710054, China</w:t>
      </w:r>
    </w:p>
    <w:p w14:paraId="0295D48D" w14:textId="77777777" w:rsidR="000B021C" w:rsidRDefault="000B021C" w:rsidP="000B021C">
      <w:pPr>
        <w:pStyle w:val="Paragrafoelenco"/>
        <w:widowControl w:val="0"/>
        <w:numPr>
          <w:ilvl w:val="0"/>
          <w:numId w:val="10"/>
        </w:numPr>
        <w:autoSpaceDE w:val="0"/>
        <w:autoSpaceDN w:val="0"/>
        <w:adjustRightInd w:val="0"/>
        <w:spacing w:after="0" w:line="240" w:lineRule="auto"/>
        <w:rPr>
          <w:bCs/>
          <w:szCs w:val="18"/>
        </w:rPr>
      </w:pPr>
      <w:r>
        <w:rPr>
          <w:bCs/>
          <w:szCs w:val="18"/>
        </w:rPr>
        <w:t>D</w:t>
      </w:r>
      <w:r w:rsidRPr="00AF33F0">
        <w:rPr>
          <w:bCs/>
          <w:szCs w:val="18"/>
        </w:rPr>
        <w:t>ivision animal and human health engineering, department of biosystems</w:t>
      </w:r>
      <w:r>
        <w:rPr>
          <w:bCs/>
          <w:szCs w:val="18"/>
        </w:rPr>
        <w:t xml:space="preserve">, KU Leuven, Leuven, </w:t>
      </w:r>
      <w:proofErr w:type="spellStart"/>
      <w:r>
        <w:rPr>
          <w:bCs/>
          <w:szCs w:val="18"/>
        </w:rPr>
        <w:t>Blelgium</w:t>
      </w:r>
      <w:proofErr w:type="spellEnd"/>
    </w:p>
    <w:p w14:paraId="4907CC09" w14:textId="77777777" w:rsidR="000B021C" w:rsidRPr="00AF33F0" w:rsidRDefault="000B021C" w:rsidP="000B021C">
      <w:pPr>
        <w:pStyle w:val="Paragrafoelenco"/>
        <w:widowControl w:val="0"/>
        <w:numPr>
          <w:ilvl w:val="0"/>
          <w:numId w:val="10"/>
        </w:numPr>
        <w:autoSpaceDE w:val="0"/>
        <w:autoSpaceDN w:val="0"/>
        <w:adjustRightInd w:val="0"/>
        <w:spacing w:after="0" w:line="240" w:lineRule="auto"/>
        <w:rPr>
          <w:bCs/>
          <w:szCs w:val="18"/>
        </w:rPr>
      </w:pPr>
      <w:r w:rsidRPr="00AF33F0">
        <w:rPr>
          <w:bCs/>
          <w:szCs w:val="18"/>
        </w:rPr>
        <w:t xml:space="preserve">Department of Mechanical Engineering, Centro </w:t>
      </w:r>
      <w:proofErr w:type="spellStart"/>
      <w:r w:rsidRPr="00AF33F0">
        <w:rPr>
          <w:bCs/>
          <w:szCs w:val="18"/>
        </w:rPr>
        <w:t>Universit´ario</w:t>
      </w:r>
      <w:proofErr w:type="spellEnd"/>
      <w:r w:rsidRPr="00AF33F0">
        <w:rPr>
          <w:bCs/>
          <w:szCs w:val="18"/>
        </w:rPr>
        <w:t xml:space="preserve"> da FEI, 09850-901, </w:t>
      </w:r>
      <w:proofErr w:type="spellStart"/>
      <w:r w:rsidRPr="00AF33F0">
        <w:rPr>
          <w:bCs/>
          <w:szCs w:val="18"/>
        </w:rPr>
        <w:t>S˜ao</w:t>
      </w:r>
      <w:proofErr w:type="spellEnd"/>
      <w:r w:rsidRPr="00AF33F0">
        <w:rPr>
          <w:bCs/>
          <w:szCs w:val="18"/>
        </w:rPr>
        <w:t xml:space="preserve"> Bernardo Do Campo, Brazil</w:t>
      </w:r>
    </w:p>
    <w:p w14:paraId="7D2BA94C" w14:textId="77777777" w:rsidR="0016740E" w:rsidRDefault="0016740E" w:rsidP="0016740E"/>
    <w:p w14:paraId="3EDB25A1" w14:textId="783F7152" w:rsidR="00E052B5" w:rsidRPr="00E052B5" w:rsidRDefault="00E052B5" w:rsidP="00E052B5">
      <w:pPr>
        <w:tabs>
          <w:tab w:val="left" w:pos="6735"/>
        </w:tabs>
      </w:pPr>
      <w:r>
        <w:tab/>
      </w:r>
    </w:p>
    <w:p w14:paraId="2AD5302D" w14:textId="4ECBB01A" w:rsidR="0016740E" w:rsidRDefault="0016740E" w:rsidP="0016740E">
      <w:r>
        <w:rPr>
          <w:noProof/>
        </w:rPr>
        <w:lastRenderedPageBreak/>
        <w:drawing>
          <wp:inline distT="0" distB="0" distL="0" distR="0" wp14:anchorId="772FB01B" wp14:editId="26ECFAC3">
            <wp:extent cx="6120130" cy="4178105"/>
            <wp:effectExtent l="0" t="0" r="0" b="0"/>
            <wp:docPr id="744971780" name="Chart 1">
              <a:extLst xmlns:a="http://schemas.openxmlformats.org/drawingml/2006/main">
                <a:ext uri="{FF2B5EF4-FFF2-40B4-BE49-F238E27FC236}">
                  <a16:creationId xmlns:a16="http://schemas.microsoft.com/office/drawing/2014/main" id="{940E4C8D-BF3C-CAEE-5A45-71170103E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B5579A9" w14:textId="3910FF40" w:rsidR="0016740E" w:rsidRPr="00AA4C69" w:rsidRDefault="0016740E" w:rsidP="0016740E">
      <w:pPr>
        <w:jc w:val="center"/>
        <w:rPr>
          <w:i/>
          <w:iCs/>
          <w:sz w:val="18"/>
          <w:szCs w:val="18"/>
        </w:rPr>
      </w:pPr>
      <w:r w:rsidRPr="00AA4C69">
        <w:rPr>
          <w:i/>
          <w:iCs/>
          <w:sz w:val="18"/>
          <w:szCs w:val="18"/>
        </w:rPr>
        <w:t xml:space="preserve">Figure </w:t>
      </w:r>
      <w:r w:rsidR="00AA4C69" w:rsidRPr="00AA4C69">
        <w:rPr>
          <w:i/>
          <w:iCs/>
          <w:sz w:val="18"/>
          <w:szCs w:val="18"/>
        </w:rPr>
        <w:t>6</w:t>
      </w:r>
      <w:r w:rsidR="00AA4C69">
        <w:rPr>
          <w:i/>
          <w:iCs/>
          <w:sz w:val="18"/>
          <w:szCs w:val="18"/>
        </w:rPr>
        <w:t>: number of publications by journal.</w:t>
      </w:r>
    </w:p>
    <w:p w14:paraId="653EF302" w14:textId="1C1CC0E2" w:rsidR="00113518" w:rsidRDefault="00EB5355" w:rsidP="00EB5355">
      <w:pPr>
        <w:pStyle w:val="Paragrafoelenco"/>
        <w:numPr>
          <w:ilvl w:val="0"/>
          <w:numId w:val="7"/>
        </w:numPr>
        <w:jc w:val="both"/>
        <w:rPr>
          <w:b/>
          <w:bCs/>
          <w:sz w:val="32"/>
          <w:szCs w:val="32"/>
        </w:rPr>
      </w:pPr>
      <w:r w:rsidRPr="00EB5355">
        <w:rPr>
          <w:b/>
          <w:bCs/>
          <w:sz w:val="32"/>
          <w:szCs w:val="32"/>
        </w:rPr>
        <w:t>Experimental setup</w:t>
      </w:r>
    </w:p>
    <w:p w14:paraId="55428996" w14:textId="77777777" w:rsidR="005C24B8" w:rsidRDefault="005C24B8" w:rsidP="00BF3412">
      <w:pPr>
        <w:jc w:val="both"/>
      </w:pPr>
    </w:p>
    <w:p w14:paraId="51172731" w14:textId="2183B850" w:rsidR="003B2D22" w:rsidRDefault="00B56710" w:rsidP="00BF3412">
      <w:pPr>
        <w:jc w:val="both"/>
      </w:pPr>
      <w:r>
        <w:t>The literature analysis presented in the former section demonstrates that both experimental analyses and modelling are fundamental to clearly represent the thermodynamic behaviour of human body. Experiments allow to get useful data to calibrate the model inputs and parameters and to validate the results.</w:t>
      </w:r>
      <w:r w:rsidR="002C7F81">
        <w:t xml:space="preserve"> Indeed, among the papers analysed in the literature review, several encompass both the experimental setup and the mathematical modelling. </w:t>
      </w:r>
    </w:p>
    <w:p w14:paraId="5A3101A4" w14:textId="21978931" w:rsidR="00AB11F2" w:rsidRDefault="003B2D22" w:rsidP="00BF3412">
      <w:pPr>
        <w:jc w:val="both"/>
      </w:pPr>
      <w:r>
        <w:t>First, experimental data may be used to validate the results obtained by the mathematical model. For example, the skin and the core temperature</w:t>
      </w:r>
      <w:r w:rsidR="00AB11F2">
        <w:t xml:space="preserve"> measured with specific instruments may be used to validate the results of the model; in addition, depending on the mismatch between the results obtained by the model and the outputs of the experiments, operating parameters of human body thermodynamics may be calibrated to minimize this gap.</w:t>
      </w:r>
    </w:p>
    <w:p w14:paraId="7E22ECA3" w14:textId="5E765668" w:rsidR="005C24B8" w:rsidRDefault="00AB11F2" w:rsidP="00BF3412">
      <w:pPr>
        <w:jc w:val="both"/>
      </w:pPr>
      <w:r>
        <w:t xml:space="preserve">Interestingly, experimental data analysis may lead to create highly specific correlations to express phenomena not directly related to thermodynamics. For instance, metabolism is a biochemical process that is partially related to thermodynamics. For example, </w:t>
      </w:r>
      <w:r w:rsidR="005C24B8">
        <w:t xml:space="preserve">it may be possible to evaluate a correlation between the blood mass flow rate and the metabolism during exercise by measuring the heart rate and the breathing intensity. Once the mass flow rate is assessed, blood pressure could be used to assess the cross-section of veins and arteries and include this value in heat transfer equations. In addition, the increase of metabolism </w:t>
      </w:r>
      <w:r w:rsidR="00AA4C69">
        <w:t>implies</w:t>
      </w:r>
      <w:r w:rsidR="005C24B8">
        <w:t xml:space="preserve"> the need to dissipate some exceeding energy from certain parts of the body through the evaporation of sweat. Accordingly, measuring variations in indoor air humidity could be recommended to estimate evaporation energy losses.</w:t>
      </w:r>
      <w:bookmarkStart w:id="0" w:name="_GoBack"/>
      <w:bookmarkEnd w:id="0"/>
    </w:p>
    <w:p w14:paraId="7EAF6DB1" w14:textId="657028FF" w:rsidR="005C24B8" w:rsidRDefault="005C24B8" w:rsidP="00BF3412">
      <w:pPr>
        <w:jc w:val="both"/>
      </w:pPr>
      <w:r>
        <w:lastRenderedPageBreak/>
        <w:t>The literature review excel file allows, for each research topic, to identify the most recent and valuable papers that could contain existing correlations that may be evaluated, or reference measurements to check the reliability of experimental test by comparative way.</w:t>
      </w:r>
    </w:p>
    <w:p w14:paraId="663D9A29" w14:textId="12F86761" w:rsidR="00A02E7B" w:rsidRDefault="002C7F81" w:rsidP="00BF3412">
      <w:pPr>
        <w:jc w:val="both"/>
      </w:pPr>
      <w:r>
        <w:t>The modelling equations are represented in Section 1 of this report.</w:t>
      </w:r>
      <w:r w:rsidR="00B56710">
        <w:t xml:space="preserve"> </w:t>
      </w:r>
      <w:r>
        <w:t xml:space="preserve">On the other hand, </w:t>
      </w:r>
      <w:r w:rsidR="009F6BBE">
        <w:t>experimental tests have not been carried out so far. One of the goals of the proposed literature review is to point out which parameters should be measured to improve our model towards the research directions defined in Section 2 of this report. Among all the papers selected in the literature review,</w:t>
      </w:r>
      <w:r w:rsidR="00F243B5">
        <w:t xml:space="preserve"> </w:t>
      </w:r>
      <w:r w:rsidR="00F243B5">
        <w:fldChar w:fldCharType="begin" w:fldLock="1"/>
      </w:r>
      <w:r w:rsidR="000B021C">
        <w:instrText>ADDIN CSL_CITATION {"citationItems":[{"id":"ITEM-1","itemData":{"DOI":"10.1016/j.jtherbio.2023.103506","ISSN":"03064565","abstract":"Breast cancer is predominantly seen in women and is the leading cause of death in females worldwide. Diagnosis of breast cancer using biopsy tissue images is expensive, time-intensive, and fraught with conflicts among doctors. Pathologists can now diagnose breast cancer more consistently and promptly because of advances in the Computer- Aided Diagnosis (CAD) system. As a result, there has been a surge in demand for CAD-based machine learning techniques. This study describes a \"BreastMultiNet\" framework that focuses on the transfer learning concept for identifying distinct types of breast cancer by utilizing two publicly available datasets. The suggested \"BreastMultiNet\" architecture allows rapid and comprehensive breast cancer diagnosis. The suggested scheme extracts features from microscope images with the help of well-known conventional and deep learning models such as HOG, LBP, SURP, DenseNet201, and VGG19. Comparatively, transfer learning models provide good accuracy than conventional models. The collected properties of transfer learning models are subsequently dispatched into the summing layer, resulting in a fused vector. The proposed framework achieves 99% and 95% classification accuracy on both BreakHis and ICIAR dataset respectively, outperforming all the other state of the art techniques. In terms of accuracy, the \"BreastMultiNet\" framework may be employed as a modeling approach in hospitals and medical care contexts.","author":[{"dropping-particle":"","family":"Lei","given":"Tze-Huan","non-dropping-particle":"","parse-names":false,"suffix":""},{"dropping-particle":"","family":"Lan","given":"Li","non-dropping-particle":"","parse-names":false,"suffix":""},{"dropping-particle":"","family":"Wang","given":"Faming","non-dropping-particle":"","parse-names":false,"suffix":""}],"container-title":"Journal of Thermal Biology","id":"ITEM-1","issue":"January","issued":{"date-parts":[["2023"]]},"page":"103506","publisher":"Elsevier Ltd","title":"Indoor thermal comfort research using human participants: Guidelines and a checklist for experimental design","type":"article-journal","volume":"113"},"uris":["http://www.mendeley.com/documents/?uuid=6ed9b332-4222-458f-a1c1-a02c99476402"]}],"mendeley":{"formattedCitation":"(Lei et al., 2023)","plainTextFormattedCitation":"(Lei et al., 2023)","previouslyFormattedCitation":"(Lei et al., 2023)"},"properties":{"noteIndex":0},"schema":"https://github.com/citation-style-language/schema/raw/master/csl-citation.json"}</w:instrText>
      </w:r>
      <w:r w:rsidR="00F243B5">
        <w:fldChar w:fldCharType="separate"/>
      </w:r>
      <w:r w:rsidR="00F243B5" w:rsidRPr="00F243B5">
        <w:rPr>
          <w:noProof/>
        </w:rPr>
        <w:t>(Lei et al., 2023)</w:t>
      </w:r>
      <w:r w:rsidR="00F243B5">
        <w:fldChar w:fldCharType="end"/>
      </w:r>
      <w:r w:rsidR="00F243B5">
        <w:t xml:space="preserve"> propose a very important review aiming to the standardisation of experiments (Figure </w:t>
      </w:r>
      <w:r w:rsidR="00AA4C69">
        <w:t>7</w:t>
      </w:r>
      <w:r w:rsidR="00F243B5">
        <w:t>).</w:t>
      </w:r>
    </w:p>
    <w:p w14:paraId="5B52E3A4" w14:textId="593F67C1" w:rsidR="00A02E7B" w:rsidRPr="00024DDF" w:rsidRDefault="00A02E7B" w:rsidP="00A02E7B">
      <w:pPr>
        <w:jc w:val="center"/>
        <w:rPr>
          <w:i/>
          <w:iCs/>
        </w:rPr>
      </w:pPr>
      <w:r w:rsidRPr="00F243B5">
        <w:rPr>
          <w:bCs/>
          <w:i/>
          <w:iCs/>
          <w:noProof/>
          <w:szCs w:val="18"/>
        </w:rPr>
        <w:drawing>
          <wp:inline distT="0" distB="0" distL="0" distR="0" wp14:anchorId="15F3EBD7" wp14:editId="49AB41BD">
            <wp:extent cx="6120130" cy="2356325"/>
            <wp:effectExtent l="19050" t="19050" r="13970" b="25400"/>
            <wp:docPr id="988943299" name="Picture 1" descr="A picture containing text, screenshot, websit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3299" name="Picture 1" descr="A picture containing text, screenshot, website, web page&#10;&#10;Description automatically generated"/>
                    <pic:cNvPicPr/>
                  </pic:nvPicPr>
                  <pic:blipFill>
                    <a:blip r:embed="rId17"/>
                    <a:stretch>
                      <a:fillRect/>
                    </a:stretch>
                  </pic:blipFill>
                  <pic:spPr>
                    <a:xfrm>
                      <a:off x="0" y="0"/>
                      <a:ext cx="6120130" cy="2356325"/>
                    </a:xfrm>
                    <a:prstGeom prst="rect">
                      <a:avLst/>
                    </a:prstGeom>
                    <a:ln>
                      <a:solidFill>
                        <a:schemeClr val="tx1"/>
                      </a:solidFill>
                    </a:ln>
                  </pic:spPr>
                </pic:pic>
              </a:graphicData>
            </a:graphic>
          </wp:inline>
        </w:drawing>
      </w:r>
      <w:r w:rsidRPr="00024DDF">
        <w:rPr>
          <w:i/>
          <w:iCs/>
          <w:sz w:val="18"/>
          <w:szCs w:val="18"/>
        </w:rPr>
        <w:t xml:space="preserve">Figure </w:t>
      </w:r>
      <w:r w:rsidR="00AA4C69" w:rsidRPr="00024DDF">
        <w:rPr>
          <w:i/>
          <w:iCs/>
          <w:sz w:val="18"/>
          <w:szCs w:val="18"/>
        </w:rPr>
        <w:t>7: paper from Lei et al. 2023</w:t>
      </w:r>
    </w:p>
    <w:p w14:paraId="14C80EBB" w14:textId="1FEFA11B" w:rsidR="00A02E7B" w:rsidRDefault="00F243B5" w:rsidP="00BF3412">
      <w:pPr>
        <w:jc w:val="both"/>
      </w:pPr>
      <w:r>
        <w:t xml:space="preserve">First of all, </w:t>
      </w:r>
      <w:r>
        <w:fldChar w:fldCharType="begin" w:fldLock="1"/>
      </w:r>
      <w:r w:rsidR="000B021C">
        <w:instrText>ADDIN CSL_CITATION {"citationItems":[{"id":"ITEM-1","itemData":{"DOI":"10.1016/j.jtherbio.2023.103506","ISSN":"03064565","abstract":"Breast cancer is predominantly seen in women and is the leading cause of death in females worldwide. Diagnosis of breast cancer using biopsy tissue images is expensive, time-intensive, and fraught with conflicts among doctors. Pathologists can now diagnose breast cancer more consistently and promptly because of advances in the Computer- Aided Diagnosis (CAD) system. As a result, there has been a surge in demand for CAD-based machine learning techniques. This study describes a \"BreastMultiNet\" framework that focuses on the transfer learning concept for identifying distinct types of breast cancer by utilizing two publicly available datasets. The suggested \"BreastMultiNet\" architecture allows rapid and comprehensive breast cancer diagnosis. The suggested scheme extracts features from microscope images with the help of well-known conventional and deep learning models such as HOG, LBP, SURP, DenseNet201, and VGG19. Comparatively, transfer learning models provide good accuracy than conventional models. The collected properties of transfer learning models are subsequently dispatched into the summing layer, resulting in a fused vector. The proposed framework achieves 99% and 95% classification accuracy on both BreakHis and ICIAR dataset respectively, outperforming all the other state of the art techniques. In terms of accuracy, the \"BreastMultiNet\" framework may be employed as a modeling approach in hospitals and medical care contexts.","author":[{"dropping-particle":"","family":"Lei","given":"Tze-Huan","non-dropping-particle":"","parse-names":false,"suffix":""},{"dropping-particle":"","family":"Lan","given":"Li","non-dropping-particle":"","parse-names":false,"suffix":""},{"dropping-particle":"","family":"Wang","given":"Faming","non-dropping-particle":"","parse-names":false,"suffix":""}],"container-title":"Journal of Thermal Biology","id":"ITEM-1","issue":"January","issued":{"date-parts":[["2023"]]},"page":"103506","publisher":"Elsevier Ltd","title":"Indoor thermal comfort research using human participants: Guidelines and a checklist for experimental design","type":"article-journal","volume":"113"},"uris":["http://www.mendeley.com/documents/?uuid=6ed9b332-4222-458f-a1c1-a02c99476402"]}],"mendeley":{"formattedCitation":"(Lei et al., 2023)","plainTextFormattedCitation":"(Lei et al., 2023)","previouslyFormattedCitation":"(Lei et al., 2023)"},"properties":{"noteIndex":0},"schema":"https://github.com/citation-style-language/schema/raw/master/csl-citation.json"}</w:instrText>
      </w:r>
      <w:r>
        <w:fldChar w:fldCharType="separate"/>
      </w:r>
      <w:r w:rsidRPr="00F243B5">
        <w:rPr>
          <w:noProof/>
        </w:rPr>
        <w:t>(Lei et al., 2023)</w:t>
      </w:r>
      <w:r>
        <w:fldChar w:fldCharType="end"/>
      </w:r>
      <w:r>
        <w:t xml:space="preserve"> makes a strong distinction between outdoor and indoor tests: in the former, environmental conditions depend on the weather and they are not under control and they are approximately constants during the tests; in the latter, environmental conditions (i.e. temperature, humidity …) can be controlled with HVAC systems and they can vary during due to the test, especially when physical exercise is involved.</w:t>
      </w:r>
      <w:r w:rsidR="00F939B4">
        <w:t xml:space="preserve"> </w:t>
      </w:r>
    </w:p>
    <w:p w14:paraId="77E30058" w14:textId="5FB0140A" w:rsidR="00F939B4" w:rsidRDefault="00F939B4" w:rsidP="00BF3412">
      <w:pPr>
        <w:jc w:val="both"/>
        <w:rPr>
          <w:noProof/>
        </w:rPr>
      </w:pPr>
      <w:r>
        <w:rPr>
          <w:noProof/>
        </w:rPr>
        <w:t>More specifically,</w:t>
      </w:r>
      <w:r w:rsidR="00CB416B">
        <w:rPr>
          <w:noProof/>
        </w:rPr>
        <w:t xml:space="preserve"> the key messages provided by</w:t>
      </w:r>
      <w:r>
        <w:rPr>
          <w:noProof/>
        </w:rPr>
        <w:t xml:space="preserve"> </w:t>
      </w:r>
      <w:r>
        <w:rPr>
          <w:noProof/>
        </w:rPr>
        <w:fldChar w:fldCharType="begin" w:fldLock="1"/>
      </w:r>
      <w:r w:rsidR="000B021C">
        <w:rPr>
          <w:noProof/>
        </w:rPr>
        <w:instrText>ADDIN CSL_CITATION {"citationItems":[{"id":"ITEM-1","itemData":{"DOI":"10.1016/j.jtherbio.2023.103506","ISSN":"03064565","abstract":"Breast cancer is predominantly seen in women and is the leading cause of death in females worldwide. Diagnosis of breast cancer using biopsy tissue images is expensive, time-intensive, and fraught with conflicts among doctors. Pathologists can now diagnose breast cancer more consistently and promptly because of advances in the Computer- Aided Diagnosis (CAD) system. As a result, there has been a surge in demand for CAD-based machine learning techniques. This study describes a \"BreastMultiNet\" framework that focuses on the transfer learning concept for identifying distinct types of breast cancer by utilizing two publicly available datasets. The suggested \"BreastMultiNet\" architecture allows rapid and comprehensive breast cancer diagnosis. The suggested scheme extracts features from microscope images with the help of well-known conventional and deep learning models such as HOG, LBP, SURP, DenseNet201, and VGG19. Comparatively, transfer learning models provide good accuracy than conventional models. The collected properties of transfer learning models are subsequently dispatched into the summing layer, resulting in a fused vector. The proposed framework achieves 99% and 95% classification accuracy on both BreakHis and ICIAR dataset respectively, outperforming all the other state of the art techniques. In terms of accuracy, the \"BreastMultiNet\" framework may be employed as a modeling approach in hospitals and medical care contexts.","author":[{"dropping-particle":"","family":"Lei","given":"Tze-Huan","non-dropping-particle":"","parse-names":false,"suffix":""},{"dropping-particle":"","family":"Lan","given":"Li","non-dropping-particle":"","parse-names":false,"suffix":""},{"dropping-particle":"","family":"Wang","given":"Faming","non-dropping-particle":"","parse-names":false,"suffix":""}],"container-title":"Journal of Thermal Biology","id":"ITEM-1","issue":"January","issued":{"date-parts":[["2023"]]},"page":"103506","publisher":"Elsevier Ltd","title":"Indoor thermal comfort research using human participants: Guidelines and a checklist for experimental design","type":"article-journal","volume":"113"},"uris":["http://www.mendeley.com/documents/?uuid=6ed9b332-4222-458f-a1c1-a02c99476402"]}],"mendeley":{"formattedCitation":"(Lei et al., 2023)","plainTextFormattedCitation":"(Lei et al., 2023)","previouslyFormattedCitation":"(Lei et al., 2023)"},"properties":{"noteIndex":0},"schema":"https://github.com/citation-style-language/schema/raw/master/csl-citation.json"}</w:instrText>
      </w:r>
      <w:r>
        <w:rPr>
          <w:noProof/>
        </w:rPr>
        <w:fldChar w:fldCharType="separate"/>
      </w:r>
      <w:r w:rsidRPr="00F243B5">
        <w:rPr>
          <w:noProof/>
        </w:rPr>
        <w:t>(Lei et al., 2023)</w:t>
      </w:r>
      <w:r>
        <w:rPr>
          <w:noProof/>
        </w:rPr>
        <w:fldChar w:fldCharType="end"/>
      </w:r>
      <w:r w:rsidR="00122EF4">
        <w:rPr>
          <w:noProof/>
        </w:rPr>
        <w:t xml:space="preserve"> </w:t>
      </w:r>
      <w:r w:rsidR="00CB416B">
        <w:rPr>
          <w:noProof/>
        </w:rPr>
        <w:t>research study are the following:</w:t>
      </w:r>
    </w:p>
    <w:p w14:paraId="12EE3273" w14:textId="6923406E" w:rsidR="00CB416B" w:rsidRDefault="00E6796F" w:rsidP="00E6796F">
      <w:pPr>
        <w:pStyle w:val="Paragrafoelenco"/>
        <w:numPr>
          <w:ilvl w:val="0"/>
          <w:numId w:val="9"/>
        </w:numPr>
        <w:jc w:val="both"/>
        <w:rPr>
          <w:noProof/>
        </w:rPr>
      </w:pPr>
      <w:r w:rsidRPr="00205364">
        <w:rPr>
          <w:b/>
          <w:bCs/>
          <w:noProof/>
        </w:rPr>
        <w:t>Skin temperature is the most common physiological variable to include in indoor thermal comfort/discomfort studies</w:t>
      </w:r>
      <w:r>
        <w:rPr>
          <w:noProof/>
        </w:rPr>
        <w:t xml:space="preserve">. Typically, skin temperature is measured at </w:t>
      </w:r>
      <w:r w:rsidRPr="00205364">
        <w:rPr>
          <w:b/>
          <w:bCs/>
          <w:noProof/>
        </w:rPr>
        <w:t>various anatomical sites</w:t>
      </w:r>
      <w:r>
        <w:rPr>
          <w:noProof/>
        </w:rPr>
        <w:t xml:space="preserve"> to obtain the mean skin temperature using various weighting ratios</w:t>
      </w:r>
      <w:r w:rsidR="004A03ED">
        <w:rPr>
          <w:noProof/>
        </w:rPr>
        <w:t xml:space="preserve">. </w:t>
      </w:r>
      <w:r w:rsidR="004A03ED" w:rsidRPr="004A03ED">
        <w:rPr>
          <w:noProof/>
        </w:rPr>
        <w:t xml:space="preserve">Skin temperature is often measured by </w:t>
      </w:r>
      <w:r w:rsidR="004A03ED" w:rsidRPr="00205364">
        <w:rPr>
          <w:b/>
          <w:bCs/>
          <w:noProof/>
        </w:rPr>
        <w:t>skin thermistors</w:t>
      </w:r>
      <w:r w:rsidR="004A03ED" w:rsidRPr="004A03ED">
        <w:rPr>
          <w:noProof/>
        </w:rPr>
        <w:t xml:space="preserve"> (e.g., YSI thermistors, YSI Incorporated, Yellow Spring, OH, USA) </w:t>
      </w:r>
      <w:r w:rsidR="004A03ED" w:rsidRPr="00205364">
        <w:rPr>
          <w:b/>
          <w:bCs/>
          <w:noProof/>
        </w:rPr>
        <w:t>connected to the</w:t>
      </w:r>
      <w:r w:rsidR="004A03ED" w:rsidRPr="004A03ED">
        <w:rPr>
          <w:noProof/>
        </w:rPr>
        <w:t xml:space="preserve"> </w:t>
      </w:r>
      <w:r w:rsidR="004A03ED" w:rsidRPr="00205364">
        <w:rPr>
          <w:b/>
          <w:bCs/>
          <w:noProof/>
        </w:rPr>
        <w:t>data loggers</w:t>
      </w:r>
      <w:r w:rsidR="004A03ED" w:rsidRPr="004A03ED">
        <w:rPr>
          <w:noProof/>
        </w:rPr>
        <w:t xml:space="preserve"> or </w:t>
      </w:r>
      <w:r w:rsidR="004A03ED" w:rsidRPr="00205364">
        <w:rPr>
          <w:b/>
          <w:bCs/>
          <w:noProof/>
        </w:rPr>
        <w:t>tiny wireless temperature loggers such as iButtons</w:t>
      </w:r>
      <w:r w:rsidR="004A03ED" w:rsidRPr="004A03ED">
        <w:rPr>
          <w:noProof/>
        </w:rPr>
        <w:t xml:space="preserve"> (Maxim Integrated, San Jose, CA, USA) and </w:t>
      </w:r>
      <w:r w:rsidR="004A03ED" w:rsidRPr="00AF7586">
        <w:rPr>
          <w:noProof/>
        </w:rPr>
        <w:t>SmartButton</w:t>
      </w:r>
      <w:r w:rsidR="004A03ED" w:rsidRPr="004A03ED">
        <w:rPr>
          <w:noProof/>
        </w:rPr>
        <w:t xml:space="preserve"> (ACR Systems Inc., Surrey, BC, Canada). </w:t>
      </w:r>
      <w:r w:rsidR="00516D8F" w:rsidRPr="00516D8F">
        <w:rPr>
          <w:noProof/>
        </w:rPr>
        <w:t xml:space="preserve">Despite wireless temperature loggers offer more degrees of freedom than skin thermistors, their measurement ac- curacy is </w:t>
      </w:r>
      <w:r w:rsidR="00516D8F" w:rsidRPr="00205364">
        <w:rPr>
          <w:b/>
          <w:bCs/>
          <w:noProof/>
        </w:rPr>
        <w:t>quite low, i.e., 0.5 ◦C</w:t>
      </w:r>
      <w:r w:rsidR="00516D8F" w:rsidRPr="00516D8F">
        <w:rPr>
          <w:noProof/>
        </w:rPr>
        <w:t xml:space="preserve">. Skin temperature sensors with an accuracy of </w:t>
      </w:r>
      <w:r w:rsidR="00516D8F" w:rsidRPr="00205364">
        <w:rPr>
          <w:b/>
          <w:bCs/>
          <w:noProof/>
        </w:rPr>
        <w:t>±0.1 ◦C</w:t>
      </w:r>
      <w:r w:rsidR="00516D8F" w:rsidRPr="00516D8F">
        <w:rPr>
          <w:noProof/>
        </w:rPr>
        <w:t xml:space="preserve"> are highly recommended for human trial studies including indoor thermal comfort research. </w:t>
      </w:r>
      <w:r w:rsidR="00516D8F" w:rsidRPr="00205364">
        <w:rPr>
          <w:b/>
          <w:bCs/>
          <w:noProof/>
        </w:rPr>
        <w:t>Individual calibration regression could be used to improve the accuracy of tiny wireless temperature loggers like iButtons to about ±0.1 ◦C.</w:t>
      </w:r>
      <w:r w:rsidR="00516D8F" w:rsidRPr="00516D8F">
        <w:rPr>
          <w:noProof/>
        </w:rPr>
        <w:t xml:space="preserve"> Nonetheless, such calibration methods are not always available, and it is complicated because the calibration necessitates high demands on specifications of the calibration bath as well as reference thermometer</w:t>
      </w:r>
      <w:r w:rsidR="00B81B63">
        <w:rPr>
          <w:noProof/>
        </w:rPr>
        <w:t>.</w:t>
      </w:r>
    </w:p>
    <w:p w14:paraId="62F24B34" w14:textId="45751C4D" w:rsidR="00516D8F" w:rsidRDefault="00516D8F" w:rsidP="006A0BB9">
      <w:pPr>
        <w:pStyle w:val="Paragrafoelenco"/>
        <w:numPr>
          <w:ilvl w:val="0"/>
          <w:numId w:val="9"/>
        </w:numPr>
        <w:jc w:val="both"/>
        <w:rPr>
          <w:noProof/>
        </w:rPr>
      </w:pPr>
      <w:r w:rsidRPr="00205364">
        <w:rPr>
          <w:b/>
          <w:bCs/>
          <w:noProof/>
        </w:rPr>
        <w:t xml:space="preserve">Core temperature is often being neglected </w:t>
      </w:r>
      <w:r>
        <w:rPr>
          <w:noProof/>
        </w:rPr>
        <w:t>in the indoor environment because the duration of the exposure may not result in a great elevation or decline in core temperature. Due to this reason, most of the indoor thermal comfort studies do not include core temperature measurements.</w:t>
      </w:r>
      <w:r w:rsidR="00B81B63">
        <w:rPr>
          <w:noProof/>
        </w:rPr>
        <w:t xml:space="preserve"> </w:t>
      </w:r>
      <w:r w:rsidR="00B81B63" w:rsidRPr="00B81B63">
        <w:rPr>
          <w:noProof/>
        </w:rPr>
        <w:t xml:space="preserve">Core temperature measurements are highly </w:t>
      </w:r>
      <w:r w:rsidR="00B81B63" w:rsidRPr="00205364">
        <w:rPr>
          <w:b/>
          <w:bCs/>
          <w:noProof/>
        </w:rPr>
        <w:t>recommended</w:t>
      </w:r>
      <w:r w:rsidR="00B81B63" w:rsidRPr="00B81B63">
        <w:rPr>
          <w:noProof/>
        </w:rPr>
        <w:t xml:space="preserve"> when using participants who are </w:t>
      </w:r>
      <w:r w:rsidR="00B81B63" w:rsidRPr="00205364">
        <w:rPr>
          <w:b/>
          <w:bCs/>
          <w:noProof/>
        </w:rPr>
        <w:t>not thermoneutral</w:t>
      </w:r>
      <w:r w:rsidR="00B81B63" w:rsidRPr="00B81B63">
        <w:rPr>
          <w:noProof/>
        </w:rPr>
        <w:t xml:space="preserve"> while entering an indoor environment or working in non-air- conditioned indoor </w:t>
      </w:r>
      <w:r w:rsidR="00B81B63" w:rsidRPr="00B81B63">
        <w:rPr>
          <w:noProof/>
        </w:rPr>
        <w:lastRenderedPageBreak/>
        <w:t xml:space="preserve">conditions with </w:t>
      </w:r>
      <w:r w:rsidR="00B81B63" w:rsidRPr="00205364">
        <w:rPr>
          <w:b/>
          <w:bCs/>
          <w:noProof/>
        </w:rPr>
        <w:t>highly fluctuating temperatures for long hours</w:t>
      </w:r>
      <w:r w:rsidR="00B81B63" w:rsidRPr="00B81B63">
        <w:rPr>
          <w:noProof/>
        </w:rPr>
        <w:t xml:space="preserve"> (e.g., </w:t>
      </w:r>
      <w:r w:rsidR="00B81B63" w:rsidRPr="00205364">
        <w:rPr>
          <w:b/>
          <w:bCs/>
          <w:noProof/>
        </w:rPr>
        <w:t>4–8 h</w:t>
      </w:r>
      <w:r w:rsidR="00B81B63" w:rsidRPr="00B81B63">
        <w:rPr>
          <w:noProof/>
        </w:rPr>
        <w:t>).</w:t>
      </w:r>
      <w:r w:rsidR="00B81B63">
        <w:rPr>
          <w:noProof/>
        </w:rPr>
        <w:t xml:space="preserve"> </w:t>
      </w:r>
      <w:r w:rsidR="00B81B63" w:rsidRPr="00B81B63">
        <w:rPr>
          <w:noProof/>
        </w:rPr>
        <w:t>In thermophysiology related experiments, the golden standard for core temperature measurement is to insert an esophageal temperature probe to the esophagus of the participants to the distance of the quarter of participants’ standing height. However, as this procedure is highly invasive and would certainly result in an unpleasant feeling, it is not recommended. On the other hand, the rectal temperature probe is recommended as it can obtain reasonable accuracy when compared to the esophageal probe. Furthermore, it is less expensive than the gastro-intestinal tract temperature capsule and has been adopted in thermal comfort studies</w:t>
      </w:r>
      <w:r w:rsidR="00B81B63">
        <w:rPr>
          <w:noProof/>
        </w:rPr>
        <w:t>.</w:t>
      </w:r>
      <w:r w:rsidR="00B40F7C">
        <w:rPr>
          <w:noProof/>
        </w:rPr>
        <w:t xml:space="preserve"> </w:t>
      </w:r>
      <w:r w:rsidR="00B40F7C" w:rsidRPr="00B40F7C">
        <w:rPr>
          <w:b/>
          <w:bCs/>
          <w:noProof/>
        </w:rPr>
        <w:t>However, other studies also indicate the possibility to ingest a pill that measures the core temperature and transmits it to a data logger.</w:t>
      </w:r>
    </w:p>
    <w:p w14:paraId="26E52B74" w14:textId="76D9A90A" w:rsidR="00CF5604" w:rsidRDefault="00CF5604" w:rsidP="00516975">
      <w:pPr>
        <w:pStyle w:val="Paragrafoelenco"/>
        <w:numPr>
          <w:ilvl w:val="0"/>
          <w:numId w:val="9"/>
        </w:numPr>
        <w:jc w:val="both"/>
        <w:rPr>
          <w:noProof/>
        </w:rPr>
      </w:pPr>
      <w:r>
        <w:rPr>
          <w:noProof/>
        </w:rPr>
        <w:t xml:space="preserve">When investigating thermal comfort with a special population such as </w:t>
      </w:r>
      <w:r w:rsidRPr="00BC4622">
        <w:rPr>
          <w:b/>
          <w:bCs/>
          <w:noProof/>
        </w:rPr>
        <w:t>cardiovascular disease patients</w:t>
      </w:r>
      <w:r>
        <w:rPr>
          <w:noProof/>
        </w:rPr>
        <w:t xml:space="preserve"> or the older adults, </w:t>
      </w:r>
      <w:r w:rsidRPr="00024DDF">
        <w:rPr>
          <w:b/>
          <w:bCs/>
          <w:noProof/>
        </w:rPr>
        <w:t>blood pressure</w:t>
      </w:r>
      <w:r>
        <w:rPr>
          <w:noProof/>
        </w:rPr>
        <w:t xml:space="preserve"> </w:t>
      </w:r>
      <w:r w:rsidRPr="00BC4622">
        <w:rPr>
          <w:b/>
          <w:bCs/>
          <w:noProof/>
        </w:rPr>
        <w:t>and heart rate measurements</w:t>
      </w:r>
      <w:r>
        <w:rPr>
          <w:noProof/>
        </w:rPr>
        <w:t xml:space="preserve"> are </w:t>
      </w:r>
      <w:r w:rsidRPr="00BC4622">
        <w:rPr>
          <w:b/>
          <w:bCs/>
          <w:noProof/>
        </w:rPr>
        <w:t>recommended</w:t>
      </w:r>
      <w:r>
        <w:rPr>
          <w:noProof/>
        </w:rPr>
        <w:t xml:space="preserve"> as those measurements could serve as the termination criteria for those populations. Specifically, it is well known that the </w:t>
      </w:r>
      <w:r w:rsidRPr="00BC4622">
        <w:rPr>
          <w:b/>
          <w:bCs/>
          <w:noProof/>
        </w:rPr>
        <w:t>elderly or the cardiovascular disease populations have a higher level of cardiovascular strain</w:t>
      </w:r>
      <w:r>
        <w:rPr>
          <w:noProof/>
        </w:rPr>
        <w:t xml:space="preserve"> during heat or cold exposure, so including those measurements in these populations can greatly prevent the adverse events during the data collection period. The typical termination criteria for those populations is the gradually reduction of systolic blood pressure with an elevated heart rate over three consecutive measurement period. </w:t>
      </w:r>
      <w:r w:rsidRPr="00BC4622">
        <w:rPr>
          <w:b/>
          <w:bCs/>
          <w:noProof/>
        </w:rPr>
        <w:t>The heart rate and blood pressure measurements can be conveniently obtained using the conventionally heart rate monitor and sphygmomanometer.</w:t>
      </w:r>
    </w:p>
    <w:p w14:paraId="5BAAA5DE" w14:textId="2032AA29" w:rsidR="00CF5604" w:rsidRDefault="00CF5604" w:rsidP="00CF5604">
      <w:pPr>
        <w:jc w:val="both"/>
        <w:rPr>
          <w:noProof/>
        </w:rPr>
      </w:pPr>
      <w:r>
        <w:rPr>
          <w:noProof/>
        </w:rPr>
        <w:t xml:space="preserve">The most common perceptual response measures in indoor thermal comfort studies are </w:t>
      </w:r>
      <w:r w:rsidRPr="00BC4622">
        <w:rPr>
          <w:b/>
          <w:bCs/>
          <w:noProof/>
        </w:rPr>
        <w:t>thermal sensation votes</w:t>
      </w:r>
      <w:r>
        <w:rPr>
          <w:noProof/>
        </w:rPr>
        <w:t xml:space="preserve"> and </w:t>
      </w:r>
      <w:r w:rsidRPr="00BC4622">
        <w:rPr>
          <w:b/>
          <w:bCs/>
          <w:noProof/>
        </w:rPr>
        <w:t>thermal comfort/ discomfort votes</w:t>
      </w:r>
      <w:r>
        <w:rPr>
          <w:noProof/>
        </w:rPr>
        <w:t xml:space="preserve">. Thermal sensation vote is our discriminative perception, which is defined as the relative intensity being sensed from the environment and it is mainly regulated by skin temperature. On the contrary, thermal comfort is our affective perception, which refers to the subjective indifferent to the surrounding environment. Thermal comfort is regulated by the deviation of both </w:t>
      </w:r>
      <w:r w:rsidRPr="00BC4622">
        <w:rPr>
          <w:b/>
          <w:bCs/>
          <w:noProof/>
        </w:rPr>
        <w:t>skin</w:t>
      </w:r>
      <w:r>
        <w:rPr>
          <w:noProof/>
        </w:rPr>
        <w:t xml:space="preserve"> and </w:t>
      </w:r>
      <w:r w:rsidRPr="00BC4622">
        <w:rPr>
          <w:b/>
          <w:bCs/>
          <w:noProof/>
        </w:rPr>
        <w:t>core temperatures</w:t>
      </w:r>
      <w:r>
        <w:rPr>
          <w:noProof/>
        </w:rPr>
        <w:t xml:space="preserve"> and this is another reason why including core temperature measurement when assessing thermal comfort is recommended because it can ensure that the subjects are not in hyperthermic or hypothermic state. It is worth mentioning that thermal comfort vote directly dictates our behavioural response in any given environment; therefore, measurements of both thermal sensation votes and thermal comfort votes are deemed necessary when conducting any indoor thermal comfort related experiment.</w:t>
      </w:r>
      <w:r w:rsidR="00AF7586">
        <w:rPr>
          <w:noProof/>
        </w:rPr>
        <w:t xml:space="preserve"> </w:t>
      </w:r>
      <w:r w:rsidR="00AF7586" w:rsidRPr="00AF7586">
        <w:rPr>
          <w:noProof/>
        </w:rPr>
        <w:t xml:space="preserve">For example, the </w:t>
      </w:r>
      <w:r w:rsidR="00AF7586" w:rsidRPr="00BC4622">
        <w:rPr>
          <w:b/>
          <w:bCs/>
          <w:noProof/>
        </w:rPr>
        <w:t xml:space="preserve">ASHRAE 7-point scale for thermal sensation </w:t>
      </w:r>
      <w:r w:rsidR="00AF7586" w:rsidRPr="00AF7586">
        <w:rPr>
          <w:noProof/>
        </w:rPr>
        <w:t>(“cold” (-3) to “neutral” (0), to “hot” (+3) and thermal comfort/discomfort scale (“very uncomfort- able” (−3), to “neutral” (0) and to “very comfortable” (+3)) are different from the Gagge et al.’s 7-point scale for sensation (cold (1), to cool (2) to neutral (4) and to hot (7)) and 4 points scale for thermal comfort (comfortable (+1), to slightly uncomfortable (+2), to very uncomfort- able (+4))</w:t>
      </w:r>
    </w:p>
    <w:p w14:paraId="465211E3" w14:textId="2F3DBFC4" w:rsidR="00AF7586" w:rsidRDefault="00AF7586" w:rsidP="00AF7586">
      <w:pPr>
        <w:jc w:val="both"/>
        <w:rPr>
          <w:noProof/>
        </w:rPr>
      </w:pPr>
      <w:r w:rsidRPr="00BC4622">
        <w:rPr>
          <w:b/>
          <w:bCs/>
          <w:noProof/>
        </w:rPr>
        <w:t>Both aerobic fitness and percent of body fat can independently alter thermal perceptions</w:t>
      </w:r>
      <w:r>
        <w:rPr>
          <w:noProof/>
        </w:rPr>
        <w:t xml:space="preserve">, it is necessary to measure those variables to serve as the inclusion and exclusion criteria of the studies relating to thermal comfort in an indoor environment. </w:t>
      </w:r>
      <w:r w:rsidRPr="00BC4622">
        <w:rPr>
          <w:b/>
          <w:bCs/>
          <w:noProof/>
        </w:rPr>
        <w:t>The measurement of physical activity/aerobic fitness can be measured by conducting a VO2max test or by completing a physical activity questionnaire</w:t>
      </w:r>
      <w:r>
        <w:rPr>
          <w:noProof/>
        </w:rPr>
        <w:t xml:space="preserve">. Measurement of VO2max may be inappropriate in indoor thermal comfort studies as this requires a </w:t>
      </w:r>
      <w:r w:rsidRPr="00BC4622">
        <w:rPr>
          <w:b/>
          <w:bCs/>
          <w:noProof/>
        </w:rPr>
        <w:t>metabolic cart</w:t>
      </w:r>
      <w:r>
        <w:rPr>
          <w:noProof/>
        </w:rPr>
        <w:t xml:space="preserve"> to obtain the accurate value of </w:t>
      </w:r>
      <w:r w:rsidRPr="00BC4622">
        <w:rPr>
          <w:b/>
          <w:bCs/>
          <w:noProof/>
        </w:rPr>
        <w:t>maximal oxygen uptake</w:t>
      </w:r>
      <w:r>
        <w:rPr>
          <w:noProof/>
        </w:rPr>
        <w:t>. However, using a physical activity questionnaire to assess physical activity level could be the alternative approach to ensuring participants have comparable aerobic fitness. The measurement of percent body fat can be easily done using bioelectrical impedance or by using the skin fold caliper at three anatomical sites (i.e., abdominal, triceps and suprailiac)</w:t>
      </w:r>
      <w:r w:rsidR="00AA4C69">
        <w:rPr>
          <w:noProof/>
        </w:rPr>
        <w:t>.</w:t>
      </w:r>
      <w:r>
        <w:rPr>
          <w:noProof/>
        </w:rPr>
        <w:t xml:space="preserve"> However, the skin fold measurement is not recommended if the experimenters have no prior experience with the skin fold caliper because the results are entirely dependent on experience. </w:t>
      </w:r>
    </w:p>
    <w:p w14:paraId="25449A36" w14:textId="18E2EF6A" w:rsidR="00AF7586" w:rsidRDefault="00AF7586" w:rsidP="00AF7586">
      <w:pPr>
        <w:jc w:val="both"/>
        <w:rPr>
          <w:noProof/>
        </w:rPr>
      </w:pPr>
      <w:r>
        <w:rPr>
          <w:noProof/>
        </w:rPr>
        <w:t xml:space="preserve">The total duration of a </w:t>
      </w:r>
      <w:r w:rsidRPr="005E3495">
        <w:rPr>
          <w:b/>
          <w:bCs/>
          <w:noProof/>
        </w:rPr>
        <w:t>human trial experiment is an unavoidable design factor</w:t>
      </w:r>
      <w:r>
        <w:rPr>
          <w:noProof/>
        </w:rPr>
        <w:t xml:space="preserve"> that should be considered when designing indoor thermal comfort studies. </w:t>
      </w:r>
      <w:r w:rsidRPr="005E3495">
        <w:rPr>
          <w:b/>
          <w:bCs/>
          <w:noProof/>
        </w:rPr>
        <w:t xml:space="preserve">The experimental duration should be determined based on </w:t>
      </w:r>
      <w:r w:rsidRPr="005E3495">
        <w:rPr>
          <w:b/>
          <w:bCs/>
          <w:noProof/>
        </w:rPr>
        <w:lastRenderedPageBreak/>
        <w:t>the study objectives and categorized into three different types (short, moderate and day-long exposures).</w:t>
      </w:r>
      <w:r w:rsidRPr="00AF7586">
        <w:rPr>
          <w:noProof/>
        </w:rPr>
        <w:t xml:space="preserve"> </w:t>
      </w:r>
      <w:r w:rsidRPr="00B91F6D">
        <w:rPr>
          <w:b/>
          <w:bCs/>
          <w:noProof/>
        </w:rPr>
        <w:t xml:space="preserve">For normal indoor thermal comfort studies </w:t>
      </w:r>
      <w:r w:rsidRPr="00AF7586">
        <w:rPr>
          <w:noProof/>
        </w:rPr>
        <w:t xml:space="preserve">to assess indoor thermal environments or the per- formance of personal comfort systems, </w:t>
      </w:r>
      <w:r w:rsidRPr="00B91F6D">
        <w:rPr>
          <w:b/>
          <w:bCs/>
          <w:noProof/>
        </w:rPr>
        <w:t>the standard exposure time duration is 1.5–2 h (short)</w:t>
      </w:r>
      <w:r w:rsidRPr="00AF7586">
        <w:rPr>
          <w:noProof/>
        </w:rPr>
        <w:t xml:space="preserve">. If the study is intended to assess work or learning performance, the recommended exposure duration should be increased to 3.5–5.5 h or 8 h (moderate)separated by 1–2 breaks to simulate real-world office work scenarios. In recent decades, extreme heatwaves become more intense and more frequent. Many European and American residential homes lack air-conditioning, indoor temperatures during extreme heatwaves could exceed 35 ◦C for several hours to </w:t>
      </w:r>
      <w:r w:rsidRPr="00B91F6D">
        <w:rPr>
          <w:b/>
          <w:bCs/>
          <w:noProof/>
        </w:rPr>
        <w:t>10 h</w:t>
      </w:r>
      <w:r w:rsidRPr="00AF7586">
        <w:rPr>
          <w:noProof/>
        </w:rPr>
        <w:t xml:space="preserve">. For vulnerable groups such as older adults and patients with chronic diseases, environmental demands exceed physiological capacity during extreme heatwaves. If the goal of the study is to examine the impact of a heatwave on indoor occupants, daylong acute indoor exposure studies may be designed. Furthermore, chronic intermittent indoor heat exposure studies may be designed to investigate the actual impact of prolonged heatwaves on indoor occupant health. Many key physiological parameters, such as core temperature, heart rate, blood pressure, sweating rate, skin blood flow, and blood-based (or serum-based, urine-based) biomarkers to quantify cell dysfunction, degradation, or inflammation, should be collected and analysed for the aforementioned extreme indoor studies. </w:t>
      </w:r>
      <w:r w:rsidRPr="00B91F6D">
        <w:rPr>
          <w:noProof/>
        </w:rPr>
        <w:t>Nonetheless, many parameters, such as blood pressure, skin blood flow, and sweating rate, may only be displayed or measured in an hourly basis.</w:t>
      </w:r>
    </w:p>
    <w:p w14:paraId="4FC8FE3C" w14:textId="2F3F3E11" w:rsidR="00AF7586" w:rsidRDefault="00AF7586" w:rsidP="00AF7586">
      <w:pPr>
        <w:jc w:val="both"/>
        <w:rPr>
          <w:noProof/>
        </w:rPr>
      </w:pPr>
      <w:r w:rsidRPr="00AF7586">
        <w:rPr>
          <w:noProof/>
        </w:rPr>
        <w:drawing>
          <wp:inline distT="0" distB="0" distL="0" distR="0" wp14:anchorId="283CEC3E" wp14:editId="73692011">
            <wp:extent cx="6120130" cy="2984500"/>
            <wp:effectExtent l="0" t="0" r="0" b="6350"/>
            <wp:docPr id="61758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3964" name=""/>
                    <pic:cNvPicPr/>
                  </pic:nvPicPr>
                  <pic:blipFill>
                    <a:blip r:embed="rId18"/>
                    <a:stretch>
                      <a:fillRect/>
                    </a:stretch>
                  </pic:blipFill>
                  <pic:spPr>
                    <a:xfrm>
                      <a:off x="0" y="0"/>
                      <a:ext cx="6120130" cy="2984500"/>
                    </a:xfrm>
                    <a:prstGeom prst="rect">
                      <a:avLst/>
                    </a:prstGeom>
                  </pic:spPr>
                </pic:pic>
              </a:graphicData>
            </a:graphic>
          </wp:inline>
        </w:drawing>
      </w:r>
    </w:p>
    <w:p w14:paraId="58E154EA" w14:textId="158DD6E1" w:rsidR="00AF7586" w:rsidRPr="00AA4C69" w:rsidRDefault="00AF7586" w:rsidP="00077A16">
      <w:pPr>
        <w:jc w:val="center"/>
        <w:rPr>
          <w:i/>
          <w:iCs/>
          <w:noProof/>
          <w:sz w:val="18"/>
          <w:szCs w:val="18"/>
        </w:rPr>
      </w:pPr>
      <w:r w:rsidRPr="00AA4C69">
        <w:rPr>
          <w:i/>
          <w:iCs/>
          <w:noProof/>
          <w:sz w:val="18"/>
          <w:szCs w:val="18"/>
        </w:rPr>
        <w:t xml:space="preserve">Figure </w:t>
      </w:r>
      <w:r w:rsidR="00AA4C69">
        <w:rPr>
          <w:i/>
          <w:iCs/>
          <w:noProof/>
          <w:sz w:val="18"/>
          <w:szCs w:val="18"/>
        </w:rPr>
        <w:t>8</w:t>
      </w:r>
      <w:r w:rsidR="003B2D22" w:rsidRPr="00AA4C69">
        <w:rPr>
          <w:i/>
          <w:iCs/>
          <w:noProof/>
          <w:sz w:val="18"/>
          <w:szCs w:val="18"/>
        </w:rPr>
        <w:t>: Scheme of experiments durations recommended by Lei et al.</w:t>
      </w:r>
    </w:p>
    <w:p w14:paraId="26024B7E" w14:textId="27B6B8AA" w:rsidR="003B2D22" w:rsidRDefault="003B2D22" w:rsidP="003B2D22">
      <w:r>
        <w:rPr>
          <w:noProof/>
        </w:rPr>
        <w:t xml:space="preserve">In addition to the review published by </w:t>
      </w:r>
      <w:r>
        <w:fldChar w:fldCharType="begin" w:fldLock="1"/>
      </w:r>
      <w:r w:rsidR="000B021C">
        <w:instrText>ADDIN CSL_CITATION {"citationItems":[{"id":"ITEM-1","itemData":{"DOI":"10.1016/j.jtherbio.2023.103506","ISSN":"03064565","abstract":"Breast cancer is predominantly seen in women and is the leading cause of death in females worldwide. Diagnosis of breast cancer using biopsy tissue images is expensive, time-intensive, and fraught with conflicts among doctors. Pathologists can now diagnose breast cancer more consistently and promptly because of advances in the Computer- Aided Diagnosis (CAD) system. As a result, there has been a surge in demand for CAD-based machine learning techniques. This study describes a \"BreastMultiNet\" framework that focuses on the transfer learning concept for identifying distinct types of breast cancer by utilizing two publicly available datasets. The suggested \"BreastMultiNet\" architecture allows rapid and comprehensive breast cancer diagnosis. The suggested scheme extracts features from microscope images with the help of well-known conventional and deep learning models such as HOG, LBP, SURP, DenseNet201, and VGG19. Comparatively, transfer learning models provide good accuracy than conventional models. The collected properties of transfer learning models are subsequently dispatched into the summing layer, resulting in a fused vector. The proposed framework achieves 99% and 95% classification accuracy on both BreakHis and ICIAR dataset respectively, outperforming all the other state of the art techniques. In terms of accuracy, the \"BreastMultiNet\" framework may be employed as a modeling approach in hospitals and medical care contexts.","author":[{"dropping-particle":"","family":"Lei","given":"Tze-Huan","non-dropping-particle":"","parse-names":false,"suffix":""},{"dropping-particle":"","family":"Lan","given":"Li","non-dropping-particle":"","parse-names":false,"suffix":""},{"dropping-particle":"","family":"Wang","given":"Faming","non-dropping-particle":"","parse-names":false,"suffix":""}],"container-title":"Journal of Thermal Biology","id":"ITEM-1","issue":"January","issued":{"date-parts":[["2023"]]},"page":"103506","publisher":"Elsevier Ltd","title":"Indoor thermal comfort research using human participants: Guidelines and a checklist for experimental design","type":"article-journal","volume":"113"},"uris":["http://www.mendeley.com/documents/?uuid=6ed9b332-4222-458f-a1c1-a02c99476402"]}],"mendeley":{"formattedCitation":"(Lei et al., 2023)","plainTextFormattedCitation":"(Lei et al., 2023)","previouslyFormattedCitation":"(Lei et al., 2023)"},"properties":{"noteIndex":0},"schema":"https://github.com/citation-style-language/schema/raw/master/csl-citation.json"}</w:instrText>
      </w:r>
      <w:r>
        <w:fldChar w:fldCharType="separate"/>
      </w:r>
      <w:r w:rsidRPr="00F243B5">
        <w:rPr>
          <w:noProof/>
        </w:rPr>
        <w:t>(Lei et al., 2023)</w:t>
      </w:r>
      <w:r>
        <w:fldChar w:fldCharType="end"/>
      </w:r>
      <w:r>
        <w:t>,  several studies create specific tables to describe the equipment used in their test case.</w:t>
      </w:r>
      <w:r w:rsidR="00EA403D">
        <w:t xml:space="preserve"> The following of this report contains some examples.</w:t>
      </w:r>
    </w:p>
    <w:p w14:paraId="0D565E1E" w14:textId="77777777" w:rsidR="00EA403D" w:rsidRDefault="00EA403D" w:rsidP="003B2D22"/>
    <w:p w14:paraId="5EF5EA46" w14:textId="1D828488" w:rsidR="00EA403D" w:rsidRDefault="00EA403D" w:rsidP="003B2D22">
      <w:pPr>
        <w:rPr>
          <w:noProof/>
        </w:rPr>
      </w:pPr>
      <w:r w:rsidRPr="00EA403D">
        <w:rPr>
          <w:noProof/>
        </w:rPr>
        <w:lastRenderedPageBreak/>
        <w:drawing>
          <wp:inline distT="0" distB="0" distL="0" distR="0" wp14:anchorId="61B55F4C" wp14:editId="32B3A531">
            <wp:extent cx="6120130" cy="3589655"/>
            <wp:effectExtent l="0" t="0" r="7620" b="5715"/>
            <wp:docPr id="103847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589655"/>
                    </a:xfrm>
                    <a:prstGeom prst="rect">
                      <a:avLst/>
                    </a:prstGeom>
                    <a:noFill/>
                    <a:ln>
                      <a:noFill/>
                    </a:ln>
                  </pic:spPr>
                </pic:pic>
              </a:graphicData>
            </a:graphic>
          </wp:inline>
        </w:drawing>
      </w:r>
    </w:p>
    <w:p w14:paraId="711441EE" w14:textId="2CF5832E" w:rsidR="000B021C" w:rsidRDefault="000B021C" w:rsidP="00EA403D">
      <w:pPr>
        <w:jc w:val="center"/>
        <w:rPr>
          <w:i/>
          <w:iCs/>
          <w:noProof/>
        </w:rPr>
      </w:pPr>
      <w:r w:rsidRPr="000B021C">
        <w:rPr>
          <w:i/>
          <w:iCs/>
          <w:noProof/>
        </w:rPr>
        <w:drawing>
          <wp:inline distT="0" distB="0" distL="0" distR="0" wp14:anchorId="61B63567" wp14:editId="6B9AD103">
            <wp:extent cx="6140450" cy="2622612"/>
            <wp:effectExtent l="0" t="0" r="0" b="6350"/>
            <wp:docPr id="1710756588" name="Picture 1" descr="A picture containing cable, medical equipment,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6588" name="Picture 1" descr="A picture containing cable, medical equipment, headphones&#10;&#10;Description automatically generated"/>
                    <pic:cNvPicPr/>
                  </pic:nvPicPr>
                  <pic:blipFill rotWithShape="1">
                    <a:blip r:embed="rId20"/>
                    <a:srcRect l="7055" t="11353"/>
                    <a:stretch/>
                  </pic:blipFill>
                  <pic:spPr bwMode="auto">
                    <a:xfrm>
                      <a:off x="0" y="0"/>
                      <a:ext cx="6154538" cy="2628629"/>
                    </a:xfrm>
                    <a:prstGeom prst="rect">
                      <a:avLst/>
                    </a:prstGeom>
                    <a:ln>
                      <a:noFill/>
                    </a:ln>
                    <a:extLst>
                      <a:ext uri="{53640926-AAD7-44D8-BBD7-CCE9431645EC}">
                        <a14:shadowObscured xmlns:a14="http://schemas.microsoft.com/office/drawing/2010/main"/>
                      </a:ext>
                    </a:extLst>
                  </pic:spPr>
                </pic:pic>
              </a:graphicData>
            </a:graphic>
          </wp:inline>
        </w:drawing>
      </w:r>
    </w:p>
    <w:p w14:paraId="74338DE5" w14:textId="6B4D119C" w:rsidR="00EA403D" w:rsidRPr="000B021C" w:rsidRDefault="00AA4C69" w:rsidP="00EA403D">
      <w:pPr>
        <w:jc w:val="center"/>
        <w:rPr>
          <w:i/>
          <w:iCs/>
          <w:noProof/>
        </w:rPr>
      </w:pPr>
      <w:r>
        <w:rPr>
          <w:i/>
          <w:iCs/>
          <w:noProof/>
        </w:rPr>
        <w:t>Figure</w:t>
      </w:r>
      <w:r w:rsidR="004B5C8C" w:rsidRPr="004B5C8C">
        <w:rPr>
          <w:i/>
          <w:iCs/>
          <w:noProof/>
        </w:rPr>
        <w:t xml:space="preserve"> </w:t>
      </w:r>
      <w:r>
        <w:rPr>
          <w:i/>
          <w:iCs/>
          <w:noProof/>
        </w:rPr>
        <w:t>9</w:t>
      </w:r>
      <w:r w:rsidR="004A0F55">
        <w:rPr>
          <w:i/>
          <w:iCs/>
          <w:noProof/>
        </w:rPr>
        <w:t>:</w:t>
      </w:r>
      <w:r w:rsidR="000B021C">
        <w:rPr>
          <w:i/>
          <w:iCs/>
          <w:noProof/>
        </w:rPr>
        <w:t xml:space="preserve"> experimental setup of</w:t>
      </w:r>
      <w:r w:rsidR="000B021C" w:rsidRPr="000B021C">
        <w:rPr>
          <w:i/>
          <w:iCs/>
          <w:noProof/>
        </w:rPr>
        <w:t xml:space="preserve"> </w:t>
      </w:r>
      <w:r w:rsidR="000B021C" w:rsidRPr="000B021C">
        <w:rPr>
          <w:i/>
          <w:iCs/>
          <w:noProof/>
        </w:rPr>
        <w:fldChar w:fldCharType="begin" w:fldLock="1"/>
      </w:r>
      <w:r w:rsidR="000B021C" w:rsidRPr="000B021C">
        <w:rPr>
          <w:i/>
          <w:iCs/>
          <w:noProof/>
        </w:rPr>
        <w:instrText>ADDIN CSL_CITATION {"citationItems":[{"id":"ITEM-1","itemData":{"DOI":"10.1016/j.buildenv.2023.110322","ISSN":"03601323","abstract":"This study conducted a series of human subject experiments on shower thermal comfort to investigate the dynamic thermal responses under different conditions. Questionnaires (including thermal sensation votes, thermal comfort votes, sweating sensation votes, and mood-related votes) and physiological parameters (including skin temperature, core temperature, heart rate, blood pressure, and brain waves) were collected from 27 subjects. The results showed that the subjects’ comfort-related votes changed dynamically during the pre-, mid-, and post-showering phases. The changes in thermal sensation, thermal comfort, fatigue relieving, and sweating sensation during the 10-min shower were 0.7 ± 0.8, 0.9 ± 1.2, 0.9 ± 1.0, and 0.9 ± 0.9, respectively. After a 10-min shower, 16 mood-related questions were answered toward positively. The heart rate and mean skin temperature of the subjects increased by approximately 10% and 8%, respectively. The body temperature tended to be more uniform, with smaller temperature differences between the trunk and extremities. The changes in core temperature, blood pressure, and brain waves were less significant because the reference test condition (25 °C air temperature, 40 °C showering water temperature, and 10-min duration) was not intensive. Further analyses indicated showering water temperature and duration were the most significant factors affecting the mid-showering thermal comfort. The ambient temperature and airspeed were the most significant factors affecting post-showering thermal comfort. The initial thermal status primarily affects thermal comfort before showering. No significant difference was observed between the elder and the younger subjects under moderate conditions.","author":[{"dropping-particle":"","family":"Luo","given":"Maohui","non-dropping-particle":"","parse-names":false,"suffix":""},{"dropping-particle":"","family":"Xu","given":"Shuang","non-dropping-particle":"","parse-names":false,"suffix":""},{"dropping-particle":"","family":"Tang","given":"Yin","non-dropping-particle":"","parse-names":false,"suffix":""},{"dropping-particle":"","family":"Yu","given":"Hang","non-dropping-particle":"","parse-names":false,"suffix":""},{"dropping-particle":"","family":"Zhou","given":"Xiang","non-dropping-particle":"","parse-names":false,"suffix":""},{"dropping-particle":"","family":"Chen","given":"Zong","non-dropping-particle":"","parse-names":false,"suffix":""}],"container-title":"Building and Environment","id":"ITEM-1","issue":"April","issued":{"date-parts":[["2023"]]},"page":"110322","publisher":"Elsevier Ltd","title":"Dynamic thermal responses and showering thermal comfort under different conditions","type":"article-journal","volume":"237"},"uris":["http://www.mendeley.com/documents/?uuid=d853a915-d336-40ce-909f-30ff09399f69"]}],"mendeley":{"formattedCitation":"(Luo et al., 2023)","plainTextFormattedCitation":"(Luo et al., 2023)","previouslyFormattedCitation":"(Luo et al., 2023)"},"properties":{"noteIndex":0},"schema":"https://github.com/citation-style-language/schema/raw/master/csl-citation.json"}</w:instrText>
      </w:r>
      <w:r w:rsidR="000B021C" w:rsidRPr="000B021C">
        <w:rPr>
          <w:i/>
          <w:iCs/>
          <w:noProof/>
        </w:rPr>
        <w:fldChar w:fldCharType="separate"/>
      </w:r>
      <w:r w:rsidR="000B021C" w:rsidRPr="000B021C">
        <w:rPr>
          <w:i/>
          <w:iCs/>
          <w:noProof/>
        </w:rPr>
        <w:t>(Luo et al., 2023)</w:t>
      </w:r>
      <w:r w:rsidR="000B021C" w:rsidRPr="000B021C">
        <w:rPr>
          <w:i/>
          <w:iCs/>
          <w:noProof/>
        </w:rPr>
        <w:fldChar w:fldCharType="end"/>
      </w:r>
      <w:r w:rsidR="000B021C">
        <w:rPr>
          <w:i/>
          <w:iCs/>
          <w:noProof/>
        </w:rPr>
        <w:t>.</w:t>
      </w:r>
    </w:p>
    <w:p w14:paraId="41488D05" w14:textId="2154801D" w:rsidR="00CB60F8" w:rsidRDefault="00CB60F8" w:rsidP="00EA403D">
      <w:pPr>
        <w:jc w:val="center"/>
        <w:rPr>
          <w:i/>
          <w:iCs/>
          <w:noProof/>
        </w:rPr>
      </w:pPr>
    </w:p>
    <w:p w14:paraId="0E0478BD" w14:textId="77777777" w:rsidR="000B021C" w:rsidRDefault="000B021C" w:rsidP="000B021C">
      <w:pPr>
        <w:rPr>
          <w:i/>
          <w:iCs/>
          <w:noProof/>
        </w:rPr>
      </w:pPr>
    </w:p>
    <w:p w14:paraId="15F53C2D" w14:textId="77777777" w:rsidR="000B021C" w:rsidRDefault="000B021C" w:rsidP="000B021C">
      <w:pPr>
        <w:rPr>
          <w:noProof/>
        </w:rPr>
      </w:pPr>
    </w:p>
    <w:p w14:paraId="26552A15" w14:textId="77777777" w:rsidR="000B021C" w:rsidRDefault="000B021C" w:rsidP="000B021C">
      <w:pPr>
        <w:rPr>
          <w:noProof/>
        </w:rPr>
      </w:pPr>
    </w:p>
    <w:p w14:paraId="196A06AA" w14:textId="77777777" w:rsidR="000B021C" w:rsidRDefault="000B021C" w:rsidP="000B021C">
      <w:pPr>
        <w:rPr>
          <w:noProof/>
        </w:rPr>
      </w:pPr>
    </w:p>
    <w:p w14:paraId="5831F440" w14:textId="77777777" w:rsidR="000B021C" w:rsidRDefault="000B021C" w:rsidP="000B021C">
      <w:pPr>
        <w:rPr>
          <w:noProof/>
        </w:rPr>
      </w:pPr>
    </w:p>
    <w:p w14:paraId="763CA3CA" w14:textId="77777777" w:rsidR="000B021C" w:rsidRDefault="000B021C" w:rsidP="000B021C">
      <w:pPr>
        <w:rPr>
          <w:noProof/>
        </w:rPr>
      </w:pPr>
    </w:p>
    <w:p w14:paraId="64D7CC4D" w14:textId="0B84E6C2" w:rsidR="000B021C" w:rsidRDefault="000B021C" w:rsidP="000B021C">
      <w:pPr>
        <w:pStyle w:val="Paragrafoelenco"/>
        <w:numPr>
          <w:ilvl w:val="0"/>
          <w:numId w:val="11"/>
        </w:numPr>
        <w:jc w:val="both"/>
        <w:rPr>
          <w:noProof/>
        </w:rPr>
      </w:pPr>
      <w:r>
        <w:rPr>
          <w:noProof/>
        </w:rPr>
        <w:lastRenderedPageBreak/>
        <w:t xml:space="preserve">Measuring core temperature; from </w:t>
      </w:r>
      <w:r w:rsidRPr="000B021C">
        <w:rPr>
          <w:i/>
          <w:iCs/>
          <w:noProof/>
        </w:rPr>
        <w:t xml:space="preserve"> </w:t>
      </w:r>
      <w:r w:rsidRPr="000B021C">
        <w:rPr>
          <w:i/>
          <w:iCs/>
          <w:noProof/>
        </w:rPr>
        <w:fldChar w:fldCharType="begin" w:fldLock="1"/>
      </w:r>
      <w:r w:rsidRPr="000B021C">
        <w:rPr>
          <w:i/>
          <w:iCs/>
          <w:noProof/>
        </w:rPr>
        <w:instrText>ADDIN CSL_CITATION {"citationItems":[{"id":"ITEM-1","itemData":{"DOI":"10.1016/j.buildenv.2023.110322","ISSN":"03601323","abstract":"This study conducted a series of human subject experiments on shower thermal comfort to investigate the dynamic thermal responses under different conditions. Questionnaires (including thermal sensation votes, thermal comfort votes, sweating sensation votes, and mood-related votes) and physiological parameters (including skin temperature, core temperature, heart rate, blood pressure, and brain waves) were collected from 27 subjects. The results showed that the subjects’ comfort-related votes changed dynamically during the pre-, mid-, and post-showering phases. The changes in thermal sensation, thermal comfort, fatigue relieving, and sweating sensation during the 10-min shower were 0.7 ± 0.8, 0.9 ± 1.2, 0.9 ± 1.0, and 0.9 ± 0.9, respectively. After a 10-min shower, 16 mood-related questions were answered toward positively. The heart rate and mean skin temperature of the subjects increased by approximately 10% and 8%, respectively. The body temperature tended to be more uniform, with smaller temperature differences between the trunk and extremities. The changes in core temperature, blood pressure, and brain waves were less significant because the reference test condition (25 °C air temperature, 40 °C showering water temperature, and 10-min duration) was not intensive. Further analyses indicated showering water temperature and duration were the most significant factors affecting the mid-showering thermal comfort. The ambient temperature and airspeed were the most significant factors affecting post-showering thermal comfort. The initial thermal status primarily affects thermal comfort before showering. No significant difference was observed between the elder and the younger subjects under moderate conditions.","author":[{"dropping-particle":"","family":"Luo","given":"Maohui","non-dropping-particle":"","parse-names":false,"suffix":""},{"dropping-particle":"","family":"Xu","given":"Shuang","non-dropping-particle":"","parse-names":false,"suffix":""},{"dropping-particle":"","family":"Tang","given":"Yin","non-dropping-particle":"","parse-names":false,"suffix":""},{"dropping-particle":"","family":"Yu","given":"Hang","non-dropping-particle":"","parse-names":false,"suffix":""},{"dropping-particle":"","family":"Zhou","given":"Xiang","non-dropping-particle":"","parse-names":false,"suffix":""},{"dropping-particle":"","family":"Chen","given":"Zong","non-dropping-particle":"","parse-names":false,"suffix":""}],"container-title":"Building and Environment","id":"ITEM-1","issue":"April","issued":{"date-parts":[["2023"]]},"page":"110322","publisher":"Elsevier Ltd","title":"Dynamic thermal responses and showering thermal comfort under different conditions","type":"article-journal","volume":"237"},"uris":["http://www.mendeley.com/documents/?uuid=d853a915-d336-40ce-909f-30ff09399f69"]}],"mendeley":{"formattedCitation":"(Luo et al., 2023)","plainTextFormattedCitation":"(Luo et al., 2023)","previouslyFormattedCitation":"(Luo et al., 2023)"},"properties":{"noteIndex":0},"schema":"https://github.com/citation-style-language/schema/raw/master/csl-citation.json"}</w:instrText>
      </w:r>
      <w:r w:rsidRPr="000B021C">
        <w:rPr>
          <w:i/>
          <w:iCs/>
          <w:noProof/>
        </w:rPr>
        <w:fldChar w:fldCharType="separate"/>
      </w:r>
      <w:r w:rsidRPr="000B021C">
        <w:rPr>
          <w:iCs/>
          <w:noProof/>
        </w:rPr>
        <w:t>(Luo et al., 2023)</w:t>
      </w:r>
      <w:r w:rsidRPr="000B021C">
        <w:rPr>
          <w:i/>
          <w:iCs/>
          <w:noProof/>
        </w:rPr>
        <w:fldChar w:fldCharType="end"/>
      </w:r>
      <w:r w:rsidRPr="000B021C">
        <w:rPr>
          <w:i/>
          <w:iCs/>
          <w:noProof/>
        </w:rPr>
        <w:t xml:space="preserve">: </w:t>
      </w:r>
      <w:r w:rsidRPr="000B021C">
        <w:rPr>
          <w:noProof/>
        </w:rPr>
        <w:t xml:space="preserve">a pill can be ingested, measure the core temperature </w:t>
      </w:r>
      <w:r>
        <w:rPr>
          <w:noProof/>
        </w:rPr>
        <w:t xml:space="preserve">from the throat the the liver, and return data to a momnitor (it includes 10 pills). </w:t>
      </w:r>
      <w:r w:rsidR="00AA4C69">
        <w:rPr>
          <w:b/>
          <w:bCs/>
          <w:noProof/>
        </w:rPr>
        <w:t>2000</w:t>
      </w:r>
      <w:r w:rsidRPr="000B021C">
        <w:rPr>
          <w:b/>
          <w:bCs/>
          <w:noProof/>
        </w:rPr>
        <w:t xml:space="preserve"> $</w:t>
      </w:r>
    </w:p>
    <w:p w14:paraId="48C2C628" w14:textId="64DC971A" w:rsidR="000B021C" w:rsidRDefault="000B021C" w:rsidP="000B021C">
      <w:pPr>
        <w:rPr>
          <w:noProof/>
        </w:rPr>
      </w:pPr>
      <w:r>
        <w:rPr>
          <w:noProof/>
        </w:rPr>
        <w:drawing>
          <wp:inline distT="0" distB="0" distL="0" distR="0" wp14:anchorId="598A5163" wp14:editId="7D9D9BC8">
            <wp:extent cx="1901190" cy="1901190"/>
            <wp:effectExtent l="0" t="0" r="3810" b="3810"/>
            <wp:docPr id="2018933512" name="Picture 3" descr="BodyCap eCelsius Performance Starter Ki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3512" name="Picture 3" descr="BodyCap eCelsius Performance Starter Ki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190" cy="1901190"/>
                    </a:xfrm>
                    <a:prstGeom prst="rect">
                      <a:avLst/>
                    </a:prstGeom>
                    <a:noFill/>
                    <a:ln>
                      <a:noFill/>
                    </a:ln>
                  </pic:spPr>
                </pic:pic>
              </a:graphicData>
            </a:graphic>
          </wp:inline>
        </w:drawing>
      </w:r>
    </w:p>
    <w:p w14:paraId="308163D1" w14:textId="77777777" w:rsidR="000B021C" w:rsidRDefault="000B021C" w:rsidP="000B021C">
      <w:pPr>
        <w:rPr>
          <w:noProof/>
        </w:rPr>
      </w:pPr>
    </w:p>
    <w:p w14:paraId="64561AFA" w14:textId="39906F58" w:rsidR="000B021C" w:rsidRDefault="000B021C" w:rsidP="000B021C">
      <w:pPr>
        <w:pStyle w:val="Paragrafoelenco"/>
        <w:numPr>
          <w:ilvl w:val="0"/>
          <w:numId w:val="11"/>
        </w:numPr>
        <w:rPr>
          <w:noProof/>
        </w:rPr>
      </w:pPr>
      <w:r>
        <w:rPr>
          <w:noProof/>
        </w:rPr>
        <w:t>Measuring skin tem</w:t>
      </w:r>
      <w:r w:rsidRPr="000B021C">
        <w:rPr>
          <w:noProof/>
        </w:rPr>
        <w:t xml:space="preserve">perature from  </w:t>
      </w:r>
      <w:r w:rsidRPr="000B021C">
        <w:rPr>
          <w:noProof/>
        </w:rPr>
        <w:fldChar w:fldCharType="begin" w:fldLock="1"/>
      </w:r>
      <w:r>
        <w:rPr>
          <w:noProof/>
        </w:rPr>
        <w:instrText>ADDIN CSL_CITATION {"citationItems":[{"id":"ITEM-1","itemData":{"DOI":"10.1016/j.buildenv.2023.110322","ISSN":"03601323","abstract":"This study conducted a series of human subject experiments on shower thermal comfort to investigate the dynamic thermal responses under different conditions. Questionnaires (including thermal sensation votes, thermal comfort votes, sweating sensation votes, and mood-related votes) and physiological parameters (including skin temperature, core temperature, heart rate, blood pressure, and brain waves) were collected from 27 subjects. The results showed that the subjects’ comfort-related votes changed dynamically during the pre-, mid-, and post-showering phases. The changes in thermal sensation, thermal comfort, fatigue relieving, and sweating sensation during the 10-min shower were 0.7 ± 0.8, 0.9 ± 1.2, 0.9 ± 1.0, and 0.9 ± 0.9, respectively. After a 10-min shower, 16 mood-related questions were answered toward positively. The heart rate and mean skin temperature of the subjects increased by approximately 10% and 8%, respectively. The body temperature tended to be more uniform, with smaller temperature differences between the trunk and extremities. The changes in core temperature, blood pressure, and brain waves were less significant because the reference test condition (25 °C air temperature, 40 °C showering water temperature, and 10-min duration) was not intensive. Further analyses indicated showering water temperature and duration were the most significant factors affecting the mid-showering thermal comfort. The ambient temperature and airspeed were the most significant factors affecting post-showering thermal comfort. The initial thermal status primarily affects thermal comfort before showering. No significant difference was observed between the elder and the younger subjects under moderate conditions.","author":[{"dropping-particle":"","family":"Luo","given":"Maohui","non-dropping-particle":"","parse-names":false,"suffix":""},{"dropping-particle":"","family":"Xu","given":"Shuang","non-dropping-particle":"","parse-names":false,"suffix":""},{"dropping-particle":"","family":"Tang","given":"Yin","non-dropping-particle":"","parse-names":false,"suffix":""},{"dropping-particle":"","family":"Yu","given":"Hang","non-dropping-particle":"","parse-names":false,"suffix":""},{"dropping-particle":"","family":"Zhou","given":"Xiang","non-dropping-particle":"","parse-names":false,"suffix":""},{"dropping-particle":"","family":"Chen","given":"Zong","non-dropping-particle":"","parse-names":false,"suffix":""}],"container-title":"Building and Environment","id":"ITEM-1","issue":"April","issued":{"date-parts":[["2023"]]},"page":"110322","publisher":"Elsevier Ltd","title":"Dynamic thermal responses and showering thermal comfort under different conditions","type":"article-journal","volume":"237"},"uris":["http://www.mendeley.com/documents/?uuid=d853a915-d336-40ce-909f-30ff09399f69"]}],"mendeley":{"formattedCitation":"(Luo et al., 2023)","plainTextFormattedCitation":"(Luo et al., 2023)","previouslyFormattedCitation":"(Luo et al., 2023)"},"properties":{"noteIndex":0},"schema":"https://github.com/citation-style-language/schema/raw/master/csl-citation.json"}</w:instrText>
      </w:r>
      <w:r w:rsidRPr="000B021C">
        <w:rPr>
          <w:noProof/>
        </w:rPr>
        <w:fldChar w:fldCharType="separate"/>
      </w:r>
      <w:r w:rsidRPr="000B021C">
        <w:rPr>
          <w:noProof/>
        </w:rPr>
        <w:t>(Luo et al., 2023)</w:t>
      </w:r>
      <w:r w:rsidRPr="000B021C">
        <w:rPr>
          <w:noProof/>
        </w:rPr>
        <w:fldChar w:fldCharType="end"/>
      </w:r>
      <w:r w:rsidRPr="000B021C">
        <w:rPr>
          <w:noProof/>
        </w:rPr>
        <w:t>. See technical details about the use</w:t>
      </w:r>
      <w:r>
        <w:rPr>
          <w:noProof/>
        </w:rPr>
        <w:t xml:space="preserve"> </w:t>
      </w:r>
      <w:r>
        <w:rPr>
          <w:noProof/>
        </w:rPr>
        <w:fldChar w:fldCharType="begin" w:fldLock="1"/>
      </w:r>
      <w:r>
        <w:rPr>
          <w:noProof/>
        </w:rPr>
        <w:instrText>ADDIN CSL_CITATION {"citationItems":[{"id":"ITEM-1","itemData":{"DOI":"https://doi.org/10.1016/j.physbeh.2006.04.026","ISSN":"0031-9384","abstract":"Measurements of skin temperatures are often complicated because of the use of wired sensors. This is so in field studies, but also holds for many laboratory conditions. This article describes a wireless temperature system for human skin temperature measurements, i.e. the Thermochron iButton DS1291H. The study deals with validation of the iButton and its application on the human skin, and describes clinical and field measurements. The validation study shows that iButtons have a mean accuracy of −0.09 °C (−0.4 °C at most) with a precision of 0.05 °C (0.09 °C at most). These properties can be improved by using calibration. Due to the size of the device the response time is longer than that of conventional sensors, with a τ in water of 19 s. On the human skin under transient conditions the response time is significantly longer, revealing momentary deviations with a magnitude of 1 °C. The use of iButtons has been described in studies on circadian rhythms, sleep and cardiac surgery. With respect to circadian rhythm and sleep research, skin temperature assessment by iButtons is of significant value in laboratory, clinical and home situations. We demonstrate that differences in laboratory and field measurements add to our understanding of thermophysiology under natural living conditions. The advantage of iButtons in surgery research is that they are easy to sterilize and wireless so that they do not hinder the surgical procedure. In conclusion, the application of iButtons is advantageous for measuring skin temperatures in those situations in which wired instruments are unpractical and fast responses are not required.","author":[{"dropping-particle":"","family":"Marken Lichtenbelt","given":"Wouter D","non-dropping-particle":"van","parse-names":false,"suffix":""},{"dropping-particle":"","family":"Daanen","given":"Hein A M","non-dropping-particle":"","parse-names":false,"suffix":""},{"dropping-particle":"","family":"Wouters","given":"Loek","non-dropping-particle":"","parse-names":false,"suffix":""},{"dropping-particle":"","family":"Fronczek","given":"Rolf","non-dropping-particle":"","parse-names":false,"suffix":""},{"dropping-particle":"","family":"Raymann","given":"Roy J E M","non-dropping-particle":"","parse-names":false,"suffix":""},{"dropping-particle":"","family":"Severens","given":"Natascha M W","non-dropping-particle":"","parse-names":false,"suffix":""},{"dropping-particle":"","family":"Someren","given":"Eus J W","non-dropping-particle":"Van","parse-names":false,"suffix":""}],"container-title":"Physiology &amp; Behavior","id":"ITEM-1","issue":"4","issued":{"date-parts":[["2006"]]},"page":"489-497","title":"Evaluation of wireless determination of skin temperature using iButtons","type":"article-journal","volume":"88"},"uris":["http://www.mendeley.com/documents/?uuid=5c672e52-2fc4-4f45-8c6f-7bb4b3108770"]}],"mendeley":{"formattedCitation":"(van Marken Lichtenbelt et al., 2006)","plainTextFormattedCitation":"(van Marken Lichtenbelt et al., 2006)"},"properties":{"noteIndex":0},"schema":"https://github.com/citation-style-language/schema/raw/master/csl-citation.json"}</w:instrText>
      </w:r>
      <w:r>
        <w:rPr>
          <w:noProof/>
        </w:rPr>
        <w:fldChar w:fldCharType="separate"/>
      </w:r>
      <w:r w:rsidRPr="000B021C">
        <w:rPr>
          <w:noProof/>
        </w:rPr>
        <w:t>(van Marken Lichtenbelt et al., 2006)</w:t>
      </w:r>
      <w:r>
        <w:rPr>
          <w:noProof/>
        </w:rPr>
        <w:fldChar w:fldCharType="end"/>
      </w:r>
      <w:r w:rsidRPr="000B021C">
        <w:rPr>
          <w:noProof/>
        </w:rPr>
        <w:t>.</w:t>
      </w:r>
      <w:r>
        <w:rPr>
          <w:noProof/>
        </w:rPr>
        <w:t xml:space="preserve"> </w:t>
      </w:r>
      <w:r w:rsidRPr="000B021C">
        <w:rPr>
          <w:b/>
          <w:bCs/>
          <w:noProof/>
        </w:rPr>
        <w:t>100 $</w:t>
      </w:r>
    </w:p>
    <w:p w14:paraId="4CD118D4" w14:textId="461652FD" w:rsidR="000B021C" w:rsidRDefault="000B021C" w:rsidP="000B021C">
      <w:pPr>
        <w:rPr>
          <w:noProof/>
        </w:rPr>
      </w:pPr>
      <w:r w:rsidRPr="000B021C">
        <w:rPr>
          <w:noProof/>
        </w:rPr>
        <w:drawing>
          <wp:inline distT="0" distB="0" distL="0" distR="0" wp14:anchorId="19FFFE65" wp14:editId="790F0A67">
            <wp:extent cx="3208645" cy="2406650"/>
            <wp:effectExtent l="0" t="0" r="0" b="0"/>
            <wp:docPr id="205705007" name="Picture 1" descr="A picture containing coin, money, metal, currency&#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007" name="Picture 1" descr="A picture containing coin, money, metal, currency&#10;&#10;Description automatically generated">
                      <a:hlinkClick r:id="rId23"/>
                    </pic:cNvPr>
                    <pic:cNvPicPr/>
                  </pic:nvPicPr>
                  <pic:blipFill>
                    <a:blip r:embed="rId24"/>
                    <a:stretch>
                      <a:fillRect/>
                    </a:stretch>
                  </pic:blipFill>
                  <pic:spPr>
                    <a:xfrm>
                      <a:off x="0" y="0"/>
                      <a:ext cx="3209908" cy="2407598"/>
                    </a:xfrm>
                    <a:prstGeom prst="rect">
                      <a:avLst/>
                    </a:prstGeom>
                  </pic:spPr>
                </pic:pic>
              </a:graphicData>
            </a:graphic>
          </wp:inline>
        </w:drawing>
      </w:r>
      <w:r w:rsidRPr="000B021C">
        <w:rPr>
          <w:noProof/>
        </w:rPr>
        <w:t xml:space="preserve"> </w:t>
      </w:r>
      <w:r w:rsidRPr="000B021C">
        <w:rPr>
          <w:noProof/>
        </w:rPr>
        <w:drawing>
          <wp:inline distT="0" distB="0" distL="0" distR="0" wp14:anchorId="12561CA0" wp14:editId="2D783ED4">
            <wp:extent cx="2724044" cy="2120900"/>
            <wp:effectExtent l="0" t="0" r="635" b="0"/>
            <wp:docPr id="1301692757" name="Picture 1" descr="A diagram of a butt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92757" name="Picture 1" descr="A diagram of a button&#10;&#10;Description automatically generated with medium confidence"/>
                    <pic:cNvPicPr/>
                  </pic:nvPicPr>
                  <pic:blipFill>
                    <a:blip r:embed="rId25"/>
                    <a:stretch>
                      <a:fillRect/>
                    </a:stretch>
                  </pic:blipFill>
                  <pic:spPr>
                    <a:xfrm>
                      <a:off x="0" y="0"/>
                      <a:ext cx="2728720" cy="2124541"/>
                    </a:xfrm>
                    <a:prstGeom prst="rect">
                      <a:avLst/>
                    </a:prstGeom>
                  </pic:spPr>
                </pic:pic>
              </a:graphicData>
            </a:graphic>
          </wp:inline>
        </w:drawing>
      </w:r>
    </w:p>
    <w:p w14:paraId="23285E09" w14:textId="77777777" w:rsidR="000B021C" w:rsidRDefault="000B021C" w:rsidP="000B021C">
      <w:pPr>
        <w:rPr>
          <w:noProof/>
        </w:rPr>
      </w:pPr>
    </w:p>
    <w:p w14:paraId="35E69C30" w14:textId="0320727A" w:rsidR="000B021C" w:rsidRDefault="000B021C" w:rsidP="00D85722">
      <w:pPr>
        <w:pStyle w:val="Paragrafoelenco"/>
        <w:numPr>
          <w:ilvl w:val="0"/>
          <w:numId w:val="11"/>
        </w:numPr>
        <w:rPr>
          <w:noProof/>
        </w:rPr>
      </w:pPr>
      <w:r>
        <w:rPr>
          <w:noProof/>
        </w:rPr>
        <w:t>Infrared temperature</w:t>
      </w:r>
      <w:r w:rsidR="003F50C9">
        <w:rPr>
          <w:noProof/>
        </w:rPr>
        <w:t xml:space="preserve"> </w:t>
      </w:r>
      <w:r w:rsidR="003F50C9" w:rsidRPr="000B021C">
        <w:rPr>
          <w:noProof/>
        </w:rPr>
        <w:t xml:space="preserve">from  </w:t>
      </w:r>
      <w:r w:rsidR="003F50C9" w:rsidRPr="000B021C">
        <w:rPr>
          <w:noProof/>
        </w:rPr>
        <w:fldChar w:fldCharType="begin" w:fldLock="1"/>
      </w:r>
      <w:r w:rsidR="003F50C9">
        <w:rPr>
          <w:noProof/>
        </w:rPr>
        <w:instrText>ADDIN CSL_CITATION {"citationItems":[{"id":"ITEM-1","itemData":{"DOI":"10.1016/j.buildenv.2023.110322","ISSN":"03601323","abstract":"This study conducted a series of human subject experiments on shower thermal comfort to investigate the dynamic thermal responses under different conditions. Questionnaires (including thermal sensation votes, thermal comfort votes, sweating sensation votes, and mood-related votes) and physiological parameters (including skin temperature, core temperature, heart rate, blood pressure, and brain waves) were collected from 27 subjects. The results showed that the subjects’ comfort-related votes changed dynamically during the pre-, mid-, and post-showering phases. The changes in thermal sensation, thermal comfort, fatigue relieving, and sweating sensation during the 10-min shower were 0.7 ± 0.8, 0.9 ± 1.2, 0.9 ± 1.0, and 0.9 ± 0.9, respectively. After a 10-min shower, 16 mood-related questions were answered toward positively. The heart rate and mean skin temperature of the subjects increased by approximately 10% and 8%, respectively. The body temperature tended to be more uniform, with smaller temperature differences between the trunk and extremities. The changes in core temperature, blood pressure, and brain waves were less significant because the reference test condition (25 °C air temperature, 40 °C showering water temperature, and 10-min duration) was not intensive. Further analyses indicated showering water temperature and duration were the most significant factors affecting the mid-showering thermal comfort. The ambient temperature and airspeed were the most significant factors affecting post-showering thermal comfort. The initial thermal status primarily affects thermal comfort before showering. No significant difference was observed between the elder and the younger subjects under moderate conditions.","author":[{"dropping-particle":"","family":"Luo","given":"Maohui","non-dropping-particle":"","parse-names":false,"suffix":""},{"dropping-particle":"","family":"Xu","given":"Shuang","non-dropping-particle":"","parse-names":false,"suffix":""},{"dropping-particle":"","family":"Tang","given":"Yin","non-dropping-particle":"","parse-names":false,"suffix":""},{"dropping-particle":"","family":"Yu","given":"Hang","non-dropping-particle":"","parse-names":false,"suffix":""},{"dropping-particle":"","family":"Zhou","given":"Xiang","non-dropping-particle":"","parse-names":false,"suffix":""},{"dropping-particle":"","family":"Chen","given":"Zong","non-dropping-particle":"","parse-names":false,"suffix":""}],"container-title":"Building and Environment","id":"ITEM-1","issue":"April","issued":{"date-parts":[["2023"]]},"page":"110322","publisher":"Elsevier Ltd","title":"Dynamic thermal responses and showering thermal comfort under different conditions","type":"article-journal","volume":"237"},"uris":["http://www.mendeley.com/documents/?uuid=d853a915-d336-40ce-909f-30ff09399f69"]}],"mendeley":{"formattedCitation":"(Luo et al., 2023)","plainTextFormattedCitation":"(Luo et al., 2023)","previouslyFormattedCitation":"(Luo et al., 2023)"},"properties":{"noteIndex":0},"schema":"https://github.com/citation-style-language/schema/raw/master/csl-citation.json"}</w:instrText>
      </w:r>
      <w:r w:rsidR="003F50C9" w:rsidRPr="000B021C">
        <w:rPr>
          <w:noProof/>
        </w:rPr>
        <w:fldChar w:fldCharType="separate"/>
      </w:r>
      <w:r w:rsidR="003F50C9" w:rsidRPr="000B021C">
        <w:rPr>
          <w:noProof/>
        </w:rPr>
        <w:t>(Luo et al., 2023)</w:t>
      </w:r>
      <w:r w:rsidR="003F50C9" w:rsidRPr="000B021C">
        <w:rPr>
          <w:noProof/>
        </w:rPr>
        <w:fldChar w:fldCharType="end"/>
      </w:r>
      <w:r>
        <w:rPr>
          <w:noProof/>
        </w:rPr>
        <w:t>,</w:t>
      </w:r>
      <w:r w:rsidRPr="000B021C">
        <w:rPr>
          <w:b/>
          <w:bCs/>
          <w:noProof/>
        </w:rPr>
        <w:t xml:space="preserve"> </w:t>
      </w:r>
      <w:r w:rsidR="00705DCD">
        <w:rPr>
          <w:b/>
          <w:bCs/>
          <w:noProof/>
        </w:rPr>
        <w:t>3000</w:t>
      </w:r>
      <w:r w:rsidRPr="000B021C">
        <w:rPr>
          <w:b/>
          <w:bCs/>
          <w:noProof/>
        </w:rPr>
        <w:t>€</w:t>
      </w:r>
    </w:p>
    <w:p w14:paraId="265436A2" w14:textId="2F8172C5" w:rsidR="000B021C" w:rsidRDefault="000B021C" w:rsidP="000B021C">
      <w:pPr>
        <w:pStyle w:val="Paragrafoelenco"/>
        <w:rPr>
          <w:noProof/>
        </w:rPr>
      </w:pPr>
    </w:p>
    <w:p w14:paraId="598CB84A" w14:textId="77777777" w:rsidR="003F50C9" w:rsidRDefault="003F50C9" w:rsidP="000B021C">
      <w:pPr>
        <w:pStyle w:val="Paragrafoelenco"/>
        <w:rPr>
          <w:noProof/>
        </w:rPr>
      </w:pPr>
    </w:p>
    <w:p w14:paraId="2B7DD0B1" w14:textId="77777777" w:rsidR="000B021C" w:rsidRDefault="000B021C" w:rsidP="000B021C">
      <w:pPr>
        <w:pStyle w:val="Paragrafoelenco"/>
        <w:rPr>
          <w:noProof/>
        </w:rPr>
      </w:pPr>
    </w:p>
    <w:p w14:paraId="08EA0766" w14:textId="77777777" w:rsidR="000B021C" w:rsidRDefault="000B021C" w:rsidP="000B021C">
      <w:pPr>
        <w:pStyle w:val="Paragrafoelenco"/>
        <w:rPr>
          <w:noProof/>
        </w:rPr>
      </w:pPr>
    </w:p>
    <w:p w14:paraId="2AE821BC" w14:textId="68637103" w:rsidR="000B021C" w:rsidRPr="004A0F55" w:rsidRDefault="000B021C" w:rsidP="000B021C">
      <w:pPr>
        <w:pStyle w:val="Paragrafoelenco"/>
        <w:numPr>
          <w:ilvl w:val="0"/>
          <w:numId w:val="11"/>
        </w:numPr>
        <w:rPr>
          <w:noProof/>
        </w:rPr>
      </w:pPr>
      <w:r>
        <w:rPr>
          <w:noProof/>
        </w:rPr>
        <w:t xml:space="preserve">Heart rate FitBit Inspire 2: </w:t>
      </w:r>
      <w:r w:rsidR="00AA4C69">
        <w:rPr>
          <w:b/>
          <w:bCs/>
          <w:noProof/>
        </w:rPr>
        <w:t>100</w:t>
      </w:r>
      <w:r w:rsidRPr="000B021C">
        <w:rPr>
          <w:b/>
          <w:bCs/>
          <w:noProof/>
        </w:rPr>
        <w:t>€</w:t>
      </w:r>
    </w:p>
    <w:p w14:paraId="5D4656C8" w14:textId="77777777" w:rsidR="004A0F55" w:rsidRDefault="004A0F55" w:rsidP="004A0F55">
      <w:pPr>
        <w:ind w:left="360"/>
        <w:rPr>
          <w:noProof/>
        </w:rPr>
      </w:pPr>
    </w:p>
    <w:p w14:paraId="3C6A73F3" w14:textId="13686A2A" w:rsidR="000B021C" w:rsidRDefault="000B021C" w:rsidP="000B021C">
      <w:pPr>
        <w:pStyle w:val="Paragrafoelenco"/>
        <w:rPr>
          <w:noProof/>
        </w:rPr>
      </w:pPr>
      <w:r>
        <w:rPr>
          <w:noProof/>
        </w:rPr>
        <w:lastRenderedPageBreak/>
        <w:drawing>
          <wp:inline distT="0" distB="0" distL="0" distR="0" wp14:anchorId="2524152D" wp14:editId="3C9EC5D8">
            <wp:extent cx="2259330" cy="2860675"/>
            <wp:effectExtent l="0" t="0" r="7620" b="0"/>
            <wp:docPr id="764214418" name="Picture 4" descr="Fitbit Inspire 2 - Tracker per Fitness e Benessere con Un Anno di Prova Gratuita del Servizio Fitbit Premium, Rilevazione Continua Battito Cardiaco, Durata Batteria fino a 10 giorni, Blac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4418" name="Picture 4" descr="Fitbit Inspire 2 - Tracker per Fitness e Benessere con Un Anno di Prova Gratuita del Servizio Fitbit Premium, Rilevazione Continua Battito Cardiaco, Durata Batteria fino a 10 giorni, Black">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9330" cy="2860675"/>
                    </a:xfrm>
                    <a:prstGeom prst="rect">
                      <a:avLst/>
                    </a:prstGeom>
                    <a:noFill/>
                    <a:ln>
                      <a:noFill/>
                    </a:ln>
                  </pic:spPr>
                </pic:pic>
              </a:graphicData>
            </a:graphic>
          </wp:inline>
        </w:drawing>
      </w:r>
    </w:p>
    <w:p w14:paraId="16C6FF12" w14:textId="77777777" w:rsidR="003F50C9" w:rsidRDefault="003F50C9" w:rsidP="003F50C9">
      <w:pPr>
        <w:rPr>
          <w:noProof/>
        </w:rPr>
      </w:pPr>
    </w:p>
    <w:p w14:paraId="25D550C6" w14:textId="5DF836FF" w:rsidR="003F50C9" w:rsidRDefault="003F50C9" w:rsidP="004745A2">
      <w:pPr>
        <w:pStyle w:val="Paragrafoelenco"/>
        <w:numPr>
          <w:ilvl w:val="0"/>
          <w:numId w:val="11"/>
        </w:numPr>
        <w:rPr>
          <w:noProof/>
        </w:rPr>
      </w:pPr>
      <w:r>
        <w:rPr>
          <w:noProof/>
        </w:rPr>
        <w:t xml:space="preserve">Thermal comfort station: </w:t>
      </w:r>
      <w:r w:rsidRPr="00AA4C69">
        <w:rPr>
          <w:b/>
          <w:bCs/>
          <w:noProof/>
        </w:rPr>
        <w:t>100 €</w:t>
      </w:r>
    </w:p>
    <w:p w14:paraId="4741B3E2" w14:textId="1FE8A732" w:rsidR="003F50C9" w:rsidRDefault="00150CC7" w:rsidP="003F50C9">
      <w:pPr>
        <w:ind w:left="360"/>
        <w:rPr>
          <w:noProof/>
        </w:rPr>
      </w:pPr>
      <w:r>
        <w:rPr>
          <w:noProof/>
        </w:rPr>
        <w:drawing>
          <wp:inline distT="0" distB="0" distL="0" distR="0" wp14:anchorId="694E6BED" wp14:editId="540FF0FB">
            <wp:extent cx="3381153" cy="3381153"/>
            <wp:effectExtent l="0" t="0" r="0" b="0"/>
            <wp:docPr id="624687321" name="Picture 9" descr="RHT-Climate-WM-485-LC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7321" name="Picture 9" descr="RHT-Climate-WM-485-LC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6615" cy="3386615"/>
                    </a:xfrm>
                    <a:prstGeom prst="rect">
                      <a:avLst/>
                    </a:prstGeom>
                    <a:noFill/>
                    <a:ln>
                      <a:noFill/>
                    </a:ln>
                  </pic:spPr>
                </pic:pic>
              </a:graphicData>
            </a:graphic>
          </wp:inline>
        </w:drawing>
      </w:r>
    </w:p>
    <w:p w14:paraId="630EA2C3" w14:textId="597C989D" w:rsidR="003F50C9" w:rsidRDefault="003F50C9" w:rsidP="004745A2">
      <w:pPr>
        <w:pStyle w:val="Paragrafoelenco"/>
        <w:numPr>
          <w:ilvl w:val="0"/>
          <w:numId w:val="11"/>
        </w:numPr>
        <w:rPr>
          <w:noProof/>
        </w:rPr>
      </w:pPr>
      <w:r>
        <w:rPr>
          <w:noProof/>
        </w:rPr>
        <w:t xml:space="preserve">Tapis roulant, </w:t>
      </w:r>
      <w:r w:rsidR="00275455">
        <w:rPr>
          <w:b/>
          <w:bCs/>
          <w:noProof/>
        </w:rPr>
        <w:t>4</w:t>
      </w:r>
      <w:r w:rsidRPr="00AA4C69">
        <w:rPr>
          <w:b/>
          <w:bCs/>
          <w:noProof/>
        </w:rPr>
        <w:t>000 €</w:t>
      </w:r>
    </w:p>
    <w:p w14:paraId="6075B3CB" w14:textId="46A7D41F" w:rsidR="00AA4C69" w:rsidRPr="00AA4C69" w:rsidRDefault="00AA4C69" w:rsidP="003F50C9">
      <w:pPr>
        <w:ind w:left="360"/>
        <w:rPr>
          <w:b/>
          <w:bCs/>
          <w:noProof/>
          <w:u w:val="single"/>
        </w:rPr>
      </w:pPr>
    </w:p>
    <w:sectPr w:rsidR="00AA4C69" w:rsidRPr="00AA4C69" w:rsidSect="00C2612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0FC0B" w14:textId="77777777" w:rsidR="00947713" w:rsidRDefault="00947713" w:rsidP="009F494A">
      <w:pPr>
        <w:spacing w:after="0" w:line="240" w:lineRule="auto"/>
      </w:pPr>
      <w:r>
        <w:separator/>
      </w:r>
    </w:p>
  </w:endnote>
  <w:endnote w:type="continuationSeparator" w:id="0">
    <w:p w14:paraId="56331A48" w14:textId="77777777" w:rsidR="00947713" w:rsidRDefault="00947713" w:rsidP="009F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972236"/>
      <w:docPartObj>
        <w:docPartGallery w:val="Page Numbers (Bottom of Page)"/>
        <w:docPartUnique/>
      </w:docPartObj>
    </w:sdtPr>
    <w:sdtEndPr>
      <w:rPr>
        <w:noProof/>
      </w:rPr>
    </w:sdtEndPr>
    <w:sdtContent>
      <w:p w14:paraId="0C5FEB07" w14:textId="2DC37C40" w:rsidR="009F494A" w:rsidRDefault="009F494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44AEDD49" w14:textId="77777777" w:rsidR="009F494A" w:rsidRDefault="009F49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0EC2C" w14:textId="77777777" w:rsidR="00947713" w:rsidRDefault="00947713" w:rsidP="009F494A">
      <w:pPr>
        <w:spacing w:after="0" w:line="240" w:lineRule="auto"/>
      </w:pPr>
      <w:r>
        <w:separator/>
      </w:r>
    </w:p>
  </w:footnote>
  <w:footnote w:type="continuationSeparator" w:id="0">
    <w:p w14:paraId="4C121E63" w14:textId="77777777" w:rsidR="00947713" w:rsidRDefault="00947713" w:rsidP="009F4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276C"/>
    <w:multiLevelType w:val="hybridMultilevel"/>
    <w:tmpl w:val="3572E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5682F"/>
    <w:multiLevelType w:val="hybridMultilevel"/>
    <w:tmpl w:val="1D80F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B331E7"/>
    <w:multiLevelType w:val="hybridMultilevel"/>
    <w:tmpl w:val="4B44B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D64E71"/>
    <w:multiLevelType w:val="hybridMultilevel"/>
    <w:tmpl w:val="62D288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CA1E7B"/>
    <w:multiLevelType w:val="hybridMultilevel"/>
    <w:tmpl w:val="0930BB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5848FF"/>
    <w:multiLevelType w:val="hybridMultilevel"/>
    <w:tmpl w:val="F754F8D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C03346"/>
    <w:multiLevelType w:val="hybridMultilevel"/>
    <w:tmpl w:val="A5BC8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B3D58"/>
    <w:multiLevelType w:val="hybridMultilevel"/>
    <w:tmpl w:val="02BC6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FE2C78"/>
    <w:multiLevelType w:val="hybridMultilevel"/>
    <w:tmpl w:val="62D28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E46C75"/>
    <w:multiLevelType w:val="hybridMultilevel"/>
    <w:tmpl w:val="084C9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8037B"/>
    <w:multiLevelType w:val="hybridMultilevel"/>
    <w:tmpl w:val="FA368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6"/>
  </w:num>
  <w:num w:numId="5">
    <w:abstractNumId w:val="5"/>
  </w:num>
  <w:num w:numId="6">
    <w:abstractNumId w:val="0"/>
  </w:num>
  <w:num w:numId="7">
    <w:abstractNumId w:val="8"/>
  </w:num>
  <w:num w:numId="8">
    <w:abstractNumId w:val="3"/>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xsDQyMDc1szAyMDNW0lEKTi0uzszPAykwqgUAghlbjCwAAAA="/>
  </w:docVars>
  <w:rsids>
    <w:rsidRoot w:val="00145658"/>
    <w:rsid w:val="00013CD5"/>
    <w:rsid w:val="00024DDF"/>
    <w:rsid w:val="000434FD"/>
    <w:rsid w:val="0004657A"/>
    <w:rsid w:val="00077A16"/>
    <w:rsid w:val="000B021C"/>
    <w:rsid w:val="000D0C64"/>
    <w:rsid w:val="000D714A"/>
    <w:rsid w:val="00106341"/>
    <w:rsid w:val="00113518"/>
    <w:rsid w:val="00122EF4"/>
    <w:rsid w:val="00145658"/>
    <w:rsid w:val="00150CC7"/>
    <w:rsid w:val="0016740E"/>
    <w:rsid w:val="001C5FE8"/>
    <w:rsid w:val="001D38D5"/>
    <w:rsid w:val="001F6688"/>
    <w:rsid w:val="0020170A"/>
    <w:rsid w:val="00205364"/>
    <w:rsid w:val="00225E38"/>
    <w:rsid w:val="0023621C"/>
    <w:rsid w:val="00275455"/>
    <w:rsid w:val="002C7F81"/>
    <w:rsid w:val="002D1CF1"/>
    <w:rsid w:val="003230DA"/>
    <w:rsid w:val="00342C62"/>
    <w:rsid w:val="00350806"/>
    <w:rsid w:val="00363729"/>
    <w:rsid w:val="00374983"/>
    <w:rsid w:val="003B2D22"/>
    <w:rsid w:val="003C3CB0"/>
    <w:rsid w:val="003F3363"/>
    <w:rsid w:val="003F50C9"/>
    <w:rsid w:val="00416671"/>
    <w:rsid w:val="004216B1"/>
    <w:rsid w:val="00425C72"/>
    <w:rsid w:val="00440FE2"/>
    <w:rsid w:val="0048233F"/>
    <w:rsid w:val="00495D41"/>
    <w:rsid w:val="004A03ED"/>
    <w:rsid w:val="004A0F55"/>
    <w:rsid w:val="004B0100"/>
    <w:rsid w:val="004B5C8C"/>
    <w:rsid w:val="00516D8F"/>
    <w:rsid w:val="00525ACC"/>
    <w:rsid w:val="005C24B8"/>
    <w:rsid w:val="005E3495"/>
    <w:rsid w:val="005E3CF9"/>
    <w:rsid w:val="00650F39"/>
    <w:rsid w:val="006B6AEB"/>
    <w:rsid w:val="006E2A39"/>
    <w:rsid w:val="00705DCD"/>
    <w:rsid w:val="0076679A"/>
    <w:rsid w:val="00781751"/>
    <w:rsid w:val="0078293D"/>
    <w:rsid w:val="00790563"/>
    <w:rsid w:val="007A27DB"/>
    <w:rsid w:val="007B198B"/>
    <w:rsid w:val="007B6354"/>
    <w:rsid w:val="00834A28"/>
    <w:rsid w:val="00861598"/>
    <w:rsid w:val="00886D2A"/>
    <w:rsid w:val="008940EC"/>
    <w:rsid w:val="009059DD"/>
    <w:rsid w:val="00947713"/>
    <w:rsid w:val="009E63E9"/>
    <w:rsid w:val="009F494A"/>
    <w:rsid w:val="009F6BBE"/>
    <w:rsid w:val="009F7638"/>
    <w:rsid w:val="00A02E7B"/>
    <w:rsid w:val="00A11970"/>
    <w:rsid w:val="00A62F9D"/>
    <w:rsid w:val="00A856B6"/>
    <w:rsid w:val="00A86369"/>
    <w:rsid w:val="00AA4C69"/>
    <w:rsid w:val="00AB11F2"/>
    <w:rsid w:val="00AC6513"/>
    <w:rsid w:val="00AF7586"/>
    <w:rsid w:val="00B143C7"/>
    <w:rsid w:val="00B22882"/>
    <w:rsid w:val="00B40F7C"/>
    <w:rsid w:val="00B56710"/>
    <w:rsid w:val="00B660DC"/>
    <w:rsid w:val="00B81B63"/>
    <w:rsid w:val="00B91F6D"/>
    <w:rsid w:val="00BB6906"/>
    <w:rsid w:val="00BC0602"/>
    <w:rsid w:val="00BC4622"/>
    <w:rsid w:val="00BF3412"/>
    <w:rsid w:val="00C26123"/>
    <w:rsid w:val="00CA2F56"/>
    <w:rsid w:val="00CB416B"/>
    <w:rsid w:val="00CB60F8"/>
    <w:rsid w:val="00CE1CC0"/>
    <w:rsid w:val="00CF5604"/>
    <w:rsid w:val="00D02999"/>
    <w:rsid w:val="00D20717"/>
    <w:rsid w:val="00D21262"/>
    <w:rsid w:val="00D76023"/>
    <w:rsid w:val="00E052B5"/>
    <w:rsid w:val="00E6796F"/>
    <w:rsid w:val="00E76882"/>
    <w:rsid w:val="00E84F70"/>
    <w:rsid w:val="00EA403D"/>
    <w:rsid w:val="00EB5355"/>
    <w:rsid w:val="00F243B5"/>
    <w:rsid w:val="00F939B4"/>
    <w:rsid w:val="00FA4A4E"/>
    <w:rsid w:val="00FB6B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82FF6"/>
  <w15:chartTrackingRefBased/>
  <w15:docId w15:val="{68D3D4B7-CDC2-4690-B859-04F126DA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B60F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76023"/>
    <w:pPr>
      <w:ind w:left="720"/>
      <w:contextualSpacing/>
    </w:pPr>
  </w:style>
  <w:style w:type="paragraph" w:styleId="NormaleWeb">
    <w:name w:val="Normal (Web)"/>
    <w:basedOn w:val="Normale"/>
    <w:uiPriority w:val="99"/>
    <w:semiHidden/>
    <w:unhideWhenUsed/>
    <w:rsid w:val="0004657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Testosegnaposto">
    <w:name w:val="Placeholder Text"/>
    <w:basedOn w:val="Carpredefinitoparagrafo"/>
    <w:uiPriority w:val="99"/>
    <w:semiHidden/>
    <w:rsid w:val="005E3CF9"/>
    <w:rPr>
      <w:color w:val="808080"/>
    </w:rPr>
  </w:style>
  <w:style w:type="paragraph" w:styleId="Intestazione">
    <w:name w:val="header"/>
    <w:basedOn w:val="Normale"/>
    <w:link w:val="IntestazioneCarattere"/>
    <w:uiPriority w:val="99"/>
    <w:unhideWhenUsed/>
    <w:rsid w:val="009F49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494A"/>
  </w:style>
  <w:style w:type="paragraph" w:styleId="Pidipagina">
    <w:name w:val="footer"/>
    <w:basedOn w:val="Normale"/>
    <w:link w:val="PidipaginaCarattere"/>
    <w:uiPriority w:val="99"/>
    <w:unhideWhenUsed/>
    <w:rsid w:val="009F49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4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1640">
      <w:bodyDiv w:val="1"/>
      <w:marLeft w:val="0"/>
      <w:marRight w:val="0"/>
      <w:marTop w:val="0"/>
      <w:marBottom w:val="0"/>
      <w:divBdr>
        <w:top w:val="none" w:sz="0" w:space="0" w:color="auto"/>
        <w:left w:val="none" w:sz="0" w:space="0" w:color="auto"/>
        <w:bottom w:val="none" w:sz="0" w:space="0" w:color="auto"/>
        <w:right w:val="none" w:sz="0" w:space="0" w:color="auto"/>
      </w:divBdr>
    </w:div>
    <w:div w:id="313412559">
      <w:bodyDiv w:val="1"/>
      <w:marLeft w:val="0"/>
      <w:marRight w:val="0"/>
      <w:marTop w:val="0"/>
      <w:marBottom w:val="0"/>
      <w:divBdr>
        <w:top w:val="none" w:sz="0" w:space="0" w:color="auto"/>
        <w:left w:val="none" w:sz="0" w:space="0" w:color="auto"/>
        <w:bottom w:val="none" w:sz="0" w:space="0" w:color="auto"/>
        <w:right w:val="none" w:sz="0" w:space="0" w:color="auto"/>
      </w:divBdr>
    </w:div>
    <w:div w:id="344095357">
      <w:bodyDiv w:val="1"/>
      <w:marLeft w:val="0"/>
      <w:marRight w:val="0"/>
      <w:marTop w:val="0"/>
      <w:marBottom w:val="0"/>
      <w:divBdr>
        <w:top w:val="none" w:sz="0" w:space="0" w:color="auto"/>
        <w:left w:val="none" w:sz="0" w:space="0" w:color="auto"/>
        <w:bottom w:val="none" w:sz="0" w:space="0" w:color="auto"/>
        <w:right w:val="none" w:sz="0" w:space="0" w:color="auto"/>
      </w:divBdr>
    </w:div>
    <w:div w:id="994187607">
      <w:bodyDiv w:val="1"/>
      <w:marLeft w:val="0"/>
      <w:marRight w:val="0"/>
      <w:marTop w:val="0"/>
      <w:marBottom w:val="0"/>
      <w:divBdr>
        <w:top w:val="none" w:sz="0" w:space="0" w:color="auto"/>
        <w:left w:val="none" w:sz="0" w:space="0" w:color="auto"/>
        <w:bottom w:val="none" w:sz="0" w:space="0" w:color="auto"/>
        <w:right w:val="none" w:sz="0" w:space="0" w:color="auto"/>
      </w:divBdr>
    </w:div>
    <w:div w:id="180553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amazon.it/Fitbit-Inspire-Benessere-Gratuita-Rilevazione/dp/B08DFGPTSK/ref=sr_1_2?adgrpid=103904269094&amp;hvadid=591603580018&amp;hvdev=c&amp;hvlocphy=1008311&amp;hvnetw=g&amp;hvqmt=e&amp;hvrand=17568555046268601522&amp;hvtargid=kwd-742820043536&amp;hydadcr=17013_2168186&amp;keywords=fitbit+inspire+2&amp;qid=1685381562&amp;sr=8-2" TargetMode="External"/><Relationship Id="rId3" Type="http://schemas.openxmlformats.org/officeDocument/2006/relationships/styles" Target="styles.xml"/><Relationship Id="rId21" Type="http://schemas.openxmlformats.org/officeDocument/2006/relationships/hyperlink" Target="https://www.mindtecstore.com/BodyCap-eCelsius-Performance-Starter-Ki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www.ibuttonlink.com/collections/thermochron" TargetMode="External"/><Relationship Id="rId28" Type="http://schemas.openxmlformats.org/officeDocument/2006/relationships/hyperlink" Target="https://www.itsensor.it/trasmettitori-di-temperatura-e-umidita-ambiente-modbus-cod-rht-climate-wm-485.html?gclid=Cj0KCQjwmtGjBhDhARIsAEqfDEf5RIbWOyS3MD3vNgWHE9iCHF0-bgZZGBkMoOAKVqZsCnS4DmqxjuQaAh4NEALw_wcB" TargetMode="Externa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i\Universit&#224;\Age-it\Literature%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spPr>
            <a:solidFill>
              <a:schemeClr val="accent2"/>
            </a:solidFill>
            <a:ln>
              <a:noFill/>
            </a:ln>
            <a:effectLst/>
          </c:spPr>
          <c:invertIfNegative val="0"/>
          <c:dPt>
            <c:idx val="0"/>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1-D9ED-46C5-AB29-658E072F3051}"/>
              </c:ext>
            </c:extLst>
          </c:dPt>
          <c:dPt>
            <c:idx val="1"/>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3-D9ED-46C5-AB29-658E072F3051}"/>
              </c:ext>
            </c:extLst>
          </c:dPt>
          <c:dPt>
            <c:idx val="2"/>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5-D9ED-46C5-AB29-658E072F3051}"/>
              </c:ext>
            </c:extLst>
          </c:dPt>
          <c:dPt>
            <c:idx val="3"/>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7-D9ED-46C5-AB29-658E072F3051}"/>
              </c:ext>
            </c:extLst>
          </c:dPt>
          <c:dPt>
            <c:idx val="4"/>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9-D9ED-46C5-AB29-658E072F3051}"/>
              </c:ext>
            </c:extLst>
          </c:dPt>
          <c:dPt>
            <c:idx val="5"/>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1-5128-46B8-8993-2856F6F3FF5A}"/>
              </c:ext>
            </c:extLst>
          </c:dPt>
          <c:dPt>
            <c:idx val="6"/>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3-5128-46B8-8993-2856F6F3FF5A}"/>
              </c:ext>
            </c:extLst>
          </c:dPt>
          <c:dPt>
            <c:idx val="7"/>
            <c:invertIfNegative val="0"/>
            <c:bubble3D val="0"/>
            <c:spPr>
              <a:solidFill>
                <a:schemeClr val="accent1">
                  <a:lumMod val="40000"/>
                  <a:lumOff val="60000"/>
                </a:schemeClr>
              </a:solidFill>
              <a:ln>
                <a:noFill/>
              </a:ln>
              <a:effectLst/>
            </c:spPr>
            <c:extLst>
              <c:ext xmlns:c16="http://schemas.microsoft.com/office/drawing/2014/chart" uri="{C3380CC4-5D6E-409C-BE32-E72D297353CC}">
                <c16:uniqueId val="{00000005-5128-46B8-8993-2856F6F3FF5A}"/>
              </c:ext>
            </c:extLst>
          </c:dPt>
          <c:dPt>
            <c:idx val="13"/>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1-5128-46B8-8993-2856F6F3FF5A}"/>
              </c:ext>
            </c:extLst>
          </c:dPt>
          <c:dPt>
            <c:idx val="14"/>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3-5128-46B8-8993-2856F6F3FF5A}"/>
              </c:ext>
            </c:extLst>
          </c:dPt>
          <c:dPt>
            <c:idx val="15"/>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5-5128-46B8-8993-2856F6F3FF5A}"/>
              </c:ext>
            </c:extLst>
          </c:dPt>
          <c:dPt>
            <c:idx val="16"/>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7-5128-46B8-8993-2856F6F3FF5A}"/>
              </c:ext>
            </c:extLst>
          </c:dPt>
          <c:dPt>
            <c:idx val="17"/>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9-5128-46B8-8993-2856F6F3FF5A}"/>
              </c:ext>
            </c:extLst>
          </c:dPt>
          <c:dPt>
            <c:idx val="18"/>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B-5128-46B8-8993-2856F6F3FF5A}"/>
              </c:ext>
            </c:extLst>
          </c:dPt>
          <c:dPt>
            <c:idx val="19"/>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D-5128-46B8-8993-2856F6F3FF5A}"/>
              </c:ext>
            </c:extLst>
          </c:dPt>
          <c:dPt>
            <c:idx val="20"/>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1F-5128-46B8-8993-2856F6F3FF5A}"/>
              </c:ext>
            </c:extLst>
          </c:dPt>
          <c:dPt>
            <c:idx val="21"/>
            <c:invertIfNegative val="0"/>
            <c:bubble3D val="0"/>
            <c:spPr>
              <a:solidFill>
                <a:schemeClr val="bg2">
                  <a:lumMod val="50000"/>
                </a:schemeClr>
              </a:solidFill>
              <a:ln>
                <a:noFill/>
              </a:ln>
              <a:effectLst/>
            </c:spPr>
            <c:extLst>
              <c:ext xmlns:c16="http://schemas.microsoft.com/office/drawing/2014/chart" uri="{C3380CC4-5D6E-409C-BE32-E72D297353CC}">
                <c16:uniqueId val="{00000021-5128-46B8-8993-2856F6F3FF5A}"/>
              </c:ext>
            </c:extLst>
          </c:dPt>
          <c:dPt>
            <c:idx val="22"/>
            <c:invertIfNegative val="0"/>
            <c:bubble3D val="0"/>
            <c:spPr>
              <a:solidFill>
                <a:schemeClr val="bg2">
                  <a:lumMod val="50000"/>
                </a:schemeClr>
              </a:solidFill>
              <a:ln>
                <a:noFill/>
              </a:ln>
              <a:effectLst/>
            </c:spPr>
            <c:extLst>
              <c:ext xmlns:c16="http://schemas.microsoft.com/office/drawing/2014/chart" uri="{C3380CC4-5D6E-409C-BE32-E72D297353CC}">
                <c16:uniqueId val="{00000023-5128-46B8-8993-2856F6F3FF5A}"/>
              </c:ext>
            </c:extLst>
          </c:dPt>
          <c:dPt>
            <c:idx val="23"/>
            <c:invertIfNegative val="0"/>
            <c:bubble3D val="0"/>
            <c:spPr>
              <a:solidFill>
                <a:schemeClr val="bg2">
                  <a:lumMod val="50000"/>
                </a:schemeClr>
              </a:solidFill>
              <a:ln>
                <a:noFill/>
              </a:ln>
              <a:effectLst/>
            </c:spPr>
            <c:extLst>
              <c:ext xmlns:c16="http://schemas.microsoft.com/office/drawing/2014/chart" uri="{C3380CC4-5D6E-409C-BE32-E72D297353CC}">
                <c16:uniqueId val="{00000025-5128-46B8-8993-2856F6F3FF5A}"/>
              </c:ext>
            </c:extLst>
          </c:dPt>
          <c:dPt>
            <c:idx val="24"/>
            <c:invertIfNegative val="0"/>
            <c:bubble3D val="0"/>
            <c:spPr>
              <a:solidFill>
                <a:schemeClr val="bg1">
                  <a:lumMod val="50000"/>
                </a:schemeClr>
              </a:solidFill>
              <a:ln>
                <a:noFill/>
              </a:ln>
              <a:effectLst/>
            </c:spPr>
            <c:extLst>
              <c:ext xmlns:c16="http://schemas.microsoft.com/office/drawing/2014/chart" uri="{C3380CC4-5D6E-409C-BE32-E72D297353CC}">
                <c16:uniqueId val="{00000027-5128-46B8-8993-2856F6F3FF5A}"/>
              </c:ext>
            </c:extLst>
          </c:dPt>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Journals!$A$2:$A$26</c:f>
              <c:strCache>
                <c:ptCount val="25"/>
                <c:pt idx="0">
                  <c:v>American Journal of Physiology</c:v>
                </c:pt>
                <c:pt idx="1">
                  <c:v>Computers in Biology and Medicine</c:v>
                </c:pt>
                <c:pt idx="2">
                  <c:v>International Journal of Biometeorology</c:v>
                </c:pt>
                <c:pt idx="3">
                  <c:v>Environmental Research and Public Health</c:v>
                </c:pt>
                <c:pt idx="4">
                  <c:v>Journal of Physiological Anthropology</c:v>
                </c:pt>
                <c:pt idx="5">
                  <c:v>Journal of Thermal Biology</c:v>
                </c:pt>
                <c:pt idx="6">
                  <c:v>PLOS ONE</c:v>
                </c:pt>
                <c:pt idx="7">
                  <c:v>Sports Medicine</c:v>
                </c:pt>
                <c:pt idx="8">
                  <c:v>Building and Environment</c:v>
                </c:pt>
                <c:pt idx="9">
                  <c:v>Energy and Buildings</c:v>
                </c:pt>
                <c:pt idx="10">
                  <c:v>IBSA Publications</c:v>
                </c:pt>
                <c:pt idx="11">
                  <c:v>Indoor Air</c:v>
                </c:pt>
                <c:pt idx="12">
                  <c:v>Indoor and Built Environment</c:v>
                </c:pt>
                <c:pt idx="13">
                  <c:v>Applied Energy</c:v>
                </c:pt>
                <c:pt idx="14">
                  <c:v>Energies</c:v>
                </c:pt>
                <c:pt idx="15">
                  <c:v>Energy</c:v>
                </c:pt>
                <c:pt idx="16">
                  <c:v>Energy Conversion and Management</c:v>
                </c:pt>
                <c:pt idx="17">
                  <c:v>Heat and Mass Transfer</c:v>
                </c:pt>
                <c:pt idx="18">
                  <c:v>International Journal of Thermal Sciences</c:v>
                </c:pt>
                <c:pt idx="19">
                  <c:v>Journal of Energy Storage</c:v>
                </c:pt>
                <c:pt idx="20">
                  <c:v>Renewable and Sustainable Energy Reviews</c:v>
                </c:pt>
                <c:pt idx="21">
                  <c:v>Chemical Engineering Journal</c:v>
                </c:pt>
                <c:pt idx="22">
                  <c:v>IEEE Journal Of Biomedical And Health Informatics</c:v>
                </c:pt>
                <c:pt idx="23">
                  <c:v>Journal of Biomechanical Engineering</c:v>
                </c:pt>
                <c:pt idx="24">
                  <c:v>Materials </c:v>
                </c:pt>
              </c:strCache>
            </c:strRef>
          </c:cat>
          <c:val>
            <c:numRef>
              <c:f>Journals!$C$2:$C$26</c:f>
              <c:numCache>
                <c:formatCode>General</c:formatCode>
                <c:ptCount val="25"/>
                <c:pt idx="0">
                  <c:v>1</c:v>
                </c:pt>
                <c:pt idx="1">
                  <c:v>1</c:v>
                </c:pt>
                <c:pt idx="2">
                  <c:v>5</c:v>
                </c:pt>
                <c:pt idx="3">
                  <c:v>3</c:v>
                </c:pt>
                <c:pt idx="4">
                  <c:v>1</c:v>
                </c:pt>
                <c:pt idx="5">
                  <c:v>15</c:v>
                </c:pt>
                <c:pt idx="6">
                  <c:v>1</c:v>
                </c:pt>
                <c:pt idx="7">
                  <c:v>1</c:v>
                </c:pt>
                <c:pt idx="8">
                  <c:v>8</c:v>
                </c:pt>
                <c:pt idx="9">
                  <c:v>2</c:v>
                </c:pt>
                <c:pt idx="10">
                  <c:v>1</c:v>
                </c:pt>
                <c:pt idx="11">
                  <c:v>1</c:v>
                </c:pt>
                <c:pt idx="12">
                  <c:v>1</c:v>
                </c:pt>
                <c:pt idx="13">
                  <c:v>1</c:v>
                </c:pt>
                <c:pt idx="14">
                  <c:v>1</c:v>
                </c:pt>
                <c:pt idx="15">
                  <c:v>2</c:v>
                </c:pt>
                <c:pt idx="16">
                  <c:v>1</c:v>
                </c:pt>
                <c:pt idx="17">
                  <c:v>1</c:v>
                </c:pt>
                <c:pt idx="18">
                  <c:v>2</c:v>
                </c:pt>
                <c:pt idx="19">
                  <c:v>1</c:v>
                </c:pt>
                <c:pt idx="20">
                  <c:v>1</c:v>
                </c:pt>
                <c:pt idx="21">
                  <c:v>1</c:v>
                </c:pt>
                <c:pt idx="22">
                  <c:v>1</c:v>
                </c:pt>
                <c:pt idx="23">
                  <c:v>1</c:v>
                </c:pt>
                <c:pt idx="24">
                  <c:v>1</c:v>
                </c:pt>
              </c:numCache>
            </c:numRef>
          </c:val>
          <c:extLst>
            <c:ext xmlns:c16="http://schemas.microsoft.com/office/drawing/2014/chart" uri="{C3380CC4-5D6E-409C-BE32-E72D297353CC}">
              <c16:uniqueId val="{00000028-5128-46B8-8993-2856F6F3FF5A}"/>
            </c:ext>
          </c:extLst>
        </c:ser>
        <c:dLbls>
          <c:showLegendKey val="0"/>
          <c:showVal val="0"/>
          <c:showCatName val="0"/>
          <c:showSerName val="0"/>
          <c:showPercent val="0"/>
          <c:showBubbleSize val="0"/>
        </c:dLbls>
        <c:gapWidth val="182"/>
        <c:axId val="1942444575"/>
        <c:axId val="1942447455"/>
        <c:extLst>
          <c:ext xmlns:c15="http://schemas.microsoft.com/office/drawing/2012/chart" uri="{02D57815-91ED-43cb-92C2-25804820EDAC}">
            <c15:filteredBarSeries>
              <c15:ser>
                <c:idx val="0"/>
                <c:order val="0"/>
                <c:spPr>
                  <a:solidFill>
                    <a:schemeClr val="accent1"/>
                  </a:solidFill>
                  <a:ln>
                    <a:noFill/>
                  </a:ln>
                  <a:effectLst/>
                </c:spPr>
                <c:invertIfNegative val="0"/>
                <c:cat>
                  <c:strRef>
                    <c:extLst>
                      <c:ext uri="{02D57815-91ED-43cb-92C2-25804820EDAC}">
                        <c15:formulaRef>
                          <c15:sqref>Journals!$A$2:$A$26</c15:sqref>
                        </c15:formulaRef>
                      </c:ext>
                    </c:extLst>
                    <c:strCache>
                      <c:ptCount val="25"/>
                      <c:pt idx="0">
                        <c:v>American Journal of Physiology</c:v>
                      </c:pt>
                      <c:pt idx="1">
                        <c:v>Computers in Biology and Medicine</c:v>
                      </c:pt>
                      <c:pt idx="2">
                        <c:v>International Journal of Biometeorology</c:v>
                      </c:pt>
                      <c:pt idx="3">
                        <c:v>Environmental Research and Public Health</c:v>
                      </c:pt>
                      <c:pt idx="4">
                        <c:v>Journal of Physiological Anthropology</c:v>
                      </c:pt>
                      <c:pt idx="5">
                        <c:v>Journal of Thermal Biology</c:v>
                      </c:pt>
                      <c:pt idx="6">
                        <c:v>PLOS ONE</c:v>
                      </c:pt>
                      <c:pt idx="7">
                        <c:v>Sports Medicine</c:v>
                      </c:pt>
                      <c:pt idx="8">
                        <c:v>Building and Environment</c:v>
                      </c:pt>
                      <c:pt idx="9">
                        <c:v>Energy and Buildings</c:v>
                      </c:pt>
                      <c:pt idx="10">
                        <c:v>IBSA Publications</c:v>
                      </c:pt>
                      <c:pt idx="11">
                        <c:v>Indoor Air</c:v>
                      </c:pt>
                      <c:pt idx="12">
                        <c:v>Indoor and Built Environment</c:v>
                      </c:pt>
                      <c:pt idx="13">
                        <c:v>Applied Energy</c:v>
                      </c:pt>
                      <c:pt idx="14">
                        <c:v>Energies</c:v>
                      </c:pt>
                      <c:pt idx="15">
                        <c:v>Energy</c:v>
                      </c:pt>
                      <c:pt idx="16">
                        <c:v>Energy Conversion and Management</c:v>
                      </c:pt>
                      <c:pt idx="17">
                        <c:v>Heat and Mass Transfer</c:v>
                      </c:pt>
                      <c:pt idx="18">
                        <c:v>International Journal of Thermal Sciences</c:v>
                      </c:pt>
                      <c:pt idx="19">
                        <c:v>Journal of Energy Storage</c:v>
                      </c:pt>
                      <c:pt idx="20">
                        <c:v>Renewable and Sustainable Energy Reviews</c:v>
                      </c:pt>
                      <c:pt idx="21">
                        <c:v>Chemical Engineering Journal</c:v>
                      </c:pt>
                      <c:pt idx="22">
                        <c:v>IEEE Journal Of Biomedical And Health Informatics</c:v>
                      </c:pt>
                      <c:pt idx="23">
                        <c:v>Journal of Biomechanical Engineering</c:v>
                      </c:pt>
                      <c:pt idx="24">
                        <c:v>Materials </c:v>
                      </c:pt>
                    </c:strCache>
                  </c:strRef>
                </c:cat>
                <c:val>
                  <c:numRef>
                    <c:extLst>
                      <c:ext uri="{02D57815-91ED-43cb-92C2-25804820EDAC}">
                        <c15:formulaRef>
                          <c15:sqref>Journals!$B$2:$B$26</c15:sqref>
                        </c15:formulaRef>
                      </c:ext>
                    </c:extLst>
                    <c:numCache>
                      <c:formatCode>General</c:formatCode>
                      <c:ptCount val="25"/>
                    </c:numCache>
                  </c:numRef>
                </c:val>
                <c:extLst>
                  <c:ext xmlns:c16="http://schemas.microsoft.com/office/drawing/2014/chart" uri="{C3380CC4-5D6E-409C-BE32-E72D297353CC}">
                    <c16:uniqueId val="{00000029-5128-46B8-8993-2856F6F3FF5A}"/>
                  </c:ext>
                </c:extLst>
              </c15:ser>
            </c15:filteredBarSeries>
          </c:ext>
        </c:extLst>
      </c:barChart>
      <c:catAx>
        <c:axId val="1942444575"/>
        <c:scaling>
          <c:orientation val="minMax"/>
        </c:scaling>
        <c:delete val="0"/>
        <c:axPos val="l"/>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it-IT"/>
          </a:p>
        </c:txPr>
        <c:crossAx val="1942447455"/>
        <c:crosses val="autoZero"/>
        <c:auto val="1"/>
        <c:lblAlgn val="ctr"/>
        <c:lblOffset val="100"/>
        <c:noMultiLvlLbl val="0"/>
      </c:catAx>
      <c:valAx>
        <c:axId val="1942447455"/>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942444575"/>
        <c:crosses val="autoZero"/>
        <c:crossBetween val="between"/>
        <c:majorUnit val="1"/>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4512C-6900-4860-A812-507537C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7278</TotalTime>
  <Pages>1</Pages>
  <Words>8401</Words>
  <Characters>47886</Characters>
  <Application>Microsoft Office Word</Application>
  <DocSecurity>0</DocSecurity>
  <Lines>399</Lines>
  <Paragraphs>112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federico.rossi3</dc:creator>
  <cp:keywords/>
  <dc:description/>
  <cp:lastModifiedBy>Pietro Ungar</cp:lastModifiedBy>
  <cp:revision>100</cp:revision>
  <dcterms:created xsi:type="dcterms:W3CDTF">2023-05-24T10:31:00Z</dcterms:created>
  <dcterms:modified xsi:type="dcterms:W3CDTF">2023-08-09T10:13:00Z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http://csl.mendeley.com/styles/503877901/ReSER-without-DOI-elsevier-vancouver-2</vt:lpwstr>
  </property>
  <property fmtid="{D5CDD505-2E9C-101B-9397-08002B2CF9AE}" pid="9" name="Mendeley Recent Style Name 3_1">
    <vt:lpwstr>Elsevier (Vancouver)_S. Maranghi - ReSER without DOI - Simone Maranghi</vt:lpwstr>
  </property>
  <property fmtid="{D5CDD505-2E9C-101B-9397-08002B2CF9AE}" pid="10" name="Mendeley Recent Style Id 4_1">
    <vt:lpwstr>http://www.zotero.org/styles/energy-storage-materials</vt:lpwstr>
  </property>
  <property fmtid="{D5CDD505-2E9C-101B-9397-08002B2CF9AE}" pid="11" name="Mendeley Recent Style Name 4_1">
    <vt:lpwstr>Energy Storage Materials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http://www.zotero.org/styles/journal-of-cleaner-production</vt:lpwstr>
  </property>
  <property fmtid="{D5CDD505-2E9C-101B-9397-08002B2CF9AE}" pid="15" name="Mendeley Recent Style Name 6_1">
    <vt:lpwstr>Journal of Cleaner Production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http://www.zotero.org/styles/renewable-and-sustainable-energy-reviews</vt:lpwstr>
  </property>
  <property fmtid="{D5CDD505-2E9C-101B-9397-08002B2CF9AE}" pid="21" name="Mendeley Recent Style Name 9_1">
    <vt:lpwstr>Renewable and Sustainable Energy Reviews</vt:lpwstr>
  </property>
  <property fmtid="{D5CDD505-2E9C-101B-9397-08002B2CF9AE}" pid="22" name="Mendeley Document_1">
    <vt:lpwstr>True</vt:lpwstr>
  </property>
  <property fmtid="{D5CDD505-2E9C-101B-9397-08002B2CF9AE}" pid="23" name="Mendeley Unique User Id_1">
    <vt:lpwstr>fcbbe286-f978-3b62-b380-0f4713bf850e</vt:lpwstr>
  </property>
  <property fmtid="{D5CDD505-2E9C-101B-9397-08002B2CF9AE}" pid="24" name="Mendeley Citation Style_1">
    <vt:lpwstr>http://www.zotero.org/styles/journal-of-cleaner-production</vt:lpwstr>
  </property>
</Properties>
</file>