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implementará la geolocalización en la aplicación móvil.</w:t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implementará un nuevo módulo de Inteligencia de Negocios: Dashboard TaxyPro.</w:t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las tareas de la reunión anterior (18 de octubre de 2024).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avanzó en la implementación de la geolocalización para la aplicación móvil, y se comenzó a integrar el nuevo módulo de Inteligencia de Negocios para el Dashboard de TaxyPro.</w:t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Además, se revisaron las tareas acordadas en la reunión anterior (18 de octubre de 2024), con énfasis en la actualización de la aplicación móvil y página web, así como la finalización de las minutas de reuniones.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 de geolocalización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Continuar con la integración de la geolocalización en la aplicación móvil.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de 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e integrar el nuevo módulo de Dashboard TaxyPro.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tareas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completaron las tareas pendientes de la reunión anterior (18 de octubre).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40"/>
        <w:gridCol w:w="2295"/>
        <w:gridCol w:w="5100"/>
        <w:tblGridChange w:id="0">
          <w:tblGrid>
            <w:gridCol w:w="2940"/>
            <w:gridCol w:w="229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la geolocalización en la app móvil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María Paz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e integrar el módulo de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Benjamin Avila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Completar tareas y minutas de la reunión anterior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3UvBFN1zEuoS/gazPx+QuKVgfQ==">CgMxLjA4AHIhMUFIbDZ2MTBXejUwRlk3cER4TU1SbkRPMFdGNXdkM2Uz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