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color w:val="2456C4"/>
          <w:sz w:val="18"/>
          <w:szCs w:val="18"/>
        </w:rPr>
        <w:t xml:space="preserve">SESS NEXAERP · TARGET-DOTNET · REFERENCE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D2734"/>
          <w:sz w:val="56"/>
          <w:szCs w:val="56"/>
        </w:rPr>
        <w:t xml:space="preserve">NexaERP Backend Atlas</w:t>
      </w:r>
    </w:p>
    <w:p>
      <w:pPr>
        <w:spacing w:after="120"/>
      </w:pPr>
      <w:r>
        <w:rPr>
          <w:rFonts w:ascii="Calibri" w:cs="Calibri" w:eastAsia="Calibri" w:hAnsi="Calibri"/>
          <w:color w:val="5B6878"/>
          <w:sz w:val="22"/>
          <w:szCs w:val="22"/>
        </w:rPr>
        <w:t xml:space="preserve">The complete map of the .NET backend: where the server starts, where the database connects, how a request travels through the middleware to an endpoint, and exactly which files to touch when you change a single field. Every path is relative to target-dotnet/.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B6878"/>
          <w:sz w:val="18"/>
          <w:szCs w:val="18"/>
        </w:rPr>
        <w:t xml:space="preserve">Generated 2026-08-29 on main (post frontend relocation to src/SESS.NexaERP.Web). Paths are stable; line numbers drift as code evolves — search by symbol name.</w:t>
      </w:r>
    </w:p>
    <w:p>
      <w:pPr>
        <w:spacing w:after="12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456C4"/>
          <w:sz w:val="30"/>
          <w:szCs w:val="30"/>
        </w:rPr>
        <w:t xml:space="preserve">1. The four layers and their folders</w:t>
      </w:r>
    </w:p>
    <w:p>
      <w:pPr>
        <w:spacing w:after="120"/>
      </w:pPr>
      <w:r>
        <w:rPr>
          <w:rFonts w:ascii="Calibri" w:cs="Calibri" w:eastAsia="Calibri" w:hAnsi="Calibri"/>
          <w:color w:val="1D2734"/>
          <w:sz w:val="22"/>
          <w:szCs w:val="22"/>
        </w:rPr>
        <w:t xml:space="preserve">target-dotnet/ is the complete, current backend (the old Node code in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current-system-snapshot/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is a frozen reference only). The solution is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SESS.NexaERP.slnx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, and the four projects under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src/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form strict layers:</w:t>
      </w:r>
    </w:p>
    <w:tbl>
      <w:tblPr>
        <w:tblW w:type="dxa" w:w="9000"/>
        <w:tblBorders>
          <w:top w:val="single" w:color="C9D2DD" w:sz="4"/>
          <w:left w:val="single" w:color="C9D2DD" w:sz="4"/>
          <w:bottom w:val="single" w:color="C9D2DD" w:sz="4"/>
          <w:right w:val="single" w:color="C9D2DD" w:sz="4"/>
          <w:insideH w:val="single" w:color="C9D2DD" w:sz="4"/>
          <w:insideV w:val="single" w:color="C9D2DD" w:sz="4"/>
        </w:tblBorders>
      </w:tblPr>
      <w:tblGrid>
        <w:gridCol w:w="2600"/>
        <w:gridCol w:w="1500"/>
        <w:gridCol w:w="4900"/>
      </w:tblGrid>
      <w:tr>
        <w:trPr>
          <w:tblHeader/>
        </w:trPr>
        <w:tc>
          <w:tcPr>
            <w:tcW w:type="dxa" w:w="2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878"/>
                <w:sz w:val="19"/>
                <w:szCs w:val="19"/>
              </w:rPr>
              <w:t xml:space="preserve">Project</w:t>
            </w:r>
          </w:p>
        </w:tc>
        <w:tc>
          <w:tcPr>
            <w:tcW w:type="dxa" w:w="15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878"/>
                <w:sz w:val="19"/>
                <w:szCs w:val="19"/>
              </w:rPr>
              <w:t xml:space="preserve">Role</w:t>
            </w:r>
          </w:p>
        </w:tc>
        <w:tc>
          <w:tcPr>
            <w:tcW w:type="dxa" w:w="49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878"/>
                <w:sz w:val="19"/>
                <w:szCs w:val="19"/>
              </w:rPr>
              <w:t xml:space="preserve">What lives there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SESS.NexaERP.Api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HTTP layer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Entry point, routes, middleware, security filters. The only project that knows about HTTP. Start reading here.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SESS.NexaERP.Application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Contracts layer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DTOs (request/response shapes) and service interfaces — one *Contracts.cs file per module.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SESS.NexaERP.Domain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Business layer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Entities and business constants. A class here (e.g. Vendor) is a database table. No HTTP, no SQL.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SESS.NexaERP.Infrastructure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Database layer</w:t>
            </w:r>
          </w:p>
        </w:tc>
        <w:tc>
          <w:tcPr>
            <w:tcW w:type="dxa" w:w="4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PostgreSQL connection, EF Core DbContext, migrations, and every Ef* service implementation. The only project that talks to the database.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i/>
          <w:iCs/>
          <w:color w:val="5B6878"/>
          <w:sz w:val="22"/>
          <w:szCs w:val="22"/>
        </w:rPr>
        <w:t xml:space="preserve">Rule of thumb: Api depends on Application, Application on Domain; Infrastructure implements Application’s interfaces against Domain’s entities. Nothing points the other way.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456C4"/>
          <w:sz w:val="30"/>
          <w:szCs w:val="30"/>
        </w:rPr>
        <w:t xml:space="preserve">2. Startup: what runs when the server boots</w:t>
      </w:r>
    </w:p>
    <w:p>
      <w:pPr>
        <w:spacing w:after="120"/>
      </w:pPr>
      <w:r>
        <w:rPr>
          <w:rFonts w:ascii="Calibri" w:cs="Calibri" w:eastAsia="Calibri" w:hAnsi="Calibri"/>
          <w:color w:val="1D2734"/>
          <w:sz w:val="22"/>
          <w:szCs w:val="22"/>
        </w:rPr>
        <w:t xml:space="preserve">The single entry point — the equivalent of the old server.js — is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src/SESS.NexaERP.Api/Program.cs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. It executes top to bottom, in three phases: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D2734"/>
          <w:sz w:val="25"/>
          <w:szCs w:val="25"/>
        </w:rPr>
        <w:t xml:space="preserve">Phase A — register services (nothing runs yet)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2456C4"/>
          <w:sz w:val="20"/>
          <w:szCs w:val="20"/>
        </w:rPr>
        <w:t xml:space="preserve">ConfigureHttpJsonOptions(...)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→ global PascalCase JSON contract, defined in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src/SESS.NexaERP.Api/Serialization/ApiJsonContract.cs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2456C4"/>
          <w:sz w:val="20"/>
          <w:szCs w:val="20"/>
        </w:rPr>
        <w:t xml:space="preserve">AddInfrastructure(configuration)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→ THE DATABASE CONNECTION IS CONFIGURED HERE: </w:t>
      </w:r>
      <w:r>
        <w:rPr>
          <w:rFonts w:ascii="Consolas" w:cs="Consolas" w:eastAsia="Consolas" w:hAnsi="Consolas"/>
          <w:color w:val="0E7C6B"/>
          <w:sz w:val="20"/>
          <w:szCs w:val="20"/>
        </w:rPr>
        <w:t xml:space="preserve">src/SESS.NexaERP.Infrastructure/DependencyInjection.cs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reads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ConnectionStrings:NexaErp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(supplied by the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ConnectionStrings__NexaErp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environment variable — never a file in the repo) and calls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UseNpgsql(...)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to register NexaErpDbContext. It also registers every Ef*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2456C4"/>
          <w:sz w:val="20"/>
          <w:szCs w:val="20"/>
        </w:rPr>
        <w:t xml:space="preserve">AddAuthentication().AddJwtBearer(...)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→ token validation. Two branches: the Debug-only development scheme signed by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src/SESS.NexaERP.Api/Security/DevelopmentTokenService.cs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, or the permanent OIDC authority from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Authentication__Authority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Authentication__Audience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D2734"/>
          <w:sz w:val="25"/>
          <w:szCs w:val="25"/>
        </w:rPr>
        <w:t xml:space="preserve">Phase B — the startup guard</w:t>
      </w:r>
    </w:p>
    <w:p>
      <w:pPr>
        <w:spacing w:after="120"/>
      </w:pPr>
      <w:r>
        <w:rPr>
          <w:rFonts w:ascii="Calibri" w:cs="Calibri" w:eastAsia="Calibri" w:hAnsi="Calibri"/>
          <w:color w:val="1D2734"/>
          <w:sz w:val="22"/>
          <w:szCs w:val="22"/>
        </w:rPr>
        <w:t xml:space="preserve">Before serving a single request, </w:t>
      </w:r>
      <w:r>
        <w:rPr>
          <w:rFonts w:ascii="Consolas" w:cs="Consolas" w:eastAsia="Consolas" w:hAnsi="Consolas"/>
          <w:color w:val="0E7C6B"/>
          <w:sz w:val="20"/>
          <w:szCs w:val="20"/>
        </w:rPr>
        <w:t xml:space="preserve">src/SESS.NexaERP.Infrastructure/Persistence/DatabaseRuntimePrincipalGuard.cs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opens a real PostgreSQL connection and refuses to start unless the session principal is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nexa_erp_runtime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(or the Debug-only superuser exemption is on). This is the first place a wrong connection string fails.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D2734"/>
          <w:sz w:val="25"/>
          <w:szCs w:val="25"/>
        </w:rPr>
        <w:t xml:space="preserve">Phase C — build the pipeline and mount the routes</w:t>
      </w:r>
    </w:p>
    <w:p>
      <w:pPr>
        <w:spacing w:after="120"/>
      </w:pPr>
      <w:r>
        <w:rPr>
          <w:rFonts w:ascii="Calibri" w:cs="Calibri" w:eastAsia="Calibri" w:hAnsi="Calibri"/>
          <w:color w:val="1D2734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app.UseMiddleware&lt;...&gt;()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calls fix the middleware order (section 3), then the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app.Map*Endpoints()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calls at the bottom of Program.cs mount every route group (section 4).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456C4"/>
          <w:sz w:val="30"/>
          <w:szCs w:val="30"/>
        </w:rPr>
        <w:t xml:space="preserve">3. The request pipeline — every call passes through these files, in order</w:t>
      </w:r>
    </w:p>
    <w:tbl>
      <w:tblPr>
        <w:tblW w:type="dxa" w:w="9000"/>
        <w:tblBorders>
          <w:top w:val="single" w:color="C9D2DD" w:sz="4"/>
          <w:left w:val="single" w:color="C9D2DD" w:sz="4"/>
          <w:bottom w:val="single" w:color="C9D2DD" w:sz="4"/>
          <w:right w:val="single" w:color="C9D2DD" w:sz="4"/>
          <w:insideH w:val="single" w:color="C9D2DD" w:sz="4"/>
          <w:insideV w:val="single" w:color="C9D2DD" w:sz="4"/>
        </w:tblBorders>
      </w:tblPr>
      <w:tblGrid>
        <w:gridCol w:w="500"/>
        <w:gridCol w:w="2600"/>
        <w:gridCol w:w="5900"/>
      </w:tblGrid>
      <w:tr>
        <w:trPr>
          <w:tblHeader/>
        </w:trPr>
        <w:tc>
          <w:tcPr>
            <w:tcW w:type="dxa" w:w="5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878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878"/>
                <w:sz w:val="19"/>
                <w:szCs w:val="19"/>
              </w:rPr>
              <w:t xml:space="preserve">Stage</w:t>
            </w:r>
          </w:p>
        </w:tc>
        <w:tc>
          <w:tcPr>
            <w:tcW w:type="dxa" w:w="59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878"/>
                <w:sz w:val="19"/>
                <w:szCs w:val="19"/>
              </w:rPr>
              <w:t xml:space="preserve">File and what it does</w:t>
            </w:r>
          </w:p>
        </w:tc>
      </w:tr>
      <w:tr>
        <w:tc>
          <w:tcPr>
            <w:tcW w:type="dxa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2734"/>
                <w:sz w:val="22"/>
                <w:szCs w:val="22"/>
              </w:rPr>
              <w:t xml:space="preserve">StandardErrorEnvelopeMiddleware</w:t>
            </w:r>
          </w:p>
        </w:tc>
        <w:tc>
          <w:tcPr>
            <w:tcW w:type="dxa" w:w="5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src/SESS.NexaERP.Api/Middleware/StandardErrorEnvelopeMiddleware.cs</w:t>
            </w:r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 — wraps every 4xx/5xx response into the standard envelope {Type, Title, Status, Code, Detail, TraceId, Errors}.</w:t>
            </w:r>
          </w:p>
        </w:tc>
      </w:tr>
      <w:tr>
        <w:tc>
          <w:tcPr>
            <w:tcW w:type="dxa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2734"/>
                <w:sz w:val="22"/>
                <w:szCs w:val="22"/>
              </w:rPr>
              <w:t xml:space="preserve">ExceptionHandlingMiddleware</w:t>
            </w:r>
          </w:p>
        </w:tc>
        <w:tc>
          <w:tcPr>
            <w:tcW w:type="dxa" w:w="5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src/SESS.NexaERP.Api/Middleware/ExceptionHandlingMiddleware.cs</w:t>
            </w:r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 — catches unhandled exceptions so a crash becomes a clean 500 instead of a stack trace.</w:t>
            </w:r>
          </w:p>
        </w:tc>
      </w:tr>
      <w:tr>
        <w:tc>
          <w:tcPr>
            <w:tcW w:type="dxa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2734"/>
                <w:sz w:val="22"/>
                <w:szCs w:val="22"/>
              </w:rPr>
              <w:t xml:space="preserve">UseAuthentication (JWT)</w:t>
            </w:r>
          </w:p>
        </w:tc>
        <w:tc>
          <w:tcPr>
            <w:tcW w:type="dxa" w:w="5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Framework middleware configured in Program.cs — reads "Authorization: Bearer &lt;JWT&gt;", verifies the signature, builds context.User claims. Proves WHO you are, nothing more.</w:t>
            </w:r>
          </w:p>
        </w:tc>
      </w:tr>
      <w:tr>
        <w:tc>
          <w:tcPr>
            <w:tcW w:type="dxa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2734"/>
                <w:sz w:val="22"/>
                <w:szCs w:val="22"/>
              </w:rPr>
              <w:t xml:space="preserve">EmployeeIdentityResolutionMiddleware</w:t>
            </w:r>
          </w:p>
        </w:tc>
        <w:tc>
          <w:tcPr>
            <w:tcW w:type="dxa" w:w="5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src/SESS.NexaERP.Api/Middleware/EmployeeIdentityResolutionMiddleware.cs</w:t>
            </w:r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 — takes the token’s iss / sub / organization_id claims and calls </w:t>
            </w:r>
            <w:r>
              <w:rPr>
                <w:rFonts w:ascii="Consolas" w:cs="Consolas" w:eastAsia="Consolas" w:hAnsi="Consolas"/>
                <w:color w:val="0E7C6B"/>
                <w:sz w:val="20"/>
                <w:szCs w:val="20"/>
              </w:rPr>
              <w:t xml:space="preserve">src/SESS.NexaERP.Infrastructure/Identity/EfEmployeeIdentityResolver.cs</w:t>
            </w:r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, which queries employee_identity_mappings in the database to resolve WHICH employee, company and roles this token is. The token proves identity; the database decides authority.</w:t>
            </w:r>
          </w:p>
        </w:tc>
      </w:tr>
      <w:tr>
        <w:tc>
          <w:tcPr>
            <w:tcW w:type="dxa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2734"/>
                <w:sz w:val="22"/>
                <w:szCs w:val="22"/>
              </w:rPr>
              <w:t xml:space="preserve">UseAuthorization</w:t>
            </w:r>
          </w:p>
        </w:tc>
        <w:tc>
          <w:tcPr>
            <w:tcW w:type="dxa" w:w="5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Framework middleware — enforces .RequireAuthorization() on every endpoint group: no valid token → 401 before any handler runs.</w:t>
            </w:r>
          </w:p>
        </w:tc>
      </w:tr>
      <w:tr>
        <w:tc>
          <w:tcPr>
            <w:tcW w:type="dxa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2734"/>
                <w:sz w:val="22"/>
                <w:szCs w:val="22"/>
              </w:rPr>
              <w:t xml:space="preserve">PagePermissionEndpointFilter (per route)</w:t>
            </w:r>
          </w:p>
        </w:tc>
        <w:tc>
          <w:tcPr>
            <w:tcW w:type="dxa" w:w="5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src/SESS.NexaERP.Api/Security/PagePermissionEndpointFilter.cs</w:t>
            </w:r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, attached by .RequirePagePermission("masters.vendors", View) — asks </w:t>
            </w:r>
            <w:r>
              <w:rPr>
                <w:rFonts w:ascii="Consolas" w:cs="Consolas" w:eastAsia="Consolas" w:hAnsi="Consolas"/>
                <w:color w:val="0E7C6B"/>
                <w:sz w:val="20"/>
                <w:szCs w:val="20"/>
              </w:rPr>
              <w:t xml:space="preserve">src/SESS.NexaERP.Infrastructure/Authorization/EfPagePermissionService.cs</w:t>
            </w:r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 whether the resolved roles hold that action on that page (the role–page matrix lives in the DB). No → 403.</w:t>
            </w:r>
          </w:p>
        </w:tc>
      </w:tr>
      <w:tr>
        <w:tc>
          <w:tcPr>
            <w:tcW w:type="dxa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2734"/>
                <w:sz w:val="22"/>
                <w:szCs w:val="22"/>
              </w:rPr>
              <w:t xml:space="preserve">The endpoint handler</w:t>
            </w:r>
          </w:p>
        </w:tc>
        <w:tc>
          <w:tcPr>
            <w:tcW w:type="dxa" w:w="5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The lambda inside an </w:t>
            </w:r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src/SESS.NexaERP.Api/Endpoints/*.cs</w:t>
            </w:r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 file — parameters auto-bound from URL and JSON body, business logic runs, EF Core translates the query to SQL, result serialized back as PascalCase JSON.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456C4"/>
          <w:sz w:val="30"/>
          <w:szCs w:val="30"/>
        </w:rPr>
        <w:t xml:space="preserve">4. The route table — which file owns which URL</w:t>
      </w:r>
    </w:p>
    <w:p>
      <w:pPr>
        <w:spacing w:after="120"/>
      </w:pPr>
      <w:r>
        <w:rPr>
          <w:rFonts w:ascii="Calibri" w:cs="Calibri" w:eastAsia="Calibri" w:hAnsi="Calibri"/>
          <w:color w:val="1D2734"/>
          <w:sz w:val="22"/>
          <w:szCs w:val="22"/>
        </w:rPr>
        <w:t xml:space="preserve">Every endpoints file registers one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MapGroup(prefix)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. To find any URL’s code: match the prefix below, open that file, search for the MapGet( / MapPost( line. All files live in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src/SESS.NexaERP.Api/Endpoints/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.</w:t>
      </w:r>
    </w:p>
    <w:tbl>
      <w:tblPr>
        <w:tblW w:type="dxa" w:w="9000"/>
        <w:tblBorders>
          <w:top w:val="single" w:color="C9D2DD" w:sz="4"/>
          <w:left w:val="single" w:color="C9D2DD" w:sz="4"/>
          <w:bottom w:val="single" w:color="C9D2DD" w:sz="4"/>
          <w:right w:val="single" w:color="C9D2DD" w:sz="4"/>
          <w:insideH w:val="single" w:color="C9D2DD" w:sz="4"/>
          <w:insideV w:val="single" w:color="C9D2DD" w:sz="4"/>
        </w:tblBorders>
      </w:tblPr>
      <w:tblGrid>
        <w:gridCol w:w="3200"/>
        <w:gridCol w:w="2700"/>
        <w:gridCol w:w="3100"/>
      </w:tblGrid>
      <w:tr>
        <w:trPr>
          <w:tblHeader/>
        </w:trPr>
        <w:tc>
          <w:tcPr>
            <w:tcW w:type="dxa" w:w="32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878"/>
                <w:sz w:val="19"/>
                <w:szCs w:val="19"/>
              </w:rPr>
              <w:t xml:space="preserve">URL prefix</w:t>
            </w:r>
          </w:p>
        </w:tc>
        <w:tc>
          <w:tcPr>
            <w:tcW w:type="dxa" w:w="27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878"/>
                <w:sz w:val="19"/>
                <w:szCs w:val="19"/>
              </w:rPr>
              <w:t xml:space="preserve">File</w:t>
            </w:r>
          </w:p>
        </w:tc>
        <w:tc>
          <w:tcPr>
            <w:tcW w:type="dxa" w:w="31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878"/>
                <w:sz w:val="19"/>
                <w:szCs w:val="19"/>
              </w:rPr>
              <w:t xml:space="preserve">What it serves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/api/v1/session/me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SessionEndpoints.cs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Who am I (resolved employee, roles, company)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/api/v1/identity/*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IdentityEndpoints.cs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Roles, user accounts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/api/v1/authorization/*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AuthorizationEndpoints.cs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Page definitions, role–page permission matrix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/api/v1/masters/customers|vendors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MasterEndpoints.cs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Customer &amp; Vendor masters + workflow actions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/api/v1/masters/item-categories, item-subcategories, uoms, manufacturers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ReferenceMasterEndpoints.cs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Item reference lookups (new)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/api/v1/items, /warehouses, /rack-bins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InventoryEndpoints.cs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Item, Warehouse, Rack/Bin masters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/api/v1/employees/*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EmployeeEndpoints.cs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Employee master, approval workflow, roles, history, lookups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/api/v1/purchase/* (requisitions)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PurchaseRequisitionEndpoints.cs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PR creation, stock check, approvals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/api/v1/purchase/* (RFQ→PO)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Rev869BPurchaseEndpoints.cs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RFQ, quotations, comparison, PO, follow-up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/api/v1/configuration/*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Rev869AConfigurationEndpoints.cs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UOM conversions, tax/GST, vendor qualifications, QC policies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/api/v1/audit/*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AuditEndpoints.cs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Audit history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/api/v1/dev/*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DevelopmentAuthEndpoints.cs</w:t>
            </w:r>
          </w:p>
        </w:tc>
        <w:tc>
          <w:tcPr>
            <w:tcW w:type="dxa" w:w="3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Debug-only dev sign-in (absent from Release builds)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456C4"/>
          <w:sz w:val="30"/>
          <w:szCs w:val="30"/>
        </w:rPr>
        <w:t xml:space="preserve">5. The database layer — where SQL actually happens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Connection: 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configured once in </w:t>
      </w:r>
      <w:r>
        <w:rPr>
          <w:rFonts w:ascii="Consolas" w:cs="Consolas" w:eastAsia="Consolas" w:hAnsi="Consolas"/>
          <w:color w:val="0E7C6B"/>
          <w:sz w:val="20"/>
          <w:szCs w:val="20"/>
        </w:rPr>
        <w:t xml:space="preserve">src/SESS.NexaERP.Infrastructure/DependencyInjection.cs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from the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ConnectionStrings__NexaErp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environment variable. There is deliberately no appsettings.json with credentials in the repo.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The DbContext (the ORM’s map of every table): </w:t>
      </w:r>
      <w:r>
        <w:rPr>
          <w:rFonts w:ascii="Consolas" w:cs="Consolas" w:eastAsia="Consolas" w:hAnsi="Consolas"/>
          <w:color w:val="0E7C6B"/>
          <w:sz w:val="20"/>
          <w:szCs w:val="20"/>
        </w:rPr>
        <w:t xml:space="preserve">src/SESS.NexaERP.Infrastructure/Persistence/NexaErpDbContext.cs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— one DbSet&lt;Entity&gt; property per table, split into partial files per module (NexaErpDbContext.StoresPart1.cs, .Rev869A.cs, …). All tables live in the PostgreSQL schema "advance".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Migrations (versioned schema changes): </w:t>
      </w:r>
      <w:r>
        <w:rPr>
          <w:rFonts w:ascii="Consolas" w:cs="Consolas" w:eastAsia="Consolas" w:hAnsi="Consolas"/>
          <w:color w:val="0E7C6B"/>
          <w:sz w:val="20"/>
          <w:szCs w:val="20"/>
        </w:rPr>
        <w:t xml:space="preserve">src/SESS.NexaERP.Infrastructure/Persistence/Migrations/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— applied with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dotnet ef database update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Service implementations (complex module logic): </w:t>
      </w:r>
      <w:r>
        <w:rPr>
          <w:rFonts w:ascii="Consolas" w:cs="Consolas" w:eastAsia="Consolas" w:hAnsi="Consolas"/>
          <w:color w:val="0E7C6B"/>
          <w:sz w:val="20"/>
          <w:szCs w:val="20"/>
        </w:rPr>
        <w:t xml:space="preserve">src/SESS.NexaERP.Infrastructure/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subfolders — e.g. Purchase/EfRev869BPurchaseService.cs, Authorization/EfPagePermissionService.cs. Simple CRUD endpoints use the DbContext directly; workflow-heavy modules go through these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Seed data: </w:t>
      </w:r>
      <w:r>
        <w:rPr>
          <w:rFonts w:ascii="Consolas" w:cs="Consolas" w:eastAsia="Consolas" w:hAnsi="Consolas"/>
          <w:color w:val="0E7C6B"/>
          <w:sz w:val="20"/>
          <w:szCs w:val="20"/>
        </w:rPr>
        <w:t xml:space="preserve">src/SESS.NexaERP.Infrastructure/Persistence/*SeedData.cs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; reversible trial rows come from </w:t>
      </w:r>
      <w:r>
        <w:rPr>
          <w:rFonts w:ascii="Consolas" w:cs="Consolas" w:eastAsia="Consolas" w:hAnsi="Consolas"/>
          <w:color w:val="0E7C6B"/>
          <w:sz w:val="20"/>
          <w:szCs w:val="20"/>
        </w:rPr>
        <w:t xml:space="preserve">database/postgresql/trial-master-data-apply.sql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via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tools/trial-master-data.ps1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456C4"/>
          <w:sz w:val="30"/>
          <w:szCs w:val="30"/>
        </w:rPr>
        <w:t xml:space="preserve">6. One call end-to-end: GET /api/v1/masters/vendors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Route match. 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MapGroup("/api/v1/masters") + MapGet("/vendors", …) in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src/SESS.NexaERP.Api/Endpoints/MasterEndpoints.cs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(line ~113).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Pipeline steps 1–5. 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Error envelope armed → JWT verified → identity resolved from DB → authorization enforced.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Page permission. 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.RequirePagePermission("masters.vendors", View) → role matrix checked in the DB. Fail → 403.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Parameter binding. 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page, pageSize, search, status, type, sortBy bound automatically from the query string into the handler’s parameters.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Query building. 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db.Vendors.AsNoTracking() + organization scope + search/status filters — LINQ only, no SQL executed yet.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SQL executes. 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CountAsync() (total for paging), then sort + Skip/Take + projection to VendorSummary — two SELECTs against advance.vendors.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Field-level security. 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BankMetadata is nulled unless the role holds commercial-view permission.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Response. 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Wrapped in PagedResponse&lt;T&gt; → {TotalCount, PageNumber, PageSize, Items}, serialized PascalCase.</w:t>
      </w:r>
    </w:p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POST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(same file, line ~148) adds: body → UpsertVendorRequest DTO → ValidateVendorAsync (required fields 400, GSTIN/PAN format 400, duplicates 409) → new Vendor entity in Draft + MasterStatusHistory row → one transaction → audit write → 201 Created.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PUT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(line ~162) adds three protections: approved vendor code is immutable (400); the body must echo the record’s Version or you get 409 stale-version (optimistic concurrency); changing controlled fields (GST, bank) records re-verification evidence.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456C4"/>
          <w:sz w:val="30"/>
          <w:szCs w:val="30"/>
        </w:rPr>
        <w:t xml:space="preserve">7. Change one field, end to end</w:t>
      </w:r>
    </w:p>
    <w:p>
      <w:pPr>
        <w:spacing w:after="120"/>
      </w:pPr>
      <w:r>
        <w:rPr>
          <w:rFonts w:ascii="Calibri" w:cs="Calibri" w:eastAsia="Calibri" w:hAnsi="Calibri"/>
          <w:color w:val="1D2734"/>
          <w:sz w:val="22"/>
          <w:szCs w:val="22"/>
        </w:rPr>
        <w:t xml:space="preserve">Say you want to add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Website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to the Vendor master. Six touches, in this order: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Domain entity — the table shape.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src/SESS.NexaERP.Domain/Masters/Vendor.cs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→ add: public string? Website { get; set; }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Migration — the schema change. 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From target-dotnet/: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dotnet ef migrations add AddVendorWebsite --project src\SESS.NexaERP.Infrastructure --startup-project src\SESS.NexaERP.Api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→ generates a file in Persistence/Migrations/. Then: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dotnet ef database update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Contracts — the wire shape.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src/SESS.NexaERP.Application/Masters/MasterContracts.cs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→ add Website to VendorDetail and UpsertVendorRequest.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Endpoint — read &amp; write the field.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src/SESS.NexaERP.Api/Endpoints/MasterEndpoints.cs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→ map it in ApplyVendor(...) (request → entity) and ToDetail(...) (entity → response). Add validation in ValidateVendorAsync if needed.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Frontend type.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src/SESS.NexaERP.Web/src/types/vendor.ts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→ add Website: string | null to both interfaces.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  <w:color w:val="1D2734"/>
          <w:sz w:val="22"/>
          <w:szCs w:val="22"/>
        </w:rPr>
        <w:t xml:space="preserve">Frontend UI.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src/SESS.NexaERP.Web/src/features/vendors/VendorFormModal.tsx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(input) and </w:t>
      </w:r>
      <w:r>
        <w:rPr>
          <w:rFonts w:ascii="Consolas" w:cs="Consolas" w:eastAsia="Consolas" w:hAnsi="Consolas"/>
          <w:color w:val="2456C4"/>
          <w:sz w:val="20"/>
          <w:szCs w:val="20"/>
        </w:rPr>
        <w:t xml:space="preserve">src/SESS.NexaERP.Web/src/features/vendors/VendorDetailPage.tsx</w:t>
      </w:r>
      <w:r>
        <w:rPr>
          <w:rFonts w:ascii="Calibri" w:cs="Calibri" w:eastAsia="Calibri" w:hAnsi="Calibri"/>
          <w:color w:val="1D2734"/>
          <w:sz w:val="22"/>
          <w:szCs w:val="22"/>
        </w:rPr>
        <w:t xml:space="preserve"> (display).</w:t>
      </w:r>
    </w:p>
    <w:p>
      <w:pPr>
        <w:spacing w:after="120"/>
      </w:pPr>
    </w:p>
    <w:tbl>
      <w:tblPr>
        <w:tblW w:type="dxa" w:w="9000"/>
        <w:tblBorders>
          <w:top w:val="single" w:color="C9D2DD" w:sz="4"/>
          <w:left w:val="single" w:color="2456C4" w:sz="24"/>
          <w:bottom w:val="single" w:color="C9D2DD" w:sz="4"/>
          <w:right w:val="single" w:color="C9D2DD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4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aps/>
                <w:color w:val="2456C4"/>
                <w:sz w:val="17"/>
                <w:szCs w:val="17"/>
              </w:rPr>
              <w:t xml:space="preserve">Pattern</w:t>
            </w:r>
          </w:p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The same six touches apply to any module — swap Vendor.cs for the module’s entity, MasterContracts.cs for its contracts file, and the endpoints file per the route table in section 4.</w:t>
            </w:r>
          </w:p>
        </w:tc>
      </w:tr>
    </w:tbl>
    <w:p>
      <w:pPr>
        <w:spacing w:after="12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456C4"/>
          <w:sz w:val="30"/>
          <w:szCs w:val="30"/>
        </w:rPr>
        <w:t xml:space="preserve">8. Configuration — every environment variable the API reads</w:t>
      </w:r>
    </w:p>
    <w:tbl>
      <w:tblPr>
        <w:tblW w:type="dxa" w:w="9000"/>
        <w:tblBorders>
          <w:top w:val="single" w:color="C9D2DD" w:sz="4"/>
          <w:left w:val="single" w:color="C9D2DD" w:sz="4"/>
          <w:bottom w:val="single" w:color="C9D2DD" w:sz="4"/>
          <w:right w:val="single" w:color="C9D2DD" w:sz="4"/>
          <w:insideH w:val="single" w:color="C9D2DD" w:sz="4"/>
          <w:insideV w:val="single" w:color="C9D2DD" w:sz="4"/>
        </w:tblBorders>
      </w:tblPr>
      <w:tblGrid>
        <w:gridCol w:w="3600"/>
        <w:gridCol w:w="3000"/>
        <w:gridCol w:w="2400"/>
      </w:tblGrid>
      <w:tr>
        <w:trPr>
          <w:tblHeader/>
        </w:trPr>
        <w:tc>
          <w:tcPr>
            <w:tcW w:type="dxa" w:w="36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878"/>
                <w:sz w:val="19"/>
                <w:szCs w:val="19"/>
              </w:rPr>
              <w:t xml:space="preserve">Variable</w:t>
            </w:r>
          </w:p>
        </w:tc>
        <w:tc>
          <w:tcPr>
            <w:tcW w:type="dxa" w:w="30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878"/>
                <w:sz w:val="19"/>
                <w:szCs w:val="19"/>
              </w:rPr>
              <w:t xml:space="preserve">Purpose</w:t>
            </w:r>
          </w:p>
        </w:tc>
        <w:tc>
          <w:tcPr>
            <w:tcW w:type="dxa" w:w="24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878"/>
                <w:sz w:val="19"/>
                <w:szCs w:val="19"/>
              </w:rPr>
              <w:t xml:space="preserve">Read in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ConnectionStrings__NexaErp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PostgreSQL connection (the only secret)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Infrastructure/DependencyInjection.cs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ASPNETCORE_ENVIRONMENT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"Development" unlocks dev-only behavior in the API (web host)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framework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DOTNET_ENVIRONMENT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Same, for the Installer and trial-data tooling (non-web hosts) — set both in dev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Installer commands, tools/trial-master-data.ps1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Authentication__Authority / __Audience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Production OIDC issuer + API audience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Api/Program.cs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DatabaseSecurity__AllowDevelopmentSuperuser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Debug-only: allow postgres superuser locally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DatabaseRuntimePrincipalGuard.cs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NexaErp__AllowDevelopmentAuthentication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Debug-only: enable /api/v1/dev/* sign-in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Api/Program.cs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NexaErp__ExpectedDatabase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Safety check for installer/trial tooling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Installer, tools/trial-master-data.ps1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C9D2DD" w:sz="4"/>
          <w:left w:val="single" w:color="2456C4" w:sz="24"/>
          <w:bottom w:val="single" w:color="C9D2DD" w:sz="4"/>
          <w:right w:val="single" w:color="C9D2DD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4F7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aps/>
                <w:color w:val="2456C4"/>
                <w:sz w:val="17"/>
                <w:szCs w:val="17"/>
              </w:rPr>
              <w:t xml:space="preserve">Release safety</w:t>
            </w:r>
          </w:p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Every Development/Debug exemption above hard-fails a Release build if the setting is even present — the dev conveniences physically cannot ship to production.</w:t>
            </w:r>
          </w:p>
        </w:tc>
      </w:tr>
    </w:tbl>
    <w:p>
      <w:pPr>
        <w:spacing w:after="120"/>
      </w:pP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2456C4"/>
          <w:sz w:val="30"/>
          <w:szCs w:val="30"/>
        </w:rPr>
        <w:t xml:space="preserve">9. Where do I look for…?</w:t>
      </w:r>
    </w:p>
    <w:tbl>
      <w:tblPr>
        <w:tblW w:type="dxa" w:w="9000"/>
        <w:tblBorders>
          <w:top w:val="single" w:color="C9D2DD" w:sz="4"/>
          <w:left w:val="single" w:color="C9D2DD" w:sz="4"/>
          <w:bottom w:val="single" w:color="C9D2DD" w:sz="4"/>
          <w:right w:val="single" w:color="C9D2DD" w:sz="4"/>
          <w:insideH w:val="single" w:color="C9D2DD" w:sz="4"/>
          <w:insideV w:val="single" w:color="C9D2DD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878"/>
                <w:sz w:val="19"/>
                <w:szCs w:val="19"/>
              </w:rPr>
              <w:t xml:space="preserve">Question</w:t>
            </w:r>
          </w:p>
        </w:tc>
        <w:tc>
          <w:tcPr>
            <w:tcW w:type="dxa" w:w="5800"/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6878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What URLs exist?</w:t>
            </w:r>
          </w:p>
        </w:tc>
        <w:tc>
          <w:tcPr>
            <w:tcW w:type="dxa" w:w="5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Search MapGet( / MapPost( in </w:t>
            </w:r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src/SESS.NexaERP.Api/Endpoints/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What JSON goes over the wire?</w:t>
            </w:r>
          </w:p>
        </w:tc>
        <w:tc>
          <w:tcPr>
            <w:tcW w:type="dxa" w:w="5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src/SESS.NexaERP.Application/&lt;module&gt;/*Contracts.cs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What columns does a table have?</w:t>
            </w:r>
          </w:p>
        </w:tc>
        <w:tc>
          <w:tcPr>
            <w:tcW w:type="dxa" w:w="5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src/SESS.NexaERP.Domain/&lt;module&gt;/*.cs</w:t>
            </w:r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 (+ its migration)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Where does SQL run?</w:t>
            </w:r>
          </w:p>
        </w:tc>
        <w:tc>
          <w:tcPr>
            <w:tcW w:type="dxa" w:w="5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DbContext usage in endpoints, or </w:t>
            </w:r>
            <w:r>
              <w:rPr>
                <w:rFonts w:ascii="Consolas" w:cs="Consolas" w:eastAsia="Consolas" w:hAnsi="Consolas"/>
                <w:color w:val="0E7C6B"/>
                <w:sz w:val="20"/>
                <w:szCs w:val="20"/>
              </w:rPr>
              <w:t xml:space="preserve">src/SESS.NexaERP.Infrastructure/&lt;module&gt;/Ef*.cs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Why did I get 401?</w:t>
            </w:r>
          </w:p>
        </w:tc>
        <w:tc>
          <w:tcPr>
            <w:tcW w:type="dxa" w:w="5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Token invalid (pipeline 3) or identity unresolved (pipeline 4)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Why did I get 403?</w:t>
            </w:r>
          </w:p>
        </w:tc>
        <w:tc>
          <w:tcPr>
            <w:tcW w:type="dxa" w:w="5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Role lacks the page action — </w:t>
            </w:r>
            <w:r>
              <w:rPr>
                <w:rFonts w:ascii="Consolas" w:cs="Consolas" w:eastAsia="Consolas" w:hAnsi="Consolas"/>
                <w:color w:val="2456C4"/>
                <w:sz w:val="20"/>
                <w:szCs w:val="20"/>
              </w:rPr>
              <w:t xml:space="preserve">Api/Security/PagePermissionEndpointFilter.cs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Why did I get 409?</w:t>
            </w:r>
          </w:p>
        </w:tc>
        <w:tc>
          <w:tcPr>
            <w:tcW w:type="dxa" w:w="5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Duplicate identity, or stale Version (optimistic concurrency)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Who changed this record?</w:t>
            </w:r>
          </w:p>
        </w:tc>
        <w:tc>
          <w:tcPr>
            <w:tcW w:type="dxa" w:w="5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D2734"/>
                <w:sz w:val="22"/>
                <w:szCs w:val="22"/>
              </w:rPr>
              <w:t xml:space="preserve">advance.audit_logs via </w:t>
            </w:r>
            <w:r>
              <w:rPr>
                <w:rFonts w:ascii="Consolas" w:cs="Consolas" w:eastAsia="Consolas" w:hAnsi="Consolas"/>
                <w:color w:val="0E7C6B"/>
                <w:sz w:val="20"/>
                <w:szCs w:val="20"/>
              </w:rPr>
              <w:t xml:space="preserve">Infrastructure/Audit/EfAuditWriter.cs</w:t>
            </w:r>
          </w:p>
        </w:tc>
      </w:tr>
    </w:tbl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734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2026-08-29T06:37:44.631Z</dcterms:created>
  <dcterms:modified xsi:type="dcterms:W3CDTF">2026-08-29T06:37:44.632Z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