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0F6B78"/>
          <w:sz w:val="36"/>
        </w:rPr>
        <w:t>SESS ERP</w:t>
      </w:r>
    </w:p>
    <w:p>
      <w:pPr>
        <w:pStyle w:val="Title"/>
        <w:jc w:val="center"/>
      </w:pPr>
      <w:r>
        <w:t>Stores Full-Schema</w:t>
        <w:br/>
        <w:t>Decision &amp; Implementation Guideline</w:t>
      </w:r>
    </w:p>
    <w:p>
      <w:pPr>
        <w:jc w:val="center"/>
      </w:pPr>
      <w:r>
        <w:rPr>
          <w:b/>
          <w:color w:val="1F4E78"/>
          <w:sz w:val="28"/>
        </w:rPr>
        <w:t>For SESS Proprietorship and SESS Pvt. Ltd.</w:t>
      </w:r>
    </w:p>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PURPOSE</w:t>
            </w:r>
          </w:p>
          <w:p>
            <w:pPr>
              <w:spacing w:after="0" w:line="252" w:lineRule="auto"/>
            </w:pPr>
            <w:r>
              <w:t>Freeze the business rules before full-schema development, protect stock and custody traceability, and give the ERP team one approved implementation baseline.</w:t>
            </w:r>
          </w:p>
        </w:tc>
      </w:tr>
    </w:tbl>
    <w:p>
      <w:pPr>
        <w:spacing w:after="0"/>
      </w:pPr>
    </w:p>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Document field</w:t>
            </w:r>
          </w:p>
        </w:tc>
        <w:tc>
          <w:tcPr>
            <w:tcW w:type="dxa" w:w="7560"/>
            <w:vAlign w:val="center"/>
            <w:tcMar>
              <w:top w:w="70" w:type="dxa"/>
              <w:start w:w="80" w:type="dxa"/>
              <w:bottom w:w="70" w:type="dxa"/>
              <w:end w:w="80" w:type="dxa"/>
            </w:tcMar>
            <w:shd w:fill="17365D"/>
          </w:tcPr>
          <w:p>
            <w:pPr>
              <w:spacing w:after="0" w:line="240" w:lineRule="auto"/>
            </w:pPr>
            <w:r/>
            <w:r>
              <w:rPr>
                <w:rFonts w:ascii="Aptos" w:hAnsi="Aptos"/>
                <w:b/>
                <w:color w:val="FFFFFF"/>
                <w:sz w:val="17"/>
              </w:rPr>
              <w:t>Value</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Document status</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 xml:space="preserve">Frozen baseline - 12 contradictions and Batches 1-4 confirmed</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Version</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 xml:space="preserve">1.5 - Batch 4 stock exceptions, counting and disposal frozen</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Prepared date</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31 August 2026</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Source reviewed</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 xml:space="preserve">The full.docx, final 12-decision freeze and all 90 schema questions</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Applies to</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Stores, Purchase, Production, Service, QC, Projects, Accounts and HR handoffs</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System scope</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Separate company books with controlled shared masters and authorized consolidated reporting</w:t>
            </w:r>
          </w:p>
        </w:tc>
      </w:tr>
    </w:tbl>
    <w:p>
      <w:pPr>
        <w:spacing w:after="0"/>
      </w:pPr>
    </w:p>
    <w:p/>
    <w:p>
      <w:pPr>
        <w:jc w:val="center"/>
      </w:pPr>
      <w:r>
        <w:rPr>
          <w:b/>
          <w:color w:val="17365D"/>
          <w:sz w:val="21"/>
        </w:rPr>
        <w:t>Approval: Technical Director / Managing Director</w:t>
      </w:r>
    </w:p>
    <w:p>
      <w:r>
        <w:br w:type="page"/>
      </w:r>
    </w:p>
    <w:p>
      <w:pPr>
        <w:pStyle w:val="Heading1"/>
      </w:pPr>
      <w:r>
        <w:t>1. Executive Direction</w:t>
      </w:r>
    </w:p>
    <w:p>
      <w:r>
        <w:t>The full-schema programme may proceed only after the rules in this guideline are accepted as the controlled baseline. Database tables, APIs, screens and reports must all enforce the same rule; a screen warning must never contradict a database hard control.</w:t>
      </w: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GO-LIVE RULE</w:t>
            </w:r>
          </w:p>
          <w:p>
            <w:pPr>
              <w:spacing w:after="0" w:line="252" w:lineRule="auto"/>
            </w:pPr>
            <w:r>
              <w:t>No module may be released merely because its screen is complete. It must pass workflow, permission, posting, reversal, audit, reconciliation, reporting and acceptance tests.</w:t>
            </w:r>
          </w:p>
        </w:tc>
      </w:tr>
    </w:tbl>
    <w:p>
      <w:pPr>
        <w:spacing w:after="0"/>
      </w:pPr>
    </w:p>
    <w:p>
      <w:pPr>
        <w:pStyle w:val="Heading2"/>
      </w:pPr>
      <w:r>
        <w:t>1.1 Current implementation position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Capability</w:t>
            </w:r>
          </w:p>
        </w:tc>
        <w:tc>
          <w:tcPr>
            <w:tcW w:type="dxa" w:w="3384"/>
            <w:vAlign w:val="center"/>
            <w:tcMar>
              <w:top w:w="70" w:type="dxa"/>
              <w:start w:w="80" w:type="dxa"/>
              <w:bottom w:w="70" w:type="dxa"/>
              <w:end w:w="80" w:type="dxa"/>
            </w:tcMar>
            <w:shd w:fill="17365D"/>
          </w:tcPr>
          <w:p>
            <w:pPr>
              <w:spacing w:after="0" w:line="240" w:lineRule="auto"/>
            </w:pPr>
            <w:r/>
            <w:r>
              <w:rPr>
                <w:rFonts w:ascii="Aptos" w:hAnsi="Aptos"/>
                <w:b/>
                <w:color w:val="FFFFFF"/>
                <w:sz w:val="17"/>
              </w:rPr>
              <w:t>Current position</w:t>
            </w:r>
          </w:p>
        </w:tc>
        <w:tc>
          <w:tcPr>
            <w:tcW w:type="dxa" w:w="4464"/>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Gate Entry, Warehouse, Rack</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Executable services/endpoints exist</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Retain and regression-test against the frozen company/site/location rules.</w:t>
            </w:r>
          </w:p>
        </w:tc>
      </w:tr>
      <w:tr>
        <w:trPr>
          <w:cantSplit/>
        </w:trPr>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7"/>
              </w:rPr>
              <w:t>GRN, QC, MIR, DC, Stock Posting</w:t>
            </w:r>
          </w:p>
        </w:tc>
        <w:tc>
          <w:tcPr>
            <w:tcW w:type="dxa" w:w="3384"/>
            <w:vAlign w:val="center"/>
            <w:tcMar>
              <w:top w:w="70" w:type="dxa"/>
              <w:start w:w="80" w:type="dxa"/>
              <w:bottom w:w="70" w:type="dxa"/>
              <w:end w:w="80" w:type="dxa"/>
            </w:tcMar>
            <w:shd w:fill="EEF5F9"/>
          </w:tcPr>
          <w:p>
            <w:pPr>
              <w:spacing w:after="0" w:line="240" w:lineRule="auto"/>
            </w:pPr>
            <w:r/>
            <w:r>
              <w:rPr>
                <w:rFonts w:ascii="Aptos" w:hAnsi="Aptos"/>
                <w:b w:val="0"/>
                <w:sz w:val="17"/>
              </w:rPr>
              <w:t>Applied tables and PostgreSQL controls; application services/endpoints pending</w:t>
            </w:r>
          </w:p>
        </w:tc>
        <w:tc>
          <w:tcPr>
            <w:tcW w:type="dxa" w:w="4464"/>
            <w:vAlign w:val="center"/>
            <w:tcMar>
              <w:top w:w="70" w:type="dxa"/>
              <w:start w:w="80" w:type="dxa"/>
              <w:bottom w:w="70" w:type="dxa"/>
              <w:end w:w="80" w:type="dxa"/>
            </w:tcMar>
            <w:shd w:fill="EEF5F9"/>
          </w:tcPr>
          <w:p>
            <w:pPr>
              <w:spacing w:after="0" w:line="240" w:lineRule="auto"/>
            </w:pPr>
            <w:r/>
            <w:r>
              <w:rPr>
                <w:rFonts w:ascii="Aptos" w:hAnsi="Aptos"/>
                <w:b w:val="0"/>
                <w:sz w:val="17"/>
              </w:rPr>
              <w:t>Build services only after the 12 contradiction decisions are signed off.</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BOM, Costing, Tools, Service and extended Stores</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Specification stage</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Design to the 90-question baseline and the approvals in this document.</w:t>
            </w:r>
          </w:p>
        </w:tc>
      </w:tr>
    </w:tbl>
    <w:p>
      <w:pPr>
        <w:spacing w:after="0"/>
      </w:pPr>
    </w:p>
    <w:p>
      <w:pPr>
        <w:pStyle w:val="Heading2"/>
      </w:pPr>
      <w:r>
        <w:t>1.2 Guiding principles</w:t>
      </w:r>
    </w:p>
    <w:p>
      <w:pPr>
        <w:pStyle w:val="ListBullet"/>
      </w:pPr>
      <w:r>
        <w:t>Physical truth first: record what entered, where it is, its condition, owner and custodian.</w:t>
      </w:r>
    </w:p>
    <w:p>
      <w:pPr>
        <w:pStyle w:val="ListBullet"/>
      </w:pPr>
      <w:r>
        <w:t>Commercial authorization first: PO revision precedes acceptance of excess quantity; approved MIR precedes issue.</w:t>
      </w:r>
    </w:p>
    <w:p>
      <w:pPr>
        <w:pStyle w:val="ListBullet"/>
      </w:pPr>
      <w:r>
        <w:t>No negative stock under any circumstance. Emergency work uses fast approval, transfer or approved substitute.</w:t>
      </w:r>
    </w:p>
    <w:p>
      <w:pPr>
        <w:pStyle w:val="ListBullet"/>
      </w:pPr>
      <w:r>
        <w:t>Every posted movement is immutable. Correction is by typed reversal and reposting, never edit or delete.</w:t>
      </w:r>
    </w:p>
    <w:p>
      <w:pPr>
        <w:pStyle w:val="ListBullet"/>
      </w:pPr>
      <w:r>
        <w:t>One item identity is retained across Purchase, Stores, Tool, Production and Service processes.</w:t>
      </w:r>
    </w:p>
    <w:p>
      <w:pPr>
        <w:pStyle w:val="ListBullet"/>
      </w:pPr>
      <w:r>
        <w:t>Company scope comes from authenticated session and document ancestry, never operator-entered company text.</w:t>
      </w:r>
    </w:p>
    <w:p>
      <w:pPr>
        <w:pStyle w:val="ListBullet"/>
      </w:pPr>
      <w:r>
        <w:t>Physical location, ownership, custody, reservation and valuation are separate dimensions.</w:t>
      </w:r>
    </w:p>
    <w:p>
      <w:pPr>
        <w:pStyle w:val="ListBullet"/>
      </w:pPr>
      <w:r>
        <w:t>Every exception needs a named owner, reason, due date, evidence, approval and closure/reconciliation path.</w:t>
      </w:r>
    </w:p>
    <w:p>
      <w:pPr>
        <w:pStyle w:val="Heading1"/>
      </w:pPr>
      <w:r>
        <w:t>2. Frozen Decisions for the 12 Contradictions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No.</w:t>
            </w:r>
          </w:p>
        </w:tc>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topic</w:t>
            </w:r>
          </w:p>
        </w:tc>
        <w:tc>
          <w:tcPr>
            <w:tcW w:type="dxa" w:w="1008"/>
            <w:vAlign w:val="center"/>
            <w:tcMar>
              <w:top w:w="70" w:type="dxa"/>
              <w:start w:w="80" w:type="dxa"/>
              <w:bottom w:w="70" w:type="dxa"/>
              <w:end w:w="80" w:type="dxa"/>
            </w:tcMar>
            <w:shd w:fill="17365D"/>
          </w:tcPr>
          <w:p>
            <w:pPr>
              <w:spacing w:after="0" w:line="240" w:lineRule="auto"/>
            </w:pPr>
            <w:r/>
            <w:r>
              <w:rPr>
                <w:rFonts w:ascii="Aptos" w:hAnsi="Aptos"/>
                <w:b/>
                <w:color w:val="FFFFFF"/>
                <w:sz w:val="17"/>
              </w:rPr>
              <w:t>Freeze</w:t>
            </w:r>
          </w:p>
        </w:tc>
        <w:tc>
          <w:tcPr>
            <w:tcW w:type="dxa" w:w="6408"/>
            <w:vAlign w:val="center"/>
            <w:tcMar>
              <w:top w:w="70" w:type="dxa"/>
              <w:start w:w="80" w:type="dxa"/>
              <w:bottom w:w="70" w:type="dxa"/>
              <w:end w:w="80" w:type="dxa"/>
            </w:tcMar>
            <w:shd w:fill="17365D"/>
          </w:tcPr>
          <w:p>
            <w:pPr>
              <w:spacing w:after="0" w:line="240" w:lineRule="auto"/>
            </w:pPr>
            <w:r/>
            <w:r>
              <w:rPr>
                <w:rFonts w:ascii="Aptos" w:hAnsi="Aptos"/>
                <w:b/>
                <w:color w:val="FFFFFF"/>
                <w:sz w:val="17"/>
              </w:rPr>
              <w:t>Implementation guideline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a pending custody state, not a completed inspection result. Final QC is accept, partial accept or reject.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Over-receipt</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Record delivered excess physically, segregate it for return and exclude it from received stock. Revise the PO before acceptance.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3</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Negative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Hard block. No emergency override. Use another bin, authorized transfer, approved substitute or wait for receipt.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4</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Issue before MIR approval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Approval must precede physical issue and ledger posting. Provide fast/on-call emergency approval.</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5</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Issue beyond approved BOM</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 xml:space="preserve">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 xml:space="preserve">Issue beyond the Estimated/Approved BOM remains allowed after MIR approval. Record the variance and emit a durable notification; no BOM-deviation approval is required for extra quantity.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6</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Duplicate serial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Warnings may occur during entry, but normalized stored serial identity must be unique at finalization.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7</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Returnable loss/write-off</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Allow closure only through an approved typed loss/damage/write-off reconciliation leg; never force-close.</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8</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Actual BOM costing</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t>Actual BOM uses accepted vendor bill allocation. Strict FIFO inventory issue valuation remains separate.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9</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inspector assignment</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Resolve the effective QC_MANAGER employee and record the actual inspector; retain a recorded PR-raiser fallback.</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10</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Reserved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Reservation is a commitment/availability bucket, not a location or stock movement.</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 vs quarantine</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routine inspection custody; QUARANTINE is exceptional safety/identity/compliance isolation.</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master identity</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Tool Master is a capability: existing Item plus serialized tool asset, calibration, kit and custody extensions.</w:t>
            </w:r>
          </w:p>
        </w:tc>
      </w:tr>
    </w:tbl>
    <w:p>
      <w:pPr>
        <w:spacing w:before="120" w:after="60"/>
      </w:pPr>
      <w:r>
        <w:rPr>
          <w:b/>
        </w:rPr>
        <w:t xml:space="preserve">FINAL FREEZE - 10 KEEP / 2 CHANGE</w:t>
      </w:r>
    </w:p>
    <w:p>
      <w:pPr>
        <w:spacing w:before="120" w:after="60"/>
      </w:pPr>
      <w:r>
        <w:t xml:space="preserve">Technical Director override for Decision 5: issue beyond the Estimated/Approved BOM remains allowed after MIR approval. It records immutable variance evidence and emits a durable notification. It does not wait for or require a BOM-deviation approval. This quantity rule does not remove separate approval for use of a different substitute item.</w:t>
      </w:r>
    </w:p>
    <w:p>
      <w:pPr>
        <w:spacing w:after="0"/>
      </w:pPr>
    </w:p>
    <w:tbl>
      <w:tblPr>
        <w:tblW w:type="auto" w:w="0"/>
        <w:jc w:val="center"/>
        <w:tblLook w:firstColumn="1" w:firstRow="1" w:lastColumn="0" w:lastRow="0" w:noHBand="0" w:noVBand="1" w:val="04A0"/>
      </w:tblPr>
      <w:tblGrid>
        <w:gridCol w:w="10224"/>
      </w:tblGrid>
      <w:tr>
        <w:trPr>
          <w:cantSplit/>
        </w:trPr>
        <w:tc>
          <w:tcPr>
            <w:tcW w:type="dxa" w:w="10224"/>
            <w:shd w:fill="FCE4D6"/>
            <w:tcMar>
              <w:top w:w="130" w:type="dxa"/>
              <w:start w:w="150" w:type="dxa"/>
              <w:bottom w:w="130" w:type="dxa"/>
              <w:end w:w="150" w:type="dxa"/>
            </w:tcMar>
          </w:tcPr>
          <w:p>
            <w:pPr>
              <w:spacing w:after="60"/>
            </w:pPr>
            <w:r/>
            <w:r>
              <w:rPr>
                <w:b/>
                <w:color w:val="A61B1B"/>
                <w:sz w:val="20"/>
              </w:rPr>
              <w:t>MANDATORY SIGN-OFF</w:t>
            </w:r>
          </w:p>
          <w:p>
            <w:pPr>
              <w:spacing w:after="0" w:line="252" w:lineRule="auto"/>
            </w:pPr>
            <w:r>
              <w:t>If management changes any of these 12 decisions, the ERP team must issue a documented impact note covering affected tables, controls, APIs, screens, reports, migrations and test cases before coding.</w:t>
            </w:r>
          </w:p>
        </w:tc>
      </w:tr>
    </w:tbl>
    <w:p>
      <w:pPr>
        <w:spacing w:after="0"/>
      </w:pPr>
    </w:p>
    <w:p>
      <w:pPr>
        <w:pStyle w:val="Heading1"/>
      </w:pPr>
      <w:r>
        <w:t>3. End-to-End Stores Operating Guideline</w:t>
      </w: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Step</w:t>
            </w:r>
          </w:p>
        </w:tc>
        <w:tc>
          <w:tcPr>
            <w:tcW w:type="dxa" w:w="1368"/>
            <w:vAlign w:val="center"/>
            <w:tcMar>
              <w:top w:w="70" w:type="dxa"/>
              <w:start w:w="80" w:type="dxa"/>
              <w:bottom w:w="70" w:type="dxa"/>
              <w:end w:w="80" w:type="dxa"/>
            </w:tcMar>
            <w:shd w:fill="17365D"/>
          </w:tcPr>
          <w:p>
            <w:pPr>
              <w:spacing w:after="0" w:line="240" w:lineRule="auto"/>
            </w:pPr>
            <w:r/>
            <w:r>
              <w:rPr>
                <w:rFonts w:ascii="Aptos" w:hAnsi="Aptos"/>
                <w:b/>
                <w:color w:val="FFFFFF"/>
                <w:sz w:val="17"/>
              </w:rPr>
              <w:t>Stage</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Primary record</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4248"/>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condition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Demand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 / project / service request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Department requester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Approved need and company/project identity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PO and revisions</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Supplier, item, quantity, rate, tax and delivery authorization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3</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Gate Entry</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Vehicle/material inward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Security / Stores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Physical delivery, challan/invoice and delivered quantity recorded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4</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GRN</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Receipt against PO</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Storekeeper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Received quantity within PO balance; excess segregated</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5</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QC</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Inspection and disposition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Assigned QC employee</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Accepted to AVAILABLE; rejected to PENDING_RETURNABLE_DC</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6</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Storage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Put-away / rack 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Exact warehouse, rack, condition, lot/serial and owner</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7</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Reservation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Commit stock</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Authorized planner/request owner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Availability reduced; no physical movement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8</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MIR &amp;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Approved material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Requester + approver + 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Atomic issue to project/service/employee custody</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9</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Fitment/Use</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Production or service confirmation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Engineer / Production + QC</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Actual consumption and BOM/service ancestry created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10</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Return/Transfer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Unused return, DC, inter-site or intercompany</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Current and receiving custodians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Dual acknowledgement and reconciliation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Billing/Cost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Accepted bill and valuation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Accounts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Procurement cost and inventory valuation retained separately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Project/DC/tool/service 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Process owner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All quantities and exceptions reconcile to zero/open balance truth</w:t>
            </w:r>
          </w:p>
        </w:tc>
      </w:tr>
    </w:tbl>
    <w:p>
      <w:pPr>
        <w:spacing w:after="0"/>
      </w:pPr>
    </w:p>
    <w:p>
      <w:pPr>
        <w:pStyle w:val="Heading1"/>
      </w:pPr>
      <w:r>
        <w:t>4. Mandatory Control Rules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Control</w:t>
            </w:r>
          </w:p>
        </w:tc>
        <w:tc>
          <w:tcPr>
            <w:tcW w:type="dxa" w:w="799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ERP behaviour</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Company separation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Every transactional table contains CompanyId derived from session/document chain. Cross-company visibility is privileged and read-only unless a formal transfer is active.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Site and location</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Use company site -&gt; warehouse -&gt; rack/bin hierarchy. Do not store branch, van or site in free text.</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Ownership</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SESS-owned, customer-owned, supplier-loan and intercompany ownership remain separate from physical location.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Quantity</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Posted AVAILABLE balance cannot fall below zero. Serialized balance is zero or one per company/location/custody state.</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Serial/lot</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Normalize serials; hard-unique at finalization. Batch, manufacture and expiry become mandatory by effective item policy.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Approval authority is effective-dated, company-scoped and snapshotted on the transaction. Delegation must be explicit, time-bound and scope-bound.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Evidence</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Accepted evidence is versioned and superseded, never overwritten. Store hash, uploader, time, document type and access classification.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Posting</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All stock postings use one controlled atomic service/function with deterministic locking and typed source ancestry.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Correction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Use reversal linked to the original movement and corrected reposting. Preserve old and new records.</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Closure</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Status CLOSED is derived only when every line is returned, replaced, consumed, transferred, scrapped or reconciled through an approved exception.</w:t>
            </w:r>
          </w:p>
        </w:tc>
      </w:tr>
    </w:tbl>
    <w:p>
      <w:pPr>
        <w:spacing w:after="0"/>
      </w:pPr>
    </w:p>
    <w:p>
      <w:pPr>
        <w:pStyle w:val="Heading1"/>
      </w:pPr>
      <w:r>
        <w:t>5. Process-Specific Guidelines</w:t>
      </w:r>
    </w:p>
    <w:p>
      <w:pPr>
        <w:pStyle w:val="Heading2"/>
      </w:pPr>
      <w:r>
        <w:t>5.1 Receipt, GRN and QC</w:t>
      </w:r>
    </w:p>
    <w:p>
      <w:pPr>
        <w:pStyle w:val="ListBullet"/>
      </w:pPr>
      <w:r>
        <w:t>Gate Entry records delivered quantity even when it exceeds the PO; GRN accepts only the PO balance.</w:t>
      </w:r>
    </w:p>
    <w:p>
      <w:pPr>
        <w:pStyle w:val="ListBullet"/>
      </w:pPr>
      <w:r>
        <w:t>All GRN stock first enters QC_HOLD when QC is required. Items exempt by effective policy may route directly to AVAILABLE.</w:t>
      </w:r>
    </w:p>
    <w:p>
      <w:pPr>
        <w:pStyle w:val="ListBullet"/>
      </w:pPr>
      <w:r>
        <w:t>Partial acceptance records accepted and rejected quantities in one final QC revision.</w:t>
      </w:r>
    </w:p>
    <w:p>
      <w:pPr>
        <w:pStyle w:val="ListBullet"/>
      </w:pPr>
      <w:r>
        <w:t>Rejected material moves to PENDING_RETURNABLE_DC and needs disposition/return evidence.</w:t>
      </w:r>
    </w:p>
    <w:p>
      <w:pPr>
        <w:spacing w:before="120" w:after="60"/>
      </w:pPr>
      <w:r>
        <w:rPr>
          <w:b/>
        </w:rPr>
        <w:t xml:space="preserve">5.1.1 TD use-as-is concession and lifetime provenance</w:t>
      </w:r>
    </w:p>
    <w:p>
      <w:pPr>
        <w:spacing w:before="120" w:after="60"/>
      </w:pPr>
      <w:r>
        <w:t xml:space="preserve">A concession may be raised only after QC has finalized a rejection. Only the directly effective TECHNICAL_DIRECTOR may approve; delegation and fallback resolution are forbidden. The decision binds exact rejected quantity, GRN-line lot allocation and exact serials where applicable. It records failed QC parameter/result links, measured value, technical acceptance reason and intended use.</w:t>
      </w:r>
    </w:p>
    <w:p>
      <w:pPr>
        <w:spacing w:before="120" w:after="60"/>
      </w:pPr>
      <w:r>
        <w:t xml:space="preserve">Approval and posting are one controlled transaction: transfer the exact approved provenance quantity from PENDING_RETURNABLE_DC to AVAILABLE through the controlled posting function. Approved decisions are immutable. Error correction creates a typed reversal posting and a new decision cycle. No extra restriction is derived from customer certification or type-approval class.</w:t>
      </w:r>
    </w:p>
    <w:p>
      <w:pPr>
        <w:spacing w:before="120" w:after="60"/>
      </w:pPr>
      <w:r>
        <w:t xml:space="preserve">Do not store concession as a flag on InventoryLot: only part of a lot may be conceded. Add an InventoryProvenanceLayer identity carried by every new ledger movement. The layer binds company, Item, lot allocation, origin receipt, ownership, optional serial and optional ConcessionDecisionId. A concession splits the rejected quantity into its own provenance layer; unaffected quantity retains its original layer.</w:t>
      </w:r>
    </w:p>
    <w:p>
      <w:pPr>
        <w:spacing w:before="120" w:after="60"/>
      </w:pPr>
      <w:r>
        <w:t xml:space="preserve">Put-away, issue, return and transfer movements must preserve InventoryProvenanceLayerId. Fitment references the issue movement/provenance layer. The full-schema acceptance chain must resolve end to end from machine Actual BOM and component ancestry through every intervening movement to exact concession decision, failed parameter, measured value, TD reason, approving employee, lot allocation, quantity and serials. Legacy movements may have a nullable provenance layer, but every new schema-version movement requires one.</w:t>
      </w:r>
    </w:p>
    <w:p>
      <w:pPr>
        <w:pStyle w:val="ListBullet"/>
      </w:pPr>
      <w:r>
        <w:t>QUARANTINE is used only for exceptional identity, contamination, safety or compliance uncertainty.</w:t>
      </w:r>
    </w:p>
    <w:p>
      <w:pPr>
        <w:pStyle w:val="Heading2"/>
      </w:pPr>
      <w:r>
        <w:t>5.2 Reservation, MIR and Issue</w:t>
      </w:r>
    </w:p>
    <w:p>
      <w:pPr>
        <w:pStyle w:val="ListBullet"/>
      </w:pPr>
      <w:r>
        <w:t>Reservation changes availability only; it does not relocate stock.</w:t>
      </w:r>
    </w:p>
    <w:p>
      <w:pPr>
        <w:pStyle w:val="ListBullet"/>
      </w:pPr>
      <w:r>
        <w:t>Every issue needs an approved MIR tied to company, project/service/cost centre and intended custodian.</w:t>
      </w:r>
    </w:p>
    <w:p>
      <w:pPr>
        <w:pStyle w:val="ListBullet"/>
      </w:pPr>
      <w:r>
        <w:t>Emergency requests use fast approval; stock cannot leave before approval.</w:t>
      </w:r>
    </w:p>
    <w:p>
      <w:pPr>
        <w:pStyle w:val="ListBullet"/>
      </w:pPr>
      <w:r>
        <w:t xml:space="preserve">BOM-controlled issues must reference a BOM line. Quantity beyond the Estimated/Approved BOM remains allowed after MIR approval, records immutable variance evidence and emits a durable notification. A different substitute item remains governed separately.</w:t>
      </w:r>
    </w:p>
    <w:p>
      <w:pPr>
        <w:spacing w:before="120" w:after="60"/>
      </w:pPr>
      <w:r>
        <w:rPr>
          <w:b/>
        </w:rPr>
        <w:t xml:space="preserve">5.2.1 Internal variance versus customer-outbound commercial excess</w:t>
      </w:r>
    </w:p>
    <w:p>
      <w:pPr>
        <w:spacing w:before="120" w:after="60"/>
      </w:pPr>
      <w:r>
        <w:t xml:space="preserve">Derive the rule from the MIR issue purpose and authoritative document ancestry. FACTORY_ASSEMBLY and PROJECT are internal: extra quantity of the same Item is notification-only. SERVICE, SALE, WARRANTY, DEMO and FREE_OF_COST are customer-facing; when an offer revision or customer PO quantity is the commercial baseline, extra quantity requires a TD decision. No operator-set bypass flag exists.</w:t>
      </w:r>
    </w:p>
    <w:p>
      <w:pPr>
        <w:spacing w:before="120" w:after="60"/>
      </w:pPr>
      <w:r>
        <w:t xml:space="preserve">The immutable customer-outbound excess decision records Company, MIR and line, issue-purpose snapshot, Customer, original offer revision and customer PO/line where present, baseline quantity, requested quantity, excess quantity, outcome code, TD employee and role, reason, decision time, approval cycle, Version, idempotency identity and audit correlation. Stores may issue the excess only after this exact decision exists.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Outcome code</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TD decision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Issue effect</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Commercial linkage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SUPPLY_FREE_OF_COST</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authorizes SESS to absorb the extra quantity and records the reason.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immediately after the 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No later offer/PO is required; preserve original offer/PO and decision as authority.</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REVISE_EXISTING_OFFER</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directs revision of the existing commercial offer.</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after the TD decision; a commercial follow-up remains open.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Later revised offer revision and amended/replacement customer PO line link back to this decision and the original offer/PO.</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SEPARATE_OFFER_AFTER_INSTALLATION</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directs a separate offer and customer PO for the extra quantity after installation.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after the TD decision; installation need not wait for the later PO.</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Later separate offer revision and customer PO/line link back to this decision, original offer/PO and originating issue line.</w:t>
            </w:r>
          </w:p>
        </w:tc>
      </w:tr>
    </w:tbl>
    <w:p>
      <w:pPr>
        <w:spacing w:before="120" w:after="60"/>
      </w:pPr>
      <w:r>
        <w:t xml:space="preserve">Original commercial links never change. Later commercial resolution is append-only: ResolutionOfferRevisionId and ResolutionCustomerPo/LineId are initially empty, then linked by a follow-up resolution record. A revised offer must supersede the original revision; a separate offer/PO retains the originating excess-decision and issue-line IDs.</w:t>
      </w:r>
    </w:p>
    <w:p>
      <w:pPr>
        <w:pStyle w:val="ListBullet"/>
      </w:pPr>
      <w:r>
        <w:t>Issue is not consumption. Actual BOM consumption begins only after confirmed fitment/use.</w:t>
      </w:r>
    </w:p>
    <w:p>
      <w:pPr>
        <w:pStyle w:val="Heading2"/>
      </w:pPr>
      <w:r>
        <w:t>5.3 Production, Project and Actual BOM</w:t>
      </w:r>
    </w:p>
    <w:p>
      <w:pPr>
        <w:pStyle w:val="ListBullet"/>
      </w:pPr>
      <w:r>
        <w:t>Project/Customer Order owns the project identity; Production owns machine instances under it.</w:t>
      </w:r>
    </w:p>
    <w:p>
      <w:pPr>
        <w:pStyle w:val="ListBullet"/>
      </w:pPr>
      <w:r>
        <w:t>Each machine pins an approved BOM revision. Fitment must reference material receipt/issue origins.</w:t>
      </w:r>
    </w:p>
    <w:p>
      <w:pPr>
        <w:pStyle w:val="ListBullet"/>
      </w:pPr>
      <w:r>
        <w:t>Shared material is explicitly allocated to machine instances; no unattributed average quantity or cost.</w:t>
      </w:r>
    </w:p>
    <w:p>
      <w:pPr>
        <w:pStyle w:val="ListBullet"/>
      </w:pPr>
      <w:r>
        <w:t>Erroneous fitment is reversed and corrected; QC re-verifies the corrected fitment.</w:t>
      </w:r>
    </w:p>
    <w:p>
      <w:pPr>
        <w:pStyle w:val="ListBullet"/>
      </w:pPr>
      <w:r>
        <w:t>Project closure is blocked until WIP is fully explained and reconciled.</w:t>
      </w:r>
    </w:p>
    <w:p>
      <w:pPr>
        <w:pStyle w:val="Heading2"/>
      </w:pPr>
      <w:r>
        <w:t>5.4 Tools, Kits and Engineer Custody</w:t>
      </w:r>
    </w:p>
    <w:p>
      <w:pPr>
        <w:pStyle w:val="ListBullet"/>
      </w:pPr>
      <w:r>
        <w:t>Purchased tool remains an Item and receives an individual asset identity when configured as serialized/controlled.</w:t>
      </w:r>
    </w:p>
    <w:p>
      <w:pPr>
        <w:pStyle w:val="ListBullet"/>
      </w:pPr>
      <w:r>
        <w:t>Temporary issue records employee, purpose, issue time, due timestamp, condition and acknowledgement.</w:t>
      </w:r>
    </w:p>
    <w:p>
      <w:pPr>
        <w:pStyle w:val="ListBullet"/>
      </w:pPr>
      <w:r>
        <w:t>Permanent assignment uses a stronger approval route and remains visible for resignation/clearance.</w:t>
      </w:r>
    </w:p>
    <w:p>
      <w:pPr>
        <w:pStyle w:val="ListBullet"/>
      </w:pPr>
      <w:r>
        <w:t>Calibration-required tools are blocked after expiry until accepted calibration is recorded.</w:t>
      </w:r>
    </w:p>
    <w:p>
      <w:pPr>
        <w:pStyle w:val="ListBullet"/>
      </w:pPr>
      <w:r>
        <w:t>Kit membership is effective-dated so historical contents remain reconstructable.</w:t>
      </w:r>
    </w:p>
    <w:p>
      <w:pPr>
        <w:pStyle w:val="Heading2"/>
      </w:pPr>
      <w:r>
        <w:t>5.5 Customer Property, Demo Material and Returnables</w:t>
      </w:r>
    </w:p>
    <w:p>
      <w:pPr>
        <w:pStyle w:val="ListBullet"/>
      </w:pPr>
      <w:r>
        <w:t>Customer material is custody property with zero SESS inventory value and separate declared/replacement value.</w:t>
      </w:r>
    </w:p>
    <w:p>
      <w:pPr>
        <w:pStyle w:val="ListBullet"/>
      </w:pPr>
      <w:r>
        <w:t>Record customer, asset ID, make/model/serial, accessories, received condition, photographs, due date and owner.</w:t>
      </w:r>
    </w:p>
    <w:p>
      <w:pPr>
        <w:pStyle w:val="ListBullet"/>
      </w:pPr>
      <w:r>
        <w:t>Transfers between engineers/sites require immutable handover and dual acknowledgement.</w:t>
      </w:r>
    </w:p>
    <w:p>
      <w:pPr>
        <w:pStyle w:val="ListBullet"/>
      </w:pPr>
      <w:r>
        <w:t>Return evidence includes named recipient, timestamp, POD/signature and attachment hash.</w:t>
      </w:r>
    </w:p>
    <w:p>
      <w:pPr>
        <w:pStyle w:val="ListBullet"/>
      </w:pPr>
      <w:r>
        <w:t>Loss or damage closes only through approved reconciliation, liability and recovery settlement references.</w:t>
      </w:r>
    </w:p>
    <w:p>
      <w:pPr>
        <w:pStyle w:val="Heading2"/>
      </w:pPr>
      <w:r>
        <w:t>5.6 Service and Other-Brand Equipment</w:t>
      </w:r>
    </w:p>
    <w:p>
      <w:pPr>
        <w:pStyle w:val="ListBullet"/>
      </w:pPr>
      <w:r>
        <w:t>ERP owns complaint, visit and job-card identities so spare issue and service history remain traceable.</w:t>
      </w:r>
    </w:p>
    <w:p>
      <w:pPr>
        <w:pStyle w:val="ListBullet"/>
      </w:pPr>
      <w:r>
        <w:t>Installed assets use customer + customer asset ID + make/model/serial and a generated ERP asset ID.</w:t>
      </w:r>
    </w:p>
    <w:p>
      <w:pPr>
        <w:pStyle w:val="ListBullet"/>
      </w:pPr>
      <w:r>
        <w:t>Warranty, AMC, CAMC and chargeable entitlement is effective-dated and snapshotted at the job decision.</w:t>
      </w:r>
    </w:p>
    <w:p>
      <w:pPr>
        <w:pStyle w:val="ListBullet"/>
      </w:pPr>
      <w:r>
        <w:t>Removed-part ownership is explicitly decided; it is never inferred from physical possession.</w:t>
      </w:r>
    </w:p>
    <w:p>
      <w:pPr>
        <w:pStyle w:val="ListBullet"/>
      </w:pPr>
      <w:r>
        <w:t>Old-to-new replacement serial ancestry is permanent.</w:t>
      </w:r>
    </w:p>
    <w:p>
      <w:pPr>
        <w:pStyle w:val="Heading2"/>
      </w:pPr>
      <w:r>
        <w:t>5.7 Vendor Return, Jobwork and RMA</w:t>
      </w:r>
    </w:p>
    <w:p>
      <w:pPr>
        <w:pStyle w:val="ListBullet"/>
      </w:pPr>
      <w:r>
        <w:t>Dispatch uses approved DC, item/serial/quantity, purpose, due date, carrier and POD.</w:t>
      </w:r>
    </w:p>
    <w:p>
      <w:pPr>
        <w:pStyle w:val="ListBullet"/>
      </w:pPr>
      <w:r>
        <w:t>Jobwork inputs reconcile to returned output, accepted loss/scrap and open balance using approved conversion rules.</w:t>
      </w:r>
    </w:p>
    <w:p>
      <w:pPr>
        <w:pStyle w:val="ListBullet"/>
      </w:pPr>
      <w:r>
        <w:t>Partial output acceptance and partial return are supported line-by-line.</w:t>
      </w:r>
    </w:p>
    <w:p>
      <w:pPr>
        <w:pStyle w:val="ListBullet"/>
      </w:pPr>
      <w:r>
        <w:t>RMA resolution is typed: repair, replacement, credit/refund, return-as-is or approved write-off.</w:t>
      </w:r>
    </w:p>
    <w:p>
      <w:pPr>
        <w:pStyle w:val="ListBullet"/>
      </w:pPr>
      <w:r>
        <w:t>Payment hold/release evidence is linked to the rejected line or invoice as decided by Accounts.</w:t>
      </w:r>
    </w:p>
    <w:p>
      <w:pPr>
        <w:pStyle w:val="Heading2"/>
      </w:pPr>
      <w:r>
        <w:t>5.8 Site, Branch and Intercompany Transfers</w:t>
      </w:r>
    </w:p>
    <w:p>
      <w:pPr>
        <w:pStyle w:val="ListBullet"/>
      </w:pPr>
      <w:r>
        <w:t>Transfer lifecycle is dispatch -&gt; in transit -&gt; receiving confirmation, with partial receipt and discrepancy handling.</w:t>
      </w:r>
    </w:p>
    <w:p>
      <w:pPr>
        <w:pStyle w:val="ListBullet"/>
      </w:pPr>
      <w:r>
        <w:t>Issuing company retains ownership/value until destination acceptance.</w:t>
      </w:r>
    </w:p>
    <w:p>
      <w:pPr>
        <w:pStyle w:val="ListBullet"/>
      </w:pPr>
      <w:r>
        <w:t>Destination storekeeper creates/accepts the receiving-company inward from the authorized transfer identity.</w:t>
      </w:r>
    </w:p>
    <w:p>
      <w:pPr>
        <w:pStyle w:val="ListBullet"/>
      </w:pPr>
      <w:r>
        <w:t>GST invoice/e-way bill and accounting references are supplied by Accounts for applicable routes.</w:t>
      </w:r>
    </w:p>
    <w:p>
      <w:pPr>
        <w:pStyle w:val="ListBullet"/>
      </w:pPr>
      <w:r>
        <w:t>Separate company projections share one immutable correlation ID; only authorized reconciliation roles see both sides.</w:t>
      </w:r>
    </w:p>
    <w:p>
      <w:pPr>
        <w:pStyle w:val="Heading1"/>
      </w:pPr>
      <w:r>
        <w:t>6. Costing and Inventory Valuation</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DO NOT COMBINE THESE TWO VALUES</w:t>
            </w:r>
          </w:p>
          <w:p>
            <w:pPr>
              <w:spacing w:after="0" w:line="252" w:lineRule="auto"/>
            </w:pPr>
            <w:r>
              <w:t>Actual Procurement Cost answers what SESS agreed to pay for the material fitted to the machine. Inventory Issue Valuation answers what accounting value the stock ledger relieved. Both must be stored and reported.</w:t>
            </w:r>
          </w:p>
        </w:tc>
      </w:tr>
    </w:tbl>
    <w:p>
      <w:pPr>
        <w:spacing w:after="0"/>
      </w:pP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160"/>
            <w:vAlign w:val="center"/>
            <w:tcMar>
              <w:top w:w="70" w:type="dxa"/>
              <w:start w:w="80" w:type="dxa"/>
              <w:bottom w:w="70" w:type="dxa"/>
              <w:end w:w="80" w:type="dxa"/>
            </w:tcMar>
            <w:shd w:fill="17365D"/>
          </w:tcPr>
          <w:p>
            <w:pPr>
              <w:spacing w:after="0" w:line="240" w:lineRule="auto"/>
            </w:pPr>
            <w:r/>
            <w:r>
              <w:rPr>
                <w:rFonts w:ascii="Aptos" w:hAnsi="Aptos"/>
                <w:b/>
                <w:color w:val="FFFFFF"/>
                <w:sz w:val="17"/>
              </w:rPr>
              <w:t>Measure</w:t>
            </w:r>
          </w:p>
        </w:tc>
        <w:tc>
          <w:tcPr>
            <w:tcW w:type="dxa" w:w="4320"/>
            <w:vAlign w:val="center"/>
            <w:tcMar>
              <w:top w:w="70" w:type="dxa"/>
              <w:start w:w="80" w:type="dxa"/>
              <w:bottom w:w="70" w:type="dxa"/>
              <w:end w:w="80" w:type="dxa"/>
            </w:tcMar>
            <w:shd w:fill="17365D"/>
          </w:tcPr>
          <w:p>
            <w:pPr>
              <w:spacing w:after="0" w:line="240" w:lineRule="auto"/>
            </w:pPr>
            <w:r/>
            <w:r>
              <w:rPr>
                <w:rFonts w:ascii="Aptos" w:hAnsi="Aptos"/>
                <w:b/>
                <w:color w:val="FFFFFF"/>
                <w:sz w:val="17"/>
              </w:rPr>
              <w:t>Source</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Use</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ActualProcurementCost</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Accepted vendor bill value allocated to fitted quantity/BOM line</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Offer-versus-actual machine/project cost and purchasing performance</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InventoryIssueValuation</w:t>
            </w:r>
          </w:p>
        </w:tc>
        <w:tc>
          <w:tcPr>
            <w:tcW w:type="dxa" w:w="4320"/>
            <w:vAlign w:val="center"/>
            <w:tcMar>
              <w:top w:w="70" w:type="dxa"/>
              <w:start w:w="80" w:type="dxa"/>
              <w:bottom w:w="70" w:type="dxa"/>
              <w:end w:w="80" w:type="dxa"/>
            </w:tcMar>
            <w:shd w:fill="EEF5F9"/>
          </w:tcPr>
          <w:p>
            <w:pPr>
              <w:spacing w:after="0" w:line="240" w:lineRule="auto"/>
            </w:pPr>
            <w:r>
              <w:t>Strict FIFO by company, Item and ownership/value pool</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Inventory accounting and cost-of-stock relief</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ValuationDifference</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Actual procurement cost minus inventory issue valuation</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Reconciliation/explanation only; never replaces Actual BOM cost</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Memo/Replacement value</w:t>
            </w:r>
          </w:p>
        </w:tc>
        <w:tc>
          <w:tcPr>
            <w:tcW w:type="dxa" w:w="4320"/>
            <w:vAlign w:val="center"/>
            <w:tcMar>
              <w:top w:w="70" w:type="dxa"/>
              <w:start w:w="80" w:type="dxa"/>
              <w:bottom w:w="70" w:type="dxa"/>
              <w:end w:w="80" w:type="dxa"/>
            </w:tcMar>
            <w:shd w:fill="EEF5F9"/>
          </w:tcPr>
          <w:p>
            <w:pPr>
              <w:spacing w:after="0" w:line="240" w:lineRule="auto"/>
            </w:pPr>
            <w:r/>
            <w:r>
              <w:rPr>
                <w:rFonts w:ascii="Aptos" w:hAnsi="Aptos"/>
                <w:b w:val="0"/>
                <w:sz w:val="17"/>
              </w:rPr>
              <w:t>Declared or approved replacement value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Customer property, supplier-loan, warranty/free receipt and loss exposure</w:t>
            </w:r>
          </w:p>
        </w:tc>
      </w:tr>
    </w:tbl>
    <w:p>
      <w:pPr>
        <w:spacing w:after="0"/>
      </w:pPr>
    </w:p>
    <w:p>
      <w:r>
        <w:t>Frozen policy: strict FIFO by company, Item and ownership/value pool from go-live. Physical serial provenance does not select the cost layer. Any approved future method change is prospective; historical postings are never recalculated.</w:t>
      </w:r>
    </w:p>
    <w:p>
      <w:pPr>
        <w:pStyle w:val="Heading1"/>
      </w:pPr>
      <w:r>
        <w:t>7. Roles, Segregation and Approval Guideline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Activity</w:t>
            </w:r>
          </w:p>
        </w:tc>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Prepare/Perform</w:t>
            </w:r>
          </w:p>
        </w:tc>
        <w:tc>
          <w:tcPr>
            <w:tcW w:type="dxa" w:w="3096"/>
            <w:vAlign w:val="center"/>
            <w:tcMar>
              <w:top w:w="70" w:type="dxa"/>
              <w:start w:w="80" w:type="dxa"/>
              <w:bottom w:w="70" w:type="dxa"/>
              <w:end w:w="80" w:type="dxa"/>
            </w:tcMar>
            <w:shd w:fill="17365D"/>
          </w:tcPr>
          <w:p>
            <w:pPr>
              <w:spacing w:after="0" w:line="240" w:lineRule="auto"/>
            </w:pPr>
            <w:r/>
            <w:r>
              <w:rPr>
                <w:rFonts w:ascii="Aptos" w:hAnsi="Aptos"/>
                <w:b/>
                <w:color w:val="FFFFFF"/>
                <w:sz w:val="17"/>
              </w:rPr>
              <w:t>Approve/Verify</w:t>
            </w:r>
          </w:p>
        </w:tc>
        <w:tc>
          <w:tcPr>
            <w:tcW w:type="dxa" w:w="2304"/>
            <w:vAlign w:val="center"/>
            <w:tcMar>
              <w:top w:w="70" w:type="dxa"/>
              <w:start w:w="80" w:type="dxa"/>
              <w:bottom w:w="70" w:type="dxa"/>
              <w:end w:w="80" w:type="dxa"/>
            </w:tcMar>
            <w:shd w:fill="17365D"/>
          </w:tcPr>
          <w:p>
            <w:pPr>
              <w:spacing w:after="0" w:line="240" w:lineRule="auto"/>
            </w:pPr>
            <w:r/>
            <w:r>
              <w:rPr>
                <w:rFonts w:ascii="Aptos" w:hAnsi="Aptos"/>
                <w:b/>
                <w:color w:val="FFFFFF"/>
                <w:sz w:val="17"/>
              </w:rPr>
              <w:t>Must not be combined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PR / demand</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Department requester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Department/project authority</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Requester cannot self-approve above delegated authority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PO / revision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Purchase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Authorized Purchase/TD/MD route</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Supplier cannot alter ERP authorization</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Gate Entry / GRN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Security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PO/system validation</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Storekeeper cannot override PO balance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QC</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Assigned QC employee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QC authority where required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Inspector cannot rewrite posted receipt</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QC use-as-is concession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QC rejection / technical request</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Direct TECHNICAL_DIRECTOR only; no delegation or fallback</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Exact quantity/lot/serial only; approval immutable and provenance retained for life</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MIR issue</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Requester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Authorized department/project approver</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Stores cannot approve its own demand</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Internal BOM overrun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ERP derives from approved MIR and issue purpose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No approval; notify Production Manager, Stores, TD and MD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Must not block; do not notify Purchase or Accounts for routine variance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Customer-outbound commercial excess</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Engineer / customer-facing request owner</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TD chooses FOC, revised offer or separate post-installation offer</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Stores cannot issue extra quantity before the TD decision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Different-item substitution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Production / Engineering</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TD technical-equivalence approval; Purchase matrix governs spend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No second commercial BOM approval</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Adjustment / write-off</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Stores records facts</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Independent approver; Accounts/TD for thresholds</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Preparer cannot final-approve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loss/recovery</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Stores custody case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HR/Finance + authority</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Stores does not decide payroll recovery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Vendor suspension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Purchase Manager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TD or MD</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Score preparer cannot alone suspend/reactivate</w:t>
            </w:r>
          </w:p>
        </w:tc>
      </w:tr>
    </w:tbl>
    <w:p>
      <w:pPr>
        <w:spacing w:after="0"/>
      </w:pP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CONFIGURATION REQUIRED</w:t>
            </w:r>
          </w:p>
          <w:p>
            <w:pPr>
              <w:spacing w:after="0" w:line="252" w:lineRule="auto"/>
            </w:pPr>
            <w:r>
              <w:t>Monetary, quantity, safety and duration thresholds must be effective-dated by company and transaction type. Until management approves the threshold matrix, the ERP must not hard-code amounts.</w:t>
            </w:r>
          </w:p>
        </w:tc>
      </w:tr>
    </w:tbl>
    <w:p>
      <w:pPr>
        <w:spacing w:after="0"/>
      </w:pPr>
    </w:p>
    <w:p>
      <w:pPr>
        <w:pStyle w:val="Heading1"/>
      </w:pPr>
      <w:r>
        <w:t>8. SLA, Alerts and Escalation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3024"/>
            <w:vAlign w:val="center"/>
            <w:tcMar>
              <w:top w:w="70" w:type="dxa"/>
              <w:start w:w="80" w:type="dxa"/>
              <w:bottom w:w="70" w:type="dxa"/>
              <w:end w:w="80" w:type="dxa"/>
            </w:tcMar>
            <w:shd w:fill="17365D"/>
          </w:tcPr>
          <w:p>
            <w:pPr>
              <w:spacing w:after="0" w:line="240" w:lineRule="auto"/>
            </w:pPr>
            <w:r/>
            <w:r>
              <w:rPr>
                <w:rFonts w:ascii="Aptos" w:hAnsi="Aptos"/>
                <w:b/>
                <w:color w:val="FFFFFF"/>
                <w:sz w:val="17"/>
              </w:rPr>
              <w:t>Event</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Recommended target</w:t>
            </w:r>
          </w:p>
        </w:tc>
        <w:tc>
          <w:tcPr>
            <w:tcW w:type="dxa" w:w="3456"/>
            <w:vAlign w:val="center"/>
            <w:tcMar>
              <w:top w:w="70" w:type="dxa"/>
              <w:start w:w="80" w:type="dxa"/>
              <w:bottom w:w="70" w:type="dxa"/>
              <w:end w:w="80" w:type="dxa"/>
            </w:tcMar>
            <w:shd w:fill="17365D"/>
          </w:tcPr>
          <w:p>
            <w:pPr>
              <w:spacing w:after="0" w:line="240" w:lineRule="auto"/>
            </w:pPr>
            <w:r/>
            <w:r>
              <w:rPr>
                <w:rFonts w:ascii="Aptos" w:hAnsi="Aptos"/>
                <w:b/>
                <w:color w:val="FFFFFF"/>
                <w:sz w:val="17"/>
              </w:rPr>
              <w:t>Escalation</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Gate Entry to GRN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Same working day; next working day for late arrival</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Storekeeper -&gt; Stores Manager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GRN requiring QC</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Assignment immediately; disposition within 2 working days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QC assignee -&gt; QC Manager -&gt; TD for critical project</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Rejected material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DC preparation within 1 working day; dispatch within 3</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Stores -&gt; Purchase -&gt; vendor owner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Emergency MIR</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Fast/on-call decision target 30 minutes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Department approver -&gt; designated alternate</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Temporary tool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Reminder 3 days, 1 day and at due time</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Engineer -&gt; reporting manager -&gt; HR clearance where overdue</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Customer/demo returnable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Reminder 7 days, 3 days, 1 day and overdue daily</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Custodian -&gt; owner -&gt; Stores Manager/TD</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Transfer discrepancy</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Record at receipt; investigate within 1 working day</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Both Stores Managers -&gt; Accounts/TD</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Integration failure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Automatic idempotent retry; operator queue after terminal limit</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Module owner -&gt; IT/ERP administrator</w:t>
            </w:r>
          </w:p>
        </w:tc>
      </w:tr>
    </w:tbl>
    <w:p>
      <w:pPr>
        <w:spacing w:after="0"/>
      </w:pPr>
    </w:p>
    <w:p>
      <w:pPr>
        <w:pStyle w:val="Heading1"/>
      </w:pPr>
      <w:r>
        <w:t>9. Documents, Audit and Security</w:t>
      </w:r>
    </w:p>
    <w:p>
      <w:pPr>
        <w:pStyle w:val="ListBullet"/>
      </w:pPr>
      <w:r>
        <w:t>Minimum attachment metadata: company, source record, document type, version, original filename, MIME type, size, hash, uploader, upload time and sensitivity class.</w:t>
      </w:r>
    </w:p>
    <w:p>
      <w:pPr>
        <w:pStyle w:val="ListBullet"/>
      </w:pPr>
      <w:r>
        <w:t>Recommended allowed formats: PDF, DOCX, XLSX, CSV, JPG and PNG. Executables, scripts and macro-enabled files are blocked unless IT explicitly approves.</w:t>
      </w:r>
    </w:p>
    <w:p>
      <w:pPr>
        <w:pStyle w:val="ListBullet"/>
      </w:pPr>
      <w:r>
        <w:t>Recommended maximum: 25 MB per normal attachment; larger drawings/test data use controlled external storage linked by immutable reference.</w:t>
      </w:r>
    </w:p>
    <w:p>
      <w:pPr>
        <w:pStyle w:val="ListBullet"/>
      </w:pPr>
      <w:r>
        <w:t>Sensitive classes: bank/KYC, pricing, customer confidential, inspection/test data, HR, legal/NDA and credentials/secrets. Access is role-based and logged.</w:t>
      </w:r>
    </w:p>
    <w:p>
      <w:pPr>
        <w:pStyle w:val="ListBullet"/>
      </w:pPr>
      <w:r>
        <w:t>Retention follows the longer of statutory, contract, warranty/AMC/CAMC, tax, litigation-hold or company policy requirements. Deletion is never left to ordinary users.</w:t>
      </w:r>
    </w:p>
    <w:p>
      <w:pPr>
        <w:pStyle w:val="ListBullet"/>
      </w:pPr>
      <w:r>
        <w:t>Capture both physical-event time and ERP-entry time. Delayed entry requires a reason and user identity.</w:t>
      </w:r>
    </w:p>
    <w:p>
      <w:pPr>
        <w:pStyle w:val="ListBullet"/>
      </w:pPr>
      <w:r>
        <w:t>Finance and HR integrations use a transactional outbox with idempotent retries; Stores posting remains committed even if downstream delivery is temporarily unavailable.</w:t>
      </w:r>
    </w:p>
    <w:p>
      <w:pPr>
        <w:pStyle w:val="Heading1"/>
      </w:pPr>
      <w:r>
        <w:t>10. Implementation Roadmap and Release Gates</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440"/>
            <w:vAlign w:val="center"/>
            <w:tcMar>
              <w:top w:w="70" w:type="dxa"/>
              <w:start w:w="80" w:type="dxa"/>
              <w:bottom w:w="70" w:type="dxa"/>
              <w:end w:w="80" w:type="dxa"/>
            </w:tcMar>
            <w:shd w:fill="17365D"/>
          </w:tcPr>
          <w:p>
            <w:pPr>
              <w:spacing w:after="0" w:line="240" w:lineRule="auto"/>
            </w:pPr>
            <w:r/>
            <w:r>
              <w:rPr>
                <w:rFonts w:ascii="Aptos" w:hAnsi="Aptos"/>
                <w:b/>
                <w:color w:val="FFFFFF"/>
                <w:sz w:val="17"/>
              </w:rPr>
              <w:t>Phase</w:t>
            </w:r>
          </w:p>
        </w:tc>
        <w:tc>
          <w:tcPr>
            <w:tcW w:type="dxa" w:w="4608"/>
            <w:vAlign w:val="center"/>
            <w:tcMar>
              <w:top w:w="70" w:type="dxa"/>
              <w:start w:w="80" w:type="dxa"/>
              <w:bottom w:w="70" w:type="dxa"/>
              <w:end w:w="80" w:type="dxa"/>
            </w:tcMar>
            <w:shd w:fill="17365D"/>
          </w:tcPr>
          <w:p>
            <w:pPr>
              <w:spacing w:after="0" w:line="240" w:lineRule="auto"/>
            </w:pPr>
            <w:r/>
            <w:r>
              <w:rPr>
                <w:rFonts w:ascii="Aptos" w:hAnsi="Aptos"/>
                <w:b/>
                <w:color w:val="FFFFFF"/>
                <w:sz w:val="17"/>
              </w:rPr>
              <w:t>Scope</w:t>
            </w:r>
          </w:p>
        </w:tc>
        <w:tc>
          <w:tcPr>
            <w:tcW w:type="dxa" w:w="4032"/>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gate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0. Freeze</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Approve 12 contradictions, open-policy defaults, roles and thresholds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Signed baseline and change-control owner</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1. Core inward</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Gate Entry, GRN, QC, put-away, serial/lot and rejected route</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PO/GRN/QC reconciliation; no excess received stock</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2. Core outward</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Reservation, MIR, issue, return, DC and transfers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No negative stock; approval-before-issue; full ancestry</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3. Project/BOM</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BOM revisions, deviations, machine instances, fitment, WIP and Actual BOM</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Offer-vs-actual and WIP closure reconcile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4. Tools/Customer property</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Tool assets, kits, calibration, engineer custody, demo/customer returnables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Due/overdue, handover, loss/write-off and clearance work</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5. Service/Jobwork/RMA</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Installed assets, entitlements, service spares, vendor jobwork and RMA</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Serial replacement and input-output reconciliation</w:t>
            </w:r>
          </w:p>
        </w:tc>
      </w:tr>
      <w:tr>
        <w:trPr>
          <w:cantSplit/>
        </w:trPr>
        <w:tc>
          <w:tcPr>
            <w:tcW w:type="dxa" w:w="1440"/>
            <w:vAlign w:val="center"/>
            <w:tcMar>
              <w:top w:w="70" w:type="dxa"/>
              <w:start w:w="80" w:type="dxa"/>
              <w:bottom w:w="70" w:type="dxa"/>
              <w:end w:w="80" w:type="dxa"/>
            </w:tcMar>
          </w:tcPr>
          <w:p>
            <w:pPr>
              <w:spacing w:after="0" w:line="240" w:lineRule="auto"/>
            </w:pPr>
            <w:r>
              <w:t>6. Costing/Planning</w:t>
            </w:r>
          </w:p>
        </w:tc>
        <w:tc>
          <w:tcPr>
            <w:tcW w:type="dxa" w:w="4608"/>
            <w:vAlign w:val="center"/>
            <w:tcMar>
              <w:top w:w="70" w:type="dxa"/>
              <w:start w:w="80" w:type="dxa"/>
              <w:bottom w:w="70" w:type="dxa"/>
              <w:end w:w="80" w:type="dxa"/>
            </w:tcMar>
          </w:tcPr>
          <w:p>
            <w:pPr>
              <w:spacing w:after="0" w:line="240" w:lineRule="auto"/>
            </w:pPr>
            <w:r>
              <w:t>Accepted-bill allocation, FIFO layers, reorder, aging and vendor scorecards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Inventory GL/control totals and management reports agree</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7. Hardening</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Security, integrations, performance, backup, DR and migration</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UAT, reconciliation, permission and recovery evidence accepted</w:t>
            </w:r>
          </w:p>
        </w:tc>
      </w:tr>
    </w:tbl>
    <w:p>
      <w:pPr>
        <w:spacing w:after="0"/>
      </w:pPr>
    </w:p>
    <w:p>
      <w:pPr>
        <w:pStyle w:val="Heading1"/>
      </w:pPr>
      <w:r>
        <w:t>11. Mandatory Acceptance Tests</w:t>
      </w:r>
    </w:p>
    <w:p>
      <w:pPr>
        <w:pStyle w:val="ListNumber"/>
      </w:pPr>
      <w:r>
        <w:t>Attempt GRN received quantity above remaining PO balance: system blocks acceptance and routes excess to returnable segregation.</w:t>
      </w:r>
    </w:p>
    <w:p>
      <w:pPr>
        <w:pStyle w:val="ListNumber"/>
      </w:pPr>
      <w:r>
        <w:t>Attempt duplicate normalized serial finalization: system blocks it while preserving the operator's verification trail.</w:t>
      </w:r>
    </w:p>
    <w:p>
      <w:pPr>
        <w:pStyle w:val="ListNumber"/>
      </w:pPr>
      <w:r>
        <w:t>Attempt issue from AVAILABLE that would become negative: database and service both reject it.</w:t>
      </w:r>
    </w:p>
    <w:p>
      <w:pPr>
        <w:pStyle w:val="ListNumber"/>
      </w:pPr>
      <w:r>
        <w:t xml:space="preserve">Attempt physical issue without an approved MIR: reject. Internal FACTORY_ASSEMBLY/PROJECT excess of the same Item: post, record variance and notify Production Manager, Stores, TD and MD. Customer-facing excess against an offer/PO baseline: reject until the exact TD outcome exists.</w:t>
      </w:r>
    </w:p>
    <w:p>
      <w:pPr>
        <w:pStyle w:val="ListNumber"/>
      </w:pPr>
      <w:r>
        <w:t>Partial QC acceptance: accepted and rejected quantities reconcile exactly to inspected quantity and post to correct conditions.</w:t>
      </w:r>
    </w:p>
    <w:p>
      <w:pPr>
        <w:spacing w:before="120" w:after="60"/>
      </w:pPr>
      <w:r>
        <w:t xml:space="preserve">Concession test: reject a lot/serial through QC, prove direct TD-only approval, atomically move only the approved provenance quantity to AVAILABLE, issue and fit it, then prove the machine Actual BOM resolves the exact concession, failed parameter, measured value, TD and reason.</w:t>
      </w:r>
    </w:p>
    <w:p>
      <w:pPr>
        <w:spacing w:before="120" w:after="60"/>
      </w:pPr>
      <w:r>
        <w:t xml:space="preserve">Concession negative tests: reject delegation/fallback approval, pre-inspection concession, quantity/lot/serial mismatch, replay with changed facts, direct condition update, lost provenance during transfer/issue/fitment, and edit/delete of an approved decision.</w:t>
      </w:r>
    </w:p>
    <w:p>
      <w:pPr>
        <w:pStyle w:val="ListNumber"/>
      </w:pPr>
      <w:r>
        <w:t>Reservation: availability reduces without a stock movement or physical location change.</w:t>
      </w:r>
    </w:p>
    <w:p>
      <w:pPr>
        <w:pStyle w:val="ListNumber"/>
      </w:pPr>
      <w:r>
        <w:t>Reversal: original movement remains immutable and the reversal restores all item/location/serial/cost control totals.</w:t>
      </w:r>
    </w:p>
    <w:p>
      <w:pPr>
        <w:pStyle w:val="ListNumber"/>
      </w:pPr>
      <w:r>
        <w:t>Tool calibration expiry: issue warns rather than blocks, and the transaction preserves the expired-certificate warning, actor and reason.</w:t>
      </w:r>
    </w:p>
    <w:p>
      <w:pPr>
        <w:pStyle w:val="ListNumber"/>
      </w:pPr>
      <w:r>
        <w:t>Customer property transfer: sender and receiver acknowledgements preserve complete custody history.</w:t>
      </w:r>
    </w:p>
    <w:p>
      <w:pPr>
        <w:pStyle w:val="ListNumber"/>
      </w:pPr>
      <w:r>
        <w:t>Loss/write-off: CLOSED is derived only after approved reconciliation; a direct force-close is impossible.</w:t>
      </w:r>
    </w:p>
    <w:p>
      <w:pPr>
        <w:pStyle w:val="ListNumber"/>
      </w:pPr>
      <w:r>
        <w:t>Intercompany transfer: issuing and receiving companies remain isolated while shared correlation reconciles quantities.</w:t>
      </w:r>
    </w:p>
    <w:p>
      <w:pPr>
        <w:pStyle w:val="ListNumber"/>
      </w:pPr>
      <w:r>
        <w:t>Actual BOM cost and inventory issue valuation appear separately and reconcile for multi-receipt material.</w:t>
      </w:r>
    </w:p>
    <w:p>
      <w:pPr>
        <w:pStyle w:val="ListNumber"/>
      </w:pPr>
      <w:r>
        <w:t>Unauthorized user attempts cross-company access, approval delegation and attachment access: all are denied and audited.</w:t>
      </w:r>
    </w:p>
    <w:p>
      <w:pPr>
        <w:pStyle w:val="ListNumber"/>
      </w:pPr>
      <w:r>
        <w:t>Integration retry duplicates the same message: downstream result remains idempotent with no duplicate accounting/HR record.</w:t>
      </w:r>
    </w:p>
    <w:p>
      <w:pPr>
        <w:pStyle w:val="Heading1"/>
      </w:pPr>
      <w:r>
        <w:t>12. Management Decisions Still Requiring Confirmation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656"/>
            <w:vAlign w:val="center"/>
            <w:tcMar>
              <w:top w:w="70" w:type="dxa"/>
              <w:start w:w="80" w:type="dxa"/>
              <w:bottom w:w="70" w:type="dxa"/>
              <w:end w:w="80" w:type="dxa"/>
            </w:tcMar>
            <w:shd w:fill="17365D"/>
          </w:tcPr>
          <w:p>
            <w:pPr>
              <w:spacing w:after="0" w:line="240" w:lineRule="auto"/>
            </w:pPr>
            <w:r/>
            <w:r>
              <w:rPr>
                <w:rFonts w:ascii="Aptos" w:hAnsi="Aptos"/>
                <w:b/>
                <w:color w:val="FFFFFF"/>
                <w:sz w:val="17"/>
              </w:rPr>
              <w:t>Area</w:t>
            </w:r>
          </w:p>
        </w:tc>
        <w:tc>
          <w:tcPr>
            <w:tcW w:type="dxa" w:w="3672"/>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required</w:t>
            </w:r>
          </w:p>
        </w:tc>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output</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Ownership/Finance</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Supplier-loan valuation; customer-property declared/replacement value</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memo/liability valuation and closure rules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BOM/Production</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BOM approver roles; subassembly yield/scrap/allocation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TD + Production</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revision workflow and conversion tolerances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Service</w:t>
            </w:r>
          </w:p>
        </w:tc>
        <w:tc>
          <w:tcPr>
            <w:tcW w:type="dxa" w:w="3672"/>
            <w:vAlign w:val="center"/>
            <w:tcMar>
              <w:top w:w="70" w:type="dxa"/>
              <w:start w:w="80" w:type="dxa"/>
              <w:bottom w:w="70" w:type="dxa"/>
              <w:end w:w="80" w:type="dxa"/>
            </w:tcMar>
          </w:tcPr>
          <w:p>
            <w:pPr>
              <w:spacing w:after="0" w:line="240" w:lineRule="auto"/>
            </w:pPr>
            <w:r>
              <w:t>RESOLVED: service spare authority and customer ownership of removed parts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Service + Sales/Accounts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Define by Warranty/AMC/CAMC/Chargeable category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Customer property</w:t>
            </w:r>
          </w:p>
        </w:tc>
        <w:tc>
          <w:tcPr>
            <w:tcW w:type="dxa" w:w="3672"/>
            <w:vAlign w:val="center"/>
            <w:tcMar>
              <w:top w:w="70" w:type="dxa"/>
              <w:start w:w="80" w:type="dxa"/>
              <w:bottom w:w="70" w:type="dxa"/>
              <w:end w:w="80" w:type="dxa"/>
            </w:tcMar>
            <w:shd w:fill="EEF5F9"/>
          </w:tcPr>
          <w:p>
            <w:pPr>
              <w:spacing w:after="0" w:line="240" w:lineRule="auto"/>
            </w:pPr>
            <w:r>
              <w:t>RESOLVED: accessory list/photo evidence, TD extension and custody-only demo equipment</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TD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risk/value/duration matrix</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Tools</w:t>
            </w:r>
          </w:p>
        </w:tc>
        <w:tc>
          <w:tcPr>
            <w:tcW w:type="dxa" w:w="3672"/>
            <w:vAlign w:val="center"/>
            <w:tcMar>
              <w:top w:w="70" w:type="dxa"/>
              <w:start w:w="80" w:type="dxa"/>
              <w:bottom w:w="70" w:type="dxa"/>
              <w:end w:w="80" w:type="dxa"/>
            </w:tcMar>
          </w:tcPr>
          <w:p>
            <w:pPr>
              <w:spacing w:after="0" w:line="240" w:lineRule="auto"/>
            </w:pPr>
            <w:r>
              <w:t>PARTLY RESOLVED: every tool is an asset, duration in days, annual calibration/warn-only expiry; custody, governance and recovery proposals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Stores + HR/Accounts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tool class policies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Jobwork/RMA</w:t>
            </w:r>
          </w:p>
        </w:tc>
        <w:tc>
          <w:tcPr>
            <w:tcW w:type="dxa" w:w="3672"/>
            <w:vAlign w:val="center"/>
            <w:tcMar>
              <w:top w:w="70" w:type="dxa"/>
              <w:start w:w="80" w:type="dxa"/>
              <w:bottom w:w="70" w:type="dxa"/>
              <w:end w:w="80" w:type="dxa"/>
            </w:tcMar>
            <w:shd w:fill="EEF5F9"/>
          </w:tcPr>
          <w:p>
            <w:pPr>
              <w:spacing w:after="0" w:line="240" w:lineRule="auto"/>
            </w:pPr>
            <w:r>
              <w:t>PARTLY RESOLVED: per-process tolerance is frozen; excess-loss approver, RMA outcomes and invoice hold/release proposals await confirmation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Production + Purchase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process/vendor/item policies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Intercompany</w:t>
            </w:r>
          </w:p>
        </w:tc>
        <w:tc>
          <w:tcPr>
            <w:tcW w:type="dxa" w:w="3672"/>
            <w:vAlign w:val="center"/>
            <w:tcMar>
              <w:top w:w="70" w:type="dxa"/>
              <w:start w:w="80" w:type="dxa"/>
              <w:bottom w:w="70" w:type="dxa"/>
              <w:end w:w="80" w:type="dxa"/>
            </w:tcMar>
          </w:tcPr>
          <w:p>
            <w:pPr>
              <w:spacing w:after="0" w:line="240" w:lineRule="auto"/>
            </w:pPr>
            <w:r>
              <w:t>RESOLVED: real intercompany sale, mandatory GST invoice, normal receiving-company Purchase/GRN/QC flow and isolated ledgers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legal routes before activation</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Stock exceptions</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Adjustment thresholds; backdating; ABC/FSN counts; scrap sale</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Accounts + TD</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control matrix and open-period rule</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Valuation/Planning</w:t>
            </w:r>
          </w:p>
        </w:tc>
        <w:tc>
          <w:tcPr>
            <w:tcW w:type="dxa" w:w="3672"/>
            <w:vAlign w:val="center"/>
            <w:tcMar>
              <w:top w:w="70" w:type="dxa"/>
              <w:start w:w="80" w:type="dxa"/>
              <w:bottom w:w="70" w:type="dxa"/>
              <w:end w:w="80" w:type="dxa"/>
            </w:tcMar>
          </w:tcPr>
          <w:p>
            <w:pPr>
              <w:spacing w:after="0" w:line="240" w:lineRule="auto"/>
            </w:pPr>
            <w:r>
              <w:t>PARTLY RESOLVED: FIFO and no purchase-price variance are frozen; landed-cost, planning and aging proposals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Purchase + Stores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per-company/item-class policy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Documents/Security</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File limits, sensitivity and retention; offline entry</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IT/Security + Legal/Accounts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information-control policy</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Vendor performance</w:t>
            </w:r>
          </w:p>
        </w:tc>
        <w:tc>
          <w:tcPr>
            <w:tcW w:type="dxa" w:w="3672"/>
            <w:vAlign w:val="center"/>
            <w:tcMar>
              <w:top w:w="70" w:type="dxa"/>
              <w:start w:w="80" w:type="dxa"/>
              <w:bottom w:w="70" w:type="dxa"/>
              <w:end w:w="80" w:type="dxa"/>
            </w:tcMar>
          </w:tcPr>
          <w:p>
            <w:pPr>
              <w:spacing w:after="0" w:line="240" w:lineRule="auto"/>
            </w:pPr>
            <w:r>
              <w:t>OPEN: proposed monthly scorecards, weights and minimum sample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Purchase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scorecard policy</w:t>
            </w:r>
          </w:p>
        </w:tc>
      </w:tr>
    </w:tbl>
    <w:p>
      <w:pPr>
        <w:spacing w:after="0"/>
      </w:pPr>
    </w:p>
    <w:p>
      <w:r>
        <w:br w:type="page"/>
      </w:r>
    </w:p>
    <w:p>
      <w:pPr>
        <w:pStyle w:val="Heading1"/>
      </w:pPr>
      <w:r>
        <w:t>13. Sign-Off Sheet</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APPROVAL INSTRUCTION</w:t>
            </w:r>
          </w:p>
          <w:p>
            <w:pPr>
              <w:spacing w:after="0" w:line="252" w:lineRule="auto"/>
            </w:pPr>
            <w:r>
              <w:t>Record any change against its question or contradiction number. Attach the approved impact note before authorizing development. Blank or pending items are not approval to hard-code a rule.</w:t>
            </w:r>
          </w:p>
        </w:tc>
      </w:tr>
    </w:tbl>
    <w:p>
      <w:pPr>
        <w:spacing w:after="0"/>
      </w:pP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Approval item</w:t>
            </w:r>
          </w:p>
        </w:tc>
        <w:tc>
          <w:tcPr>
            <w:tcW w:type="dxa" w:w="2880"/>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 remarks</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Name</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Signature</w:t>
            </w:r>
          </w:p>
        </w:tc>
        <w:tc>
          <w:tcPr>
            <w:tcW w:type="dxa" w:w="1152"/>
            <w:vAlign w:val="center"/>
            <w:tcMar>
              <w:top w:w="70" w:type="dxa"/>
              <w:start w:w="80" w:type="dxa"/>
              <w:bottom w:w="70" w:type="dxa"/>
              <w:end w:w="80" w:type="dxa"/>
            </w:tcMar>
            <w:shd w:fill="17365D"/>
          </w:tcPr>
          <w:p>
            <w:pPr>
              <w:spacing w:after="0" w:line="240" w:lineRule="auto"/>
            </w:pPr>
            <w:r/>
            <w:r>
              <w:rPr>
                <w:rFonts w:ascii="Aptos" w:hAnsi="Aptos"/>
                <w:b/>
                <w:color w:val="FFFFFF"/>
                <w:sz w:val="17"/>
              </w:rPr>
              <w:t>Date</w:t>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12 contradiction decisions</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90-question baseline</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Role and approval matrix</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pending</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Implementation phases</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revised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Authorization to proceed</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YES / NO</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bl>
    <w:p>
      <w:pPr>
        <w:spacing w:after="0"/>
      </w:pPr>
    </w:p>
    <w:p>
      <w:r>
        <w:br w:type="page"/>
      </w:r>
    </w:p>
    <w:p>
      <w:pPr>
        <w:pStyle w:val="Heading1"/>
      </w:pPr>
      <w:r>
        <w:t>Appendix A - Complete 90-Question Schema Baseline</w:t>
      </w:r>
    </w:p>
    <w:p>
      <w:r>
        <w:t>This appendix carries every question from the supplied decision sheet. 'DEFAULT' means the proposed rule may be implemented unless management records a change. 'CONFIRM' means the recommended business rule must be formally confirmed before the dependent feature is released.</w:t>
      </w:r>
    </w:p>
    <w:p>
      <w:pPr>
        <w:pStyle w:val="Heading2"/>
      </w:pPr>
      <w:r>
        <w:t>Questions L1-L7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Reserved a commitment or ledger location?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commitment only; inherit contradiction 10.</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Project/Service WIP a physical location, custody account, or both?</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both dimensions: actual physical location plus project/service custody account.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one rack/bin contain multiple ownership classes?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if physically identifiable; ownership is a balance/lot dimension, not a rack property.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supplier-loan stock valued and closed?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Supplier-loan stock has zero SESS inventory value plus a memo liability. Consumption must start normal vendor quotation and approved PO flow, be received against that PO, and close the loan against that PO. No free-of-cost conversion, ad-hoc payable or separate settlement path exists.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customer property need liability/replacement value despite zero inventory value?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zero SESS inventory value, separate declared/replacement value.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For future van/site stock, is the custodian employee, vehicle, site, or combination?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normalized custody assignment supporting employee plus optional vehicle/site; do not encode all three in one text field.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branch a company site, and may a site have multiple warehouses?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company_site -&gt; many warehouses.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bl>
    <w:p>
      <w:pPr>
        <w:spacing w:before="120" w:after="60"/>
      </w:pPr>
      <w:r>
        <w:rPr>
          <w:b/>
        </w:rPr>
        <w:t xml:space="preserve">Confirmed lot-model elaborations - Batch 1</w:t>
      </w:r>
    </w:p>
    <w:p>
      <w:pPr>
        <w:spacing w:before="120" w:after="60"/>
      </w:pPr>
      <w:r>
        <w:t xml:space="preserve">These six rules elaborate G4 and do not replace the original 90-question index. They are frozen schema requirements.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is the ERP lot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Generate an immutable ERP InventoryLotId. A supplier/manufacturer batch number is an attribute, never the ERP identity; identical values such as BATCH-001 from different vendors must never collapse.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When is one physical lot reused across receipts?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Reuse one InventoryLot only when company, Item, supplier/manufacturer lot identity, manufacture date and expiry agree. Preserve each GRN allocation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one GRN line contain multiple lots?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Record quantity per lot through GRN-line lot allocations; do not create artificial GRN lines solely to represent cartons from different lots.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one lot contain multiple ownership classes?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Lot identity and ownership are separate dimensions; stock balance keys include InventoryLotId and OwnershipAccountId.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lot split, merge and repacking represented?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Use immutable parent-child lot genealogy for controlled split, repack, merge and production transformation. Never edit or silently merge original provenance.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incorrect posted lot attributes corrected?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Create a typed correction revision that preserves original and corrected values, actor, reason and affected quantities. Posted movement ancestry remains unchanged.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bl>
    <w:p>
      <w:pPr>
        <w:spacing w:before="120" w:after="60"/>
      </w:pPr>
      <w:r>
        <w:rPr>
          <w:b/>
        </w:rPr>
        <w:t xml:space="preserve">FULL-SCHEMA IMPLEMENTATION GAP - WAREHOUSE SITE FK</w:t>
      </w:r>
    </w:p>
    <w:p>
      <w:pPr>
        <w:spacing w:before="120" w:after="60"/>
      </w:pPr>
      <w:r>
        <w:t xml:space="preserve">The applied warehouses table has no CompanySiteId and still carries free-text Location. The coherent full-schema migration must add the CompanySiteId foreign key, migrate and validate site ownership, and retire free-text Location as a site identifier. Do not fix this in isolation.</w:t>
      </w:r>
    </w:p>
    <w:p>
      <w:pPr>
        <w:spacing w:after="0"/>
      </w:pPr>
    </w:p>
    <w:p>
      <w:r>
        <w:br w:type="page"/>
      </w:r>
    </w:p>
    <w:p>
      <w:pPr>
        <w:pStyle w:val="Heading2"/>
      </w:pPr>
      <w:r>
        <w:t>Questions P1-P7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module creates project and machine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Project/Customer Order owns project; Production owns machine instances under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BOM revision states, approvers and effective dates?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Estimated/Offer BOM: Design/Engineering creates and TD approves before offer issue; submission freezes the revision. Production BOM: Production/Engineering prepares and TD approves before reservation/MIR linkage; MD is not required. Actual/As-Built BOM: system-generated from fitment and accepted-bill allocation, Production confirms and QC verifies. Revisions supersede; machines remain pinned unless explicitly migrated.</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different machines in one project use different approved BOM versions?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each machine instance pins its approved BOM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When does issued material become consumption?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confirmed fitment, followed by Production/QC reconciliation—not issue.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is erroneous fitment corrected?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reversing fitment plus corrected fitment revision; Production initiates and QC re-verifies.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shared materials allocated across machines?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explicit quantity/cost allocations from one issue origin to individual machine instances.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 subassembly inputs become output quantity and cost?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An immutable transformation batch records input lots/issues, good outputs, approved loss and recoverable scrap. Accepted-bill input and conversion cost flows to good output by approved quantity/weight/percentage allocation. Recoverable scrap remains a separate recovery until Finance realizes it and never masquerades as recovered cash.</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2</w:t>
            </w:r>
          </w:p>
        </w:tc>
      </w:tr>
    </w:tbl>
    <w:p>
      <w:pPr>
        <w:spacing w:after="0"/>
      </w:pPr>
    </w:p>
    <w:p>
      <w:r>
        <w:br w:type="page"/>
      </w:r>
    </w:p>
    <w:p>
      <w:pPr>
        <w:pStyle w:val="Heading2"/>
      </w:pPr>
      <w:r>
        <w:t>Questions P8-P10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evidence and approval does substitution require?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 different-item substitution records original and substitute Items, quantities, machine/BOM revision, reason and evidence. TD approves technical equivalence; normal Purchase approval governs spending. No second commercial BOM approval. Extra quantity of the same Item is governed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happens on an excess-BOM request?</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Internal FACTORY_ASSEMBLY/PROJECT excess quantity remains allowed after MIR approval and emits a durable notification to Production Manager, Stores, TD and MD. Customer-facing SERVICE/SALE/WARRANTY/DEMO/FREE_OF_COST excess against a linked customer offer/PO is blocked until TD records one of the three commercial outcomes.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a project close with nonzero WIP?</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 unexplained WIP; only returned, fitted, transferred, scrapped, lost or reversed quantities may reconcile it to zero.</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bl>
    <w:p>
      <w:pPr>
        <w:spacing w:before="120" w:after="60"/>
      </w:pPr>
      <w:r>
        <w:rPr>
          <w:b/>
        </w:rPr>
        <w:t xml:space="preserve">Confirmed Project/BOM elaborations - Batch 2</w:t>
      </w:r>
    </w:p>
    <w:p>
      <w:pPr>
        <w:spacing w:before="120" w:after="60"/>
      </w:pPr>
      <w:r>
        <w:t xml:space="preserve">These rules elaborate P1-P10 and V5 without replacing the original 90-question index.</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the three BOM identities governed?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Estimated and Production BOMs are TD-approved; MD is not required. Actual BOM is generated from fitment and accepted-bill allocation, with Production confirmation and QC verification.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subassembly cost and recoverable scrap treated?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Immutable transformation with explicit inputs/outputs/loss. Recoverable scrap remains separate until Finance realizes it; it does not reduce historical Actual BOM cost in advance.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approves a different-item substitution?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TD approves technical equivalence. Normal Purchase matrix governs spending; no second commercial BOM approver. This does not apply to extra quantity of the same Item.</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physical and commercial closure occur separately?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Production may close physically while accepted-bill allocation remains pending; offer-versus-actual stays provisional until commercial cost closure.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variance baselines are preserved?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Operational variance compares to approved Production BOM; commercial variance compares to frozen offer BOM. Engineering revision never erases original offer underestimation.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receives an internal BOM-overrun notification?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Production Manager, Stores, TD and MD. Do not notify Purchase or Accounts for routine quantity variance.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bl>
    <w:p>
      <w:pPr>
        <w:spacing w:after="0"/>
      </w:pPr>
    </w:p>
    <w:p>
      <w:r>
        <w:br w:type="page"/>
      </w:r>
    </w:p>
    <w:p>
      <w:pPr>
        <w:pStyle w:val="Heading2"/>
      </w:pPr>
      <w:r>
        <w:t>Questions S1-S6</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ERP own complaints, visits and job cards?</w:t>
            </w:r>
          </w:p>
        </w:tc>
        <w:tc>
          <w:tcPr>
            <w:tcW w:type="dxa" w:w="5688"/>
            <w:vAlign w:val="center"/>
            <w:tcMar>
              <w:top w:w="70" w:type="dxa"/>
              <w:start w:w="80" w:type="dxa"/>
              <w:bottom w:w="70" w:type="dxa"/>
              <w:end w:w="80" w:type="dxa"/>
            </w:tcMar>
          </w:tcPr>
          <w:p>
            <w:pPr>
              <w:spacing w:after="0" w:line="240" w:lineRule="auto"/>
            </w:pPr>
            <w:r>
              <w:t>ERP owns one Service Ticket parent for complaints received by PHONE, EMAIL, WHATSAPP, CUSTOMER_PORTAL, AMC_SCHEDULE or INTERNAL_ALERT. Visits, job cards, existing ERP Tasks, evidence and closure records are children of that ticket.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another-brand installed equipment identified?</w:t>
            </w:r>
          </w:p>
        </w:tc>
        <w:tc>
          <w:tcPr>
            <w:tcW w:type="dxa" w:w="5688"/>
            <w:vAlign w:val="center"/>
            <w:tcMar>
              <w:top w:w="70" w:type="dxa"/>
              <w:start w:w="80" w:type="dxa"/>
              <w:bottom w:w="70" w:type="dxa"/>
              <w:end w:w="80" w:type="dxa"/>
            </w:tcMar>
            <w:shd w:fill="EEF5F9"/>
          </w:tcPr>
          <w:p>
            <w:pPr>
              <w:spacing w:after="0" w:line="240" w:lineRule="auto"/>
            </w:pPr>
            <w:r>
              <w:t>Use one installed-machine register for SESS machines in warranty, out of warranty, AMC or CAMC and for other-brand machines. Other-brand machines have no SESS Job Order and no SESS warranty, but otherwise use the same customer/site/make/model/normalized-serial/service-history shape.</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warranty/AMC/CAMC/chargeable entitlements represented?</w:t>
            </w:r>
          </w:p>
        </w:tc>
        <w:tc>
          <w:tcPr>
            <w:tcW w:type="dxa" w:w="5688"/>
            <w:vAlign w:val="center"/>
            <w:tcMar>
              <w:top w:w="70" w:type="dxa"/>
              <w:start w:w="80" w:type="dxa"/>
              <w:bottom w:w="70" w:type="dxa"/>
              <w:end w:w="80" w:type="dxa"/>
            </w:tcMar>
          </w:tcPr>
          <w:p>
            <w:pPr>
              <w:spacing w:after="0" w:line="240" w:lineRule="auto"/>
            </w:pPr>
            <w:r>
              <w:t>Use effective-dated Warranty, AMC, CAMC and chargeable entitlement records on the one installed-machine identity, with a decision snapshot on each Service Ticket.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service-spare uses are billable?</w:t>
            </w:r>
          </w:p>
        </w:tc>
        <w:tc>
          <w:tcPr>
            <w:tcW w:type="dxa" w:w="5688"/>
            <w:vAlign w:val="center"/>
            <w:tcMar>
              <w:top w:w="70" w:type="dxa"/>
              <w:start w:w="80" w:type="dxa"/>
              <w:bottom w:w="70" w:type="dxa"/>
              <w:end w:w="80" w:type="dxa"/>
            </w:tcMar>
            <w:shd w:fill="EEF5F9"/>
          </w:tcPr>
          <w:p>
            <w:pPr>
              <w:spacing w:after="0" w:line="240" w:lineRule="auto"/>
            </w:pPr>
            <w:r>
              <w:t>ERP displays the effective entitlement but a human decides. SERVICE_MANAGER approves Warranty, AMC and CAMC material. Any service material without a customer PO requires TECHNICAL_DIRECTOR approval before issue.</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removed parts and what is their default disposition?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Removed parts are customer property and must be returned to the customer. Any other disposition requires explicit recorded customer instruction on the service job; no contract or default assumption transfers ownership.</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old-to-new serial ancestry be permanent?</w:t>
            </w:r>
          </w:p>
        </w:tc>
        <w:tc>
          <w:tcPr>
            <w:tcW w:type="dxa" w:w="5688"/>
            <w:vAlign w:val="center"/>
            <w:tcMar>
              <w:top w:w="70" w:type="dxa"/>
              <w:start w:w="80" w:type="dxa"/>
              <w:bottom w:w="70" w:type="dxa"/>
              <w:end w:w="80" w:type="dxa"/>
            </w:tcMar>
            <w:shd w:fill="EEF5F9"/>
          </w:tcPr>
          <w:p>
            <w:pPr>
              <w:spacing w:after="0" w:line="240" w:lineRule="auto"/>
            </w:pPr>
            <w:r>
              <w:t>Yes. Preserve immutable old-part to replacement-part serial ancestry for the full installed-machine life.</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C1-C7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 register or separate customer-property and returnable registers?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common custody/movement core with typed customer-property and returnable cases.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accessories need individual identity and condition?</w:t>
            </w:r>
          </w:p>
        </w:tc>
        <w:tc>
          <w:tcPr>
            <w:tcW w:type="dxa" w:w="5688"/>
            <w:vAlign w:val="center"/>
            <w:tcMar>
              <w:top w:w="70" w:type="dxa"/>
              <w:start w:w="80" w:type="dxa"/>
              <w:bottom w:w="70" w:type="dxa"/>
              <w:end w:w="80" w:type="dxa"/>
            </w:tcMar>
            <w:shd w:fill="EEF5F9"/>
          </w:tcPr>
          <w:p>
            <w:pPr>
              <w:spacing w:after="0" w:line="240" w:lineRule="auto"/>
            </w:pPr>
            <w:r>
              <w:t>Record accessories as list lines with description, quantity, condition and photo evidence. Accessories are not individually serialized.</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proves customer receipt/return?</w:t>
            </w:r>
          </w:p>
        </w:tc>
        <w:tc>
          <w:tcPr>
            <w:tcW w:type="dxa" w:w="5688"/>
            <w:vAlign w:val="center"/>
            <w:tcMar>
              <w:top w:w="70" w:type="dxa"/>
              <w:start w:w="80" w:type="dxa"/>
              <w:bottom w:w="70" w:type="dxa"/>
              <w:end w:w="80" w:type="dxa"/>
            </w:tcMar>
          </w:tcPr>
          <w:p>
            <w:pPr>
              <w:spacing w:after="0" w:line="240" w:lineRule="auto"/>
            </w:pPr>
            <w:r>
              <w:t>Named recipient, timestamp, signature or OTP/POD and immutable attachment hash prove receipt and return.</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due-date extensions and by what thresholds?</w:t>
            </w:r>
          </w:p>
        </w:tc>
        <w:tc>
          <w:tcPr>
            <w:tcW w:type="dxa" w:w="5688"/>
            <w:vAlign w:val="center"/>
            <w:tcMar>
              <w:top w:w="70" w:type="dxa"/>
              <w:start w:w="80" w:type="dxa"/>
              <w:bottom w:w="70" w:type="dxa"/>
              <w:end w:w="80" w:type="dxa"/>
            </w:tcMar>
            <w:shd w:fill="EEF5F9"/>
          </w:tcPr>
          <w:p>
            <w:pPr>
              <w:spacing w:after="0" w:line="240" w:lineRule="auto"/>
            </w:pPr>
            <w:r>
              <w:t>Every due-date extension requires TECHNICAL_DIRECTOR approval. Preserve the original due date, revised date, reason, evidence, actor and customer notification; never overwrite the original.</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loss/write-off close a returnable?</w:t>
            </w:r>
          </w:p>
        </w:tc>
        <w:tc>
          <w:tcPr>
            <w:tcW w:type="dxa" w:w="5688"/>
            <w:vAlign w:val="center"/>
            <w:tcMar>
              <w:top w:w="70" w:type="dxa"/>
              <w:start w:w="80" w:type="dxa"/>
              <w:bottom w:w="70" w:type="dxa"/>
              <w:end w:w="80" w:type="dxa"/>
            </w:tcMar>
          </w:tcPr>
          <w:p>
            <w:pPr>
              <w:spacing w:after="0" w:line="240" w:lineRule="auto"/>
            </w:pPr>
            <w:r>
              <w:t>A returnable closes only through an approved typed loss/write-off or another fully reconciled disposition. No force-close exists.</w:t>
            </w:r>
          </w:p>
        </w:tc>
        <w:tc>
          <w:tcPr>
            <w:tcW w:type="dxa" w:w="936"/>
            <w:vAlign w:val="center"/>
            <w:tcMar>
              <w:top w:w="70" w:type="dxa"/>
              <w:start w:w="80" w:type="dxa"/>
              <w:bottom w:w="70" w:type="dxa"/>
              <w:end w:w="80" w:type="dxa"/>
            </w:tcMar>
            <w:shd w:fill="E2F0D9"/>
          </w:tcPr>
          <w:p>
            <w:pPr>
              <w:spacing w:after="0" w:line="240" w:lineRule="auto"/>
            </w:pPr>
            <w:r>
              <w:t>FROZEN - DECISION 7</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customer property move between sites or engineers?</w:t>
            </w:r>
          </w:p>
        </w:tc>
        <w:tc>
          <w:tcPr>
            <w:tcW w:type="dxa" w:w="5688"/>
            <w:vAlign w:val="center"/>
            <w:tcMar>
              <w:top w:w="70" w:type="dxa"/>
              <w:start w:w="80" w:type="dxa"/>
              <w:bottom w:w="70" w:type="dxa"/>
              <w:end w:w="80" w:type="dxa"/>
            </w:tcMar>
            <w:shd w:fill="EEF5F9"/>
          </w:tcPr>
          <w:p>
            <w:pPr>
              <w:spacing w:after="0" w:line="240" w:lineRule="auto"/>
            </w:pPr>
            <w:r>
              <w:t>Yes. Every site/engineer transfer is an immutable handover with sender and receiver acknowledgement.</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inbound demo equipment inventory, custody property or fixed asset?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Inbound demo equipment is custody property and must return to its owner. Possession never capitalizes it. Capitalization requires a separate explicit Accounts transaction.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bl>
    <w:p>
      <w:pPr>
        <w:spacing w:after="0"/>
      </w:pPr>
    </w:p>
    <w:p>
      <w:r>
        <w:br w:type="page"/>
      </w:r>
    </w:p>
    <w:p>
      <w:pPr>
        <w:pStyle w:val="Heading2"/>
      </w:pPr>
      <w:r>
        <w:t>Questions T1-T7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tool an Item plus serialized asset extension?</w:t>
            </w:r>
          </w:p>
        </w:tc>
        <w:tc>
          <w:tcPr>
            <w:tcW w:type="dxa" w:w="5688"/>
            <w:vAlign w:val="center"/>
            <w:tcMar>
              <w:top w:w="70" w:type="dxa"/>
              <w:start w:w="80" w:type="dxa"/>
              <w:bottom w:w="70" w:type="dxa"/>
              <w:end w:w="80" w:type="dxa"/>
            </w:tcMar>
          </w:tcPr>
          <w:p>
            <w:pPr>
              <w:spacing w:after="0" w:line="240" w:lineRule="auto"/>
            </w:pPr>
            <w:r>
              <w:t>Yes. Every tool is an Item plus an individually identified asset; no value threshold permits anonymous quantity stock.</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tools are individual assets versus quantity stock?</w:t>
            </w:r>
          </w:p>
        </w:tc>
        <w:tc>
          <w:tcPr>
            <w:tcW w:type="dxa" w:w="5688"/>
            <w:vAlign w:val="center"/>
            <w:tcMar>
              <w:top w:w="70" w:type="dxa"/>
              <w:start w:w="80" w:type="dxa"/>
              <w:bottom w:w="70" w:type="dxa"/>
              <w:end w:w="80" w:type="dxa"/>
            </w:tcMar>
            <w:shd w:fill="EEF5F9"/>
          </w:tcPr>
          <w:p>
            <w:pPr>
              <w:spacing w:after="0" w:line="240" w:lineRule="auto"/>
            </w:pPr>
            <w:r>
              <w:t>Every tool is an individual asset, including ordinary hand tools. Consumables remain quantity stock only when they are not tools.</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kit membership fixed or effective-dated?</w:t>
            </w:r>
          </w:p>
        </w:tc>
        <w:tc>
          <w:tcPr>
            <w:tcW w:type="dxa" w:w="5688"/>
            <w:vAlign w:val="center"/>
            <w:tcMar>
              <w:top w:w="70" w:type="dxa"/>
              <w:start w:w="80" w:type="dxa"/>
              <w:bottom w:w="70" w:type="dxa"/>
              <w:end w:w="80" w:type="dxa"/>
            </w:tcMar>
          </w:tcPr>
          <w:p>
            <w:pPr>
              <w:spacing w:after="0" w:line="240" w:lineRule="auto"/>
            </w:pPr>
            <w:r>
              <w:t>Kit membership is effective-dated so historical issues retain the membership snapshot that applied at issue time.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permanent and temporary custody?</w:t>
            </w:r>
          </w:p>
        </w:tc>
        <w:tc>
          <w:tcPr>
            <w:tcW w:type="dxa" w:w="5688"/>
            <w:vAlign w:val="center"/>
            <w:tcMar>
              <w:top w:w="70" w:type="dxa"/>
              <w:start w:w="80" w:type="dxa"/>
              <w:bottom w:w="70" w:type="dxa"/>
              <w:end w:w="80" w:type="dxa"/>
            </w:tcMar>
            <w:shd w:fill="EEF5F9"/>
          </w:tcPr>
          <w:p>
            <w:pPr>
              <w:spacing w:after="0" w:line="240" w:lineRule="auto"/>
            </w:pPr>
            <w:r>
              <w:t>Department manager approves temporary custody; STORES_MANAGER approves routine renewal; TECHNICAL_DIRECTOR approves permanent assignment and high-risk custody.</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temporary due dates dates, timestamps or class defaults?</w:t>
            </w:r>
          </w:p>
        </w:tc>
        <w:tc>
          <w:tcPr>
            <w:tcW w:type="dxa" w:w="5688"/>
            <w:vAlign w:val="center"/>
            <w:tcMar>
              <w:top w:w="70" w:type="dxa"/>
              <w:start w:w="80" w:type="dxa"/>
              <w:bottom w:w="70" w:type="dxa"/>
              <w:end w:w="80" w:type="dxa"/>
            </w:tcMar>
          </w:tcPr>
          <w:p>
            <w:pPr>
              <w:spacing w:after="0" w:line="240" w:lineRule="auto"/>
            </w:pPr>
            <w:r>
              <w:t>The issuer enters a duration in DAYS at issue time. Store the entered days, issue timestamp and derived due timestamp on the immutable custody transaction.</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defines calibration intervals and provider authority?</w:t>
            </w:r>
          </w:p>
        </w:tc>
        <w:tc>
          <w:tcPr>
            <w:tcW w:type="dxa" w:w="5688"/>
            <w:vAlign w:val="center"/>
            <w:tcMar>
              <w:top w:w="70" w:type="dxa"/>
              <w:start w:w="80" w:type="dxa"/>
              <w:bottom w:w="70" w:type="dxa"/>
              <w:end w:w="80" w:type="dxa"/>
            </w:tcMar>
            <w:shd w:fill="EEF5F9"/>
          </w:tcPr>
          <w:p>
            <w:pPr>
              <w:spacing w:after="0" w:line="240" w:lineRule="auto"/>
            </w:pPr>
            <w:r>
              <w:t>Internal master instruments use a one-year calibration interval. Calibration providers are mastered; the initial provider is Sansel Calibration Laboratories LLP, Maduravoyal, Chennai. Proposed governance: QC_MANAGER prepares interval/provider changes and TECHNICAL_DIRECTOR approves them.</w:t>
            </w:r>
          </w:p>
        </w:tc>
        <w:tc>
          <w:tcPr>
            <w:tcW w:type="dxa" w:w="936"/>
            <w:vAlign w:val="center"/>
            <w:tcMar>
              <w:top w:w="70" w:type="dxa"/>
              <w:start w:w="80" w:type="dxa"/>
              <w:bottom w:w="70" w:type="dxa"/>
              <w:end w:w="80" w:type="dxa"/>
            </w:tcMar>
            <w:shd w:fill="FFF2CC"/>
          </w:tcPr>
          <w:p>
            <w:pPr>
              <w:spacing w:after="0" w:line="240" w:lineRule="auto"/>
            </w:pPr>
            <w:r>
              <w:t>PARTLY FROZEN; GOVERNANCE 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expired calibration absolutely block issue/use?</w:t>
            </w:r>
          </w:p>
        </w:tc>
        <w:tc>
          <w:tcPr>
            <w:tcW w:type="dxa" w:w="5688"/>
            <w:vAlign w:val="center"/>
            <w:tcMar>
              <w:top w:w="70" w:type="dxa"/>
              <w:start w:w="80" w:type="dxa"/>
              <w:bottom w:w="70" w:type="dxa"/>
              <w:end w:w="80" w:type="dxa"/>
            </w:tcMar>
          </w:tcPr>
          <w:p>
            <w:pPr>
              <w:spacing w:after="0" w:line="240" w:lineRule="auto"/>
            </w:pPr>
            <w:r>
              <w:t>Expired calibration warns but does not block issue. Every issue while expired records the warning, issuer, custodian, instrument, certificate expiry and reason.</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T8-T8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loss, damage and employee recovery settled?</w:t>
            </w:r>
          </w:p>
        </w:tc>
        <w:tc>
          <w:tcPr>
            <w:tcW w:type="dxa" w:w="5688"/>
            <w:vAlign w:val="center"/>
            <w:tcMar>
              <w:top w:w="70" w:type="dxa"/>
              <w:start w:w="80" w:type="dxa"/>
              <w:bottom w:w="70" w:type="dxa"/>
              <w:end w:w="80" w:type="dxa"/>
            </w:tcMar>
          </w:tcPr>
          <w:p>
            <w:pPr>
              <w:spacing w:after="0" w:line="240" w:lineRule="auto"/>
            </w:pPr>
            <w:r>
              <w:t>Stores records the incident and custody; technical owner assesses; TECHNICAL_DIRECTOR approves write-off; HR/Finance decides employee recovery with notice and evidence.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after="0"/>
      </w:pPr>
    </w:p>
    <w:p>
      <w:r>
        <w:br w:type="page"/>
      </w:r>
    </w:p>
    <w:p>
      <w:pPr>
        <w:pStyle w:val="Heading2"/>
      </w:pPr>
      <w:r>
        <w:t>Questions J1-J7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jobwork inputs reconciled to outputs?</w:t>
            </w:r>
          </w:p>
        </w:tc>
        <w:tc>
          <w:tcPr>
            <w:tcW w:type="dxa" w:w="5688"/>
            <w:vAlign w:val="center"/>
            <w:tcMar>
              <w:top w:w="70" w:type="dxa"/>
              <w:start w:w="80" w:type="dxa"/>
              <w:bottom w:w="70" w:type="dxa"/>
              <w:end w:w="80" w:type="dxa"/>
            </w:tcMar>
          </w:tcPr>
          <w:p>
            <w:pPr>
              <w:spacing w:after="0" w:line="240" w:lineRule="auto"/>
            </w:pPr>
            <w:r>
              <w:t>Configure input-output equivalence by process, Item, UOM and weight; each immutable batch reconciles returned output, accepted process loss, recoverable scrap and remaining input.</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scrap or weight tolerance is allowed?</w:t>
            </w:r>
          </w:p>
        </w:tc>
        <w:tc>
          <w:tcPr>
            <w:tcW w:type="dxa" w:w="5688"/>
            <w:vAlign w:val="center"/>
            <w:tcMar>
              <w:top w:w="70" w:type="dxa"/>
              <w:start w:w="80" w:type="dxa"/>
              <w:bottom w:w="70" w:type="dxa"/>
              <w:end w:w="80" w:type="dxa"/>
            </w:tcMar>
            <w:shd w:fill="EEF5F9"/>
          </w:tcPr>
          <w:p>
            <w:pPr>
              <w:spacing w:after="0" w:line="240" w:lineRule="auto"/>
            </w:pPr>
            <w:r>
              <w:t>Tolerance is effective-dated per process, not one company figure (for example, powder coating about 5% and CNC about 10%). TD, MD or IT_MANAGER may configure it with full history. Within tolerance auto-accepts with scrap recorded. Outside tolerance requires vendor explanation and approval before closure; proposed approver is TECHNICAL_DIRECTOR, with MANAGING_DIRECTOR concurrence above the normal high-value band.</w:t>
            </w:r>
          </w:p>
        </w:tc>
        <w:tc>
          <w:tcPr>
            <w:tcW w:type="dxa" w:w="936"/>
            <w:vAlign w:val="center"/>
            <w:tcMar>
              <w:top w:w="70" w:type="dxa"/>
              <w:start w:w="80" w:type="dxa"/>
              <w:bottom w:w="70" w:type="dxa"/>
              <w:end w:w="80" w:type="dxa"/>
            </w:tcMar>
            <w:shd w:fill="FFF2CC"/>
          </w:tcPr>
          <w:p>
            <w:pPr>
              <w:spacing w:after="0" w:line="240" w:lineRule="auto"/>
            </w:pPr>
            <w:r>
              <w:t>PARTLY FROZEN; EXCESS-LOSS APPROVER 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subcontract PO/bill costs allocated?</w:t>
            </w:r>
          </w:p>
        </w:tc>
        <w:tc>
          <w:tcPr>
            <w:tcW w:type="dxa" w:w="5688"/>
            <w:vAlign w:val="center"/>
            <w:tcMar>
              <w:top w:w="70" w:type="dxa"/>
              <w:start w:w="80" w:type="dxa"/>
              <w:bottom w:w="70" w:type="dxa"/>
              <w:end w:w="80" w:type="dxa"/>
            </w:tcMar>
          </w:tcPr>
          <w:p>
            <w:pPr>
              <w:spacing w:after="0" w:line="240" w:lineRule="auto"/>
            </w:pPr>
            <w:r>
              <w:t>Allocate accepted subcontract bill cost to returned outputs/projects using explicit quantities or an approved allocation basis. Actual BOM takes the accepted-bill allocation.</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jobwork output be partially accepted and partially returned?</w:t>
            </w:r>
          </w:p>
        </w:tc>
        <w:tc>
          <w:tcPr>
            <w:tcW w:type="dxa" w:w="5688"/>
            <w:vAlign w:val="center"/>
            <w:tcMar>
              <w:top w:w="70" w:type="dxa"/>
              <w:start w:w="80" w:type="dxa"/>
              <w:bottom w:w="70" w:type="dxa"/>
              <w:end w:w="80" w:type="dxa"/>
            </w:tcMar>
            <w:shd w:fill="EEF5F9"/>
          </w:tcPr>
          <w:p>
            <w:pPr>
              <w:spacing w:after="0" w:line="240" w:lineRule="auto"/>
            </w:pPr>
            <w:r>
              <w:t>Allow partial acceptance and partial return by exact output quantity/lot/serial, while leaving the unresolved input balance open.</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RMA resolutions exist?</w:t>
            </w:r>
          </w:p>
        </w:tc>
        <w:tc>
          <w:tcPr>
            <w:tcW w:type="dxa" w:w="5688"/>
            <w:vAlign w:val="center"/>
            <w:tcMar>
              <w:top w:w="70" w:type="dxa"/>
              <w:start w:w="80" w:type="dxa"/>
              <w:bottom w:w="70" w:type="dxa"/>
              <w:end w:w="80" w:type="dxa"/>
            </w:tcMar>
          </w:tcPr>
          <w:p>
            <w:pPr>
              <w:spacing w:after="0" w:line="240" w:lineRule="auto"/>
            </w:pPr>
            <w:r>
              <w:t>Use typed RMA terminal resolutions: REPAIR, REPLACEMENT, CREDIT_REFUND, RETURN_AS_IS and APPROVED_WRITE_OFF.</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payment-hold lifecycle?</w:t>
            </w:r>
          </w:p>
        </w:tc>
        <w:tc>
          <w:tcPr>
            <w:tcW w:type="dxa" w:w="5688"/>
            <w:vAlign w:val="center"/>
            <w:tcMar>
              <w:top w:w="70" w:type="dxa"/>
              <w:start w:w="80" w:type="dxa"/>
              <w:bottom w:w="70" w:type="dxa"/>
              <w:end w:w="80" w:type="dxa"/>
            </w:tcMar>
            <w:shd w:fill="EEF5F9"/>
          </w:tcPr>
          <w:p>
            <w:pPr>
              <w:spacing w:after="0" w:line="240" w:lineRule="auto"/>
            </w:pPr>
            <w:r>
              <w:t>Hold the affected invoice line by default; hold the full invoice only for a legal, tax or payment dependency. Accounts releases with evidence and immutable history.</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approves vendor-return dispatch?</w:t>
            </w:r>
          </w:p>
        </w:tc>
        <w:tc>
          <w:tcPr>
            <w:tcW w:type="dxa" w:w="5688"/>
            <w:vAlign w:val="center"/>
            <w:tcMar>
              <w:top w:w="70" w:type="dxa"/>
              <w:start w:w="80" w:type="dxa"/>
              <w:bottom w:w="70" w:type="dxa"/>
              <w:end w:w="80" w:type="dxa"/>
            </w:tcMar>
          </w:tcPr>
          <w:p>
            <w:pPr>
              <w:spacing w:after="0" w:line="240" w:lineRule="auto"/>
            </w:pPr>
            <w:r>
              <w:t>Stores prepares vendor-return dispatch; the requesting/owning department approves. Proposed escalation: TECHNICAL_DIRECTOR approval for serialized, safety-critical, concession-related or no-credit returns.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X1-X7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One-step transfer or dispatch/in-transit/receipt?</w:t>
            </w:r>
          </w:p>
        </w:tc>
        <w:tc>
          <w:tcPr>
            <w:tcW w:type="dxa" w:w="5688"/>
            <w:vAlign w:val="center"/>
            <w:tcMar>
              <w:top w:w="70" w:type="dxa"/>
              <w:start w:w="80" w:type="dxa"/>
              <w:bottom w:w="70" w:type="dxa"/>
              <w:end w:w="80" w:type="dxa"/>
            </w:tcMar>
          </w:tcPr>
          <w:p>
            <w:pPr>
              <w:spacing w:after="0" w:line="240" w:lineRule="auto"/>
            </w:pPr>
            <w:r>
              <w:t>Use dispatch, in-transit and receiving acceptance. Intercompany movement additionally requires the receiving company normal PR/approval/PO before dispatch and completes through its GRN/QC flow.</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Are partial receipts and transfer differences allowed?</w:t>
            </w:r>
          </w:p>
        </w:tc>
        <w:tc>
          <w:tcPr>
            <w:tcW w:type="dxa" w:w="5688"/>
            <w:vAlign w:val="center"/>
            <w:tcMar>
              <w:top w:w="70" w:type="dxa"/>
              <w:start w:w="80" w:type="dxa"/>
              <w:bottom w:w="70" w:type="dxa"/>
              <w:end w:w="80" w:type="dxa"/>
            </w:tcMar>
            <w:shd w:fill="EEF5F9"/>
          </w:tcPr>
          <w:p>
            <w:pPr>
              <w:spacing w:after="0" w:line="240" w:lineRule="auto"/>
            </w:pPr>
            <w:r>
              <w:t>Partial receipt is allowed only within the receiving PO remaining quantity. Differences enter discrepancy investigation and block transfer closure; over-receipt remains refused.</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and values stock in transit?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issuing company retains ownership/carrying value until destination accepts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intercompany routes are permitted?</w:t>
            </w:r>
          </w:p>
        </w:tc>
        <w:tc>
          <w:tcPr>
            <w:tcW w:type="dxa" w:w="5688"/>
            <w:vAlign w:val="center"/>
            <w:tcMar>
              <w:top w:w="70" w:type="dxa"/>
              <w:start w:w="80" w:type="dxa"/>
              <w:bottom w:w="70" w:type="dxa"/>
              <w:end w:w="80" w:type="dxa"/>
            </w:tcMar>
            <w:shd w:fill="EEF5F9"/>
          </w:tcPr>
          <w:p>
            <w:pPr>
              <w:spacing w:after="0" w:line="240" w:lineRule="auto"/>
            </w:pPr>
            <w:r>
              <w:t>The two SESS companies may transact only as a real sale through approved company/site/warehouse routes. The receiving company uses the normal PR, purchase approval matrix and PO naming the other SESS company as vendor. No PO means no movement.</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Finance documents accompany intercompany movement?</w:t>
            </w:r>
          </w:p>
        </w:tc>
        <w:tc>
          <w:tcPr>
            <w:tcW w:type="dxa" w:w="5688"/>
            <w:vAlign w:val="center"/>
            <w:tcMar>
              <w:top w:w="70" w:type="dxa"/>
              <w:start w:w="80" w:type="dxa"/>
              <w:bottom w:w="70" w:type="dxa"/>
              <w:end w:w="80" w:type="dxa"/>
            </w:tcMar>
          </w:tcPr>
          <w:p>
            <w:pPr>
              <w:spacing w:after="0" w:line="240" w:lineRule="auto"/>
            </w:pPr>
            <w:r>
              <w:t>A GST invoice is mandatory. E-way bill evidence is mandatory when legally applicable. Preserve the receiving PR/PO, issuing sale/dispatch, receiving GRN/QC and accepted-bill allocation as two company-scoped ledgers linked by one reconciliation identity.</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creates the receiving-company inward record?</w:t>
            </w:r>
          </w:p>
        </w:tc>
        <w:tc>
          <w:tcPr>
            <w:tcW w:type="dxa" w:w="5688"/>
            <w:vAlign w:val="center"/>
            <w:tcMar>
              <w:top w:w="70" w:type="dxa"/>
              <w:start w:w="80" w:type="dxa"/>
              <w:bottom w:w="70" w:type="dxa"/>
              <w:end w:w="80" w:type="dxa"/>
            </w:tcMar>
            <w:shd w:fill="EEF5F9"/>
          </w:tcPr>
          <w:p>
            <w:pPr>
              <w:spacing w:after="0" w:line="240" w:lineRule="auto"/>
            </w:pPr>
            <w:r>
              <w:t>The destination storekeeper creates the normal company-scoped GRN against the receiving company PO; there is no privileged cross-company inward shortcut.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both sides reconciled without broad cross-company visibility?</w:t>
            </w:r>
          </w:p>
        </w:tc>
        <w:tc>
          <w:tcPr>
            <w:tcW w:type="dxa" w:w="5688"/>
            <w:vAlign w:val="center"/>
            <w:tcMar>
              <w:top w:w="70" w:type="dxa"/>
              <w:start w:w="80" w:type="dxa"/>
              <w:bottom w:w="70" w:type="dxa"/>
              <w:end w:w="80" w:type="dxa"/>
            </w:tcMar>
          </w:tcPr>
          <w:p>
            <w:pPr>
              <w:spacing w:after="0" w:line="240" w:lineRule="auto"/>
            </w:pPr>
            <w:r>
              <w:t>Both company ledgers remain separate and complete. Ordinary users see only their company. A privileged reconciliation projection follows the immutable intercompany correlation without granting cross-company mutation.</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G1-G7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QC hold a decision or custody state?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QC_HOLD is pending custody, not a terminal inspection 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over-receipt permitted?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 received excess; record and segregate physical excess for return until PO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duplicate stored serials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Normalized stored serial identity must be unique at finalization.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items require batch/manufacture/expiry data?</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Batch, manufacture and expiry requirements come from an effective Item-and-company lot/QC policy using the frozen lot model.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inspector NARREN/fallback or effective QC role?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Resolve effective QC_MANAGER employee and record actual inspector; retain recorded fallback.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9</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returns require QC?</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QC is mandatory for powder-coating, CNC, milling and lathe returns; vendor replacements; serialized or safety-critical Items; Items required by effective company policy; and customer/service returns that may re-enter SESS AVAILABLE stock. Customer property returning only for delivery to its owner receives custody/condition verification, not SESS inventory QC.</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Where do rejected returns go?</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Rejected quantity remains in PENDING_RETURNABLE_DC until governed return, replacement, repair, scrap or an approved TD use-as-is concession moves the exact authorized provenance quantity.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bl>
    <w:p>
      <w:pPr>
        <w:spacing w:before="120" w:after="60"/>
      </w:pPr>
      <w:r>
        <w:rPr>
          <w:b/>
        </w:rPr>
        <w:t xml:space="preserve">Confirmed GRN/QC elaborations - Batch 3</w:t>
      </w:r>
    </w:p>
    <w:p>
      <w:pPr>
        <w:spacing w:before="120" w:after="60"/>
      </w:pPr>
      <w:r>
        <w:t xml:space="preserve">These rules elaborate G1-G7 without replacing the original 90-question index.</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returns require QC?</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Use the exact G6 matrix. Returns that may re-enter SESS AVAILABLE stock require policy-driven QC; customer property returning only to its owner remains custody property.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is the QC scope when one GRN line contains multiple lots?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QC is per GRN-line lot allocation. Each lot has independent samples, revisions and disposition; serialized Items also retain exact per-serial disposition.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governs company-specific QC policy?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QC_MANAGER prepares; TECHNICAL_DIRECTOR approves. Policy is effective-dated and snapshotted on receipts.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happens when no effective QC policy exists?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Fail closed to QC_HOLD. Absence never implies exemption. Direct AVAILABLE receipt requires an explicit effective QC_EXEMPT policy.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Is use-as-is concession allowed?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only after recorded QC rejection and only with direct TECHNICAL_DIRECTOR approval. No delegation or fallback. Exact quantity, lot allocation and serials plus failed parameter, measured value, technical reason and intended use are mandatory. Approval is immutable; correction is reversal and re-decision.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inspection shortfall classified?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Enter DISCREPANCY_PENDING first. Resolve it as found material, corrected receipt, rejected/lost quantity or another typed outcome. Physical shortage must not corrupt vendor quality data.</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bl>
    <w:p>
      <w:pPr>
        <w:spacing w:before="120" w:after="60"/>
      </w:pPr>
      <w:r>
        <w:rPr>
          <w:b/>
        </w:rPr>
        <w:t xml:space="preserve">FULL-SCHEMA IMPLEMENTATION GAPS - QC LOT SCOPE, DISCREPANCY AND PROVENANCE</w:t>
      </w:r>
    </w:p>
    <w:p>
      <w:pPr>
        <w:spacing w:before="120" w:after="60"/>
      </w:pPr>
      <w:r>
        <w:t xml:space="preserve">The applied QC identity is GRN-line scoped, the current shortfall field classifies shortage as rejected, and stock movements have no lot-allocation/concession provenance identity. The coherent full-schema migration must refine QC to lot-allocation scope, introduce DISCREPANCY_PENDING, and add movement-carried provenance. Do not patch these independently.</w:t>
      </w:r>
    </w:p>
    <w:p>
      <w:pPr>
        <w:spacing w:after="0"/>
      </w:pPr>
    </w:p>
    <w:p>
      <w:r>
        <w:br w:type="page"/>
      </w:r>
    </w:p>
    <w:p>
      <w:pPr>
        <w:pStyle w:val="Heading2"/>
      </w:pPr>
      <w:r>
        <w:t>Questions E1-E7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stock ever become negative?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Negative stock is never permitted.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physical issue precede MIR approval?</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Physical issue and controlled posting require an approved MIR. Urgency uses the fast approval route and never bypasses approval.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adjustment types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Only OPENING, COUNT_VARIANCE, DAMAGE, SCRAP, LOSS_WRITE_OFF and CORRECTION_REVERSAL adjustments exist. A generic or unexplained adjustment is forbidden.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approval matrix applies to adjustments?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Approval uses the existing value bands: below 5,000 STORES_MANAGER; 5,000 through 100,000 TECHNICAL_DIRECTOR; above 100,000 MANAGING_DIRECTOR. Serialized identity adjustment at any value requires TECHNICAL_DIRECTOR. Damage or loss write-off requires TECHNICAL_DIRECTOR with ACCOUNTS_MANAGER concurrence. The already-frozen SCRAP write-off route is a specific case requiring TECHNICAL_DIRECTOR and MANAGING_DIRECTOR approval. The recorder or counter cannot approve. Reversal requires at least the authority of the original transaction.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may backdate, and how far?</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Effective date must be inside an open inventory period and no more than 7 days before entry. Beyond 7 days requires TECHNICAL_DIRECTOR approval. Every backdate records event date, entry time, reason and evidence. Closed periods are never reopened; use a current-period correction referencing the original event. Approver and entrant must differ.</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opening-stock ceremony?</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Opening stock is an immutable, fully validated controlled batch. STORES_MANAGER prepares physical quantities, locations, lots and serials; ACCOUNTS_MANAGER confirms accepted valuation; TECHNICAL_DIRECTOR gives final posting authorization. The three actors must be different and a posted batch is never overwritten.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count frequency and ABC/FSN schedule apply?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Approved company-specific ABC/FSN classification controls frequency: A monthly, B quarterly, C half-yearly, critical and non-moving at least quarterly, and an annual wall-to-wall count. Calculation may propose a class but never silently change the approved class or frequency.</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bl>
    <w:p>
      <w:pPr>
        <w:spacing w:after="0"/>
      </w:pPr>
    </w:p>
    <w:p>
      <w:r>
        <w:br w:type="page"/>
      </w:r>
    </w:p>
    <w:p>
      <w:pPr>
        <w:pStyle w:val="Heading2"/>
      </w:pPr>
      <w:r>
        <w:t>Questions E8-E10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counting freeze everything or use a controlled window?</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Freeze by company, warehouse, location and item scope. An urgent issue may break the freeze only with TECHNICAL_DIRECTOR approval. Record the break, reason, approval and exact movement; the affected item/location scope must then be recounted and cannot be certified as a clean count.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orders recount and approves final variance?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An independent employee performs the recount. Final variance follows the E4 approval bands and special write-off controls. The employee who recorded or recounted the quantity cannot approve the resulting variance.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does scrap sale reach Finance?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Writing stock off into SCRAP and later disposing or selling existing SCRAP are separate governed acts. Moving material into SCRAP requires the already-frozen TECHNICAL_DIRECTOR and MANAGING_DIRECTOR approvals; selling that existing SCRAP requires a separate MANAGING_DIRECTOR disposal approval. Scrap cannot leave before the Accounts invoice exists and payment is received; no credit terms apply. Stores selects the buyer, MANAGING_DIRECTOR approves every disposal regardless of value, and closure preserves quantity/weight, custody, invoice, receipt and dispatch evidence.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bl>
    <w:p>
      <w:pPr>
        <w:spacing w:before="120" w:after="60"/>
      </w:pPr>
      <w:r>
        <w:rPr>
          <w:b/>
        </w:rPr>
        <w:t xml:space="preserve">Confirmed stock-exception elaborations - Batch 4</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approval bands govern adjustments?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Below 5,000 STORES_MANAGER; 5,000-100,000 TECHNICAL_DIRECTOR; above 100,000 MANAGING_DIRECTOR. Serialized identity adjustments always require TD; damage/loss write-off requires TD with Accounts concurrence.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backdating controlled?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Open inventory period only; maximum 7 days without the additional TD approval. Preserve physical event date, immutable entry time, reason, evidence and original-event reference for current-period corrections.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performs the opening-stock ceremony?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Three separate actors: Stores Manager prepares physical truth, Accounts Manager confirms accepted valuation, and Technical Director authorizes final controlled posting.</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counting scheduled?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Approved company-specific ABC/FSN classification controls the confirmed monthly, quarterly, half-yearly and annual frequencies. Calculations may propose but cannot silently change policy.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an urgent issue break a count freeze?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only with TD approval. Record the exact movement and reason, mark the freeze as broken, and require recount of the affected item/location scope.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final count variance approved?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Independent recount first; then the E4 value and risk bands. The recorder and every counter are excluded from approval.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write-off and scrap disposal separated?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Write-off into SCRAP is not disposal and requires the already-frozen TD and MD approvals. The later disposal requires its own separate MD approval plus an Accounts invoice, cleared payment and separate MD approval before dispatch. Preserve declarer, buyer selector, approver and payment receiver as distinct audited actors.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bl>
    <w:p>
      <w:pPr>
        <w:spacing w:before="120" w:after="60"/>
      </w:pPr>
      <w:r>
        <w:rPr>
          <w:b/>
        </w:rPr>
        <w:t xml:space="preserve">FULL-SCHEMA IMPLEMENTATION GAPS - COUNTS, PERIODS, ADJUSTMENTS AND DISPOSAL</w:t>
      </w:r>
    </w:p>
    <w:p>
      <w:pPr>
        <w:spacing w:before="120" w:after="60"/>
      </w:pPr>
      <w:r>
        <w:t xml:space="preserve">The complete schema requires governed adjustment documents and lines, inventory periods, scoped count freezes, blind count snapshots, independent recounts, opening-stock batches, approval snapshots, freeze-break records and separate scrap-disposal records. Every resulting movement must post through the controlled function; no workflow may update a balance directly.</w:t>
      </w:r>
    </w:p>
    <w:p>
      <w:pPr>
        <w:spacing w:before="120" w:after="60"/>
      </w:pPr>
      <w:r>
        <w:rPr>
          <w:b/>
        </w:rPr>
        <w:t xml:space="preserve">Decisions confirmed in advance - integrate in their question batches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Area</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Confirmed decision</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SPARE-1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Spare pricing</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Item master holds the default margin percentage per Item. An offer-line override records actor, old value, new value and reason and never silently changes the Item default.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TOOL-1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Tool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Every tool is an individually identified asset. No value threshold permits a tool to become anonymous quantity stock.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TOOL-2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Temporary issue duration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Duration is entered in DAYS at issue time and retained on the custody transaction.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CAL-1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Calibration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Internal master instruments are calibrated annually. Providers are a master; initial provider is Sansel Calibration Laboratories LLP, Maduravoyal, Chennai. Expiry warns rather than blocks, and issue while expired is recorded. Notification lead time remains open for the tools batch.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PARTLY FROZEN; LEAD TIME OPEN</w:t>
            </w:r>
          </w:p>
        </w:tc>
      </w:tr>
    </w:tbl>
    <w:p>
      <w:pPr>
        <w:spacing w:after="0"/>
      </w:pPr>
    </w:p>
    <w:p>
      <w:r>
        <w:br w:type="page"/>
      </w:r>
    </w:p>
    <w:p>
      <w:pPr>
        <w:pStyle w:val="Heading2"/>
      </w:pPr>
      <w:r>
        <w:t>Questions V1-V7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FIFO or weighted average, and at what scope?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FIFO strictly, by company and Item within the applicable ownership/value pool. Physical serial identity and provenance are retained, but the serial that leaves does not select its cost layer.</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ADVANCE DECISION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valuation method change?</w:t>
            </w:r>
          </w:p>
        </w:tc>
        <w:tc>
          <w:tcPr>
            <w:tcW w:type="dxa" w:w="5688"/>
            <w:vAlign w:val="center"/>
            <w:tcMar>
              <w:top w:w="70" w:type="dxa"/>
              <w:start w:w="80" w:type="dxa"/>
              <w:bottom w:w="70" w:type="dxa"/>
              <w:end w:w="80" w:type="dxa"/>
            </w:tcMar>
            <w:shd w:fill="EEF5F9"/>
          </w:tcPr>
          <w:p>
            <w:pPr>
              <w:spacing w:after="0" w:line="240" w:lineRule="auto"/>
            </w:pPr>
            <w:r>
              <w:t>A valuation-method change is prospective, effective-dated and approved; it never rewrites historical postings.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cost components enter inventory value?</w:t>
            </w:r>
          </w:p>
        </w:tc>
        <w:tc>
          <w:tcPr>
            <w:tcW w:type="dxa" w:w="5688"/>
            <w:vAlign w:val="center"/>
            <w:tcMar>
              <w:top w:w="70" w:type="dxa"/>
              <w:start w:w="80" w:type="dxa"/>
              <w:bottom w:w="70" w:type="dxa"/>
              <w:end w:w="80" w:type="dxa"/>
            </w:tcMar>
          </w:tcPr>
          <w:p>
            <w:pPr>
              <w:spacing w:after="0" w:line="240" w:lineRule="auto"/>
            </w:pPr>
            <w:r>
              <w:t>Exclude recoverable GST; include approved nonrecoverable tax, freight-in, duty and insurance. Installation is project cost unless required to make inventory usable.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value is used before bill acceptance?</w:t>
            </w:r>
          </w:p>
        </w:tc>
        <w:tc>
          <w:tcPr>
            <w:tcW w:type="dxa" w:w="5688"/>
            <w:vAlign w:val="center"/>
            <w:tcMar>
              <w:top w:w="70" w:type="dxa"/>
              <w:start w:w="80" w:type="dxa"/>
              <w:bottom w:w="70" w:type="dxa"/>
              <w:end w:w="80" w:type="dxa"/>
            </w:tcMar>
            <w:shd w:fill="EEF5F9"/>
          </w:tcPr>
          <w:p>
            <w:pPr>
              <w:spacing w:after="0" w:line="240" w:lineRule="auto"/>
            </w:pPr>
            <w:r>
              <w:t>Use the PO value provisionally. An accepted vendor bill must match the PO or be rejected until the PO is revised, so accepted item value equals the approved PO value and there is no purchase-price variance. This does not erase separately approved landed-cost allocations.</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Actual BOM accepted-bill cost or issue valuation?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Actual BOM uses accepted vendor-bill allocation for the physically fitted component. Inventory issue valuation remains the separate FIFO ledger value; the two are not forced to match.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 / ADVANCE CLARIFICATION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free/warranty receipts valued?</w:t>
            </w:r>
          </w:p>
        </w:tc>
        <w:tc>
          <w:tcPr>
            <w:tcW w:type="dxa" w:w="5688"/>
            <w:vAlign w:val="center"/>
            <w:tcMar>
              <w:top w:w="70" w:type="dxa"/>
              <w:start w:w="80" w:type="dxa"/>
              <w:bottom w:w="70" w:type="dxa"/>
              <w:end w:w="80" w:type="dxa"/>
            </w:tcMar>
            <w:shd w:fill="EEF5F9"/>
          </w:tcPr>
          <w:p>
            <w:pPr>
              <w:spacing w:after="0" w:line="240" w:lineRule="auto"/>
            </w:pPr>
            <w:r>
              <w:t>Use zero procurement cost unless a real accepted liability exists; retain memo/replacement value separately.</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maintains min/max/reorder/safety stock?</w:t>
            </w:r>
          </w:p>
        </w:tc>
        <w:tc>
          <w:tcPr>
            <w:tcW w:type="dxa" w:w="5688"/>
            <w:vAlign w:val="center"/>
            <w:tcMar>
              <w:top w:w="70" w:type="dxa"/>
              <w:start w:w="80" w:type="dxa"/>
              <w:bottom w:w="70" w:type="dxa"/>
              <w:end w:w="80" w:type="dxa"/>
            </w:tcMar>
          </w:tcPr>
          <w:p>
            <w:pPr>
              <w:spacing w:after="0" w:line="240" w:lineRule="auto"/>
            </w:pPr>
            <w:r>
              <w:t>Stores and Purchase prepare min/max/reorder/safety stock; department owner reviews; a designated manager approves the effective version.</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before="120" w:after="60"/>
      </w:pPr>
      <w:r>
        <w:rPr>
          <w:b/>
        </w:rPr>
        <w:t xml:space="preserve">Frozen valuation separation - FIFO ledger versus Actual BOM</w:t>
      </w:r>
    </w:p>
    <w:p>
      <w:pPr>
        <w:spacing w:before="120" w:after="60"/>
      </w:pPr>
      <w:r>
        <w:t xml:space="preserve">Inventory accounting consumes the oldest eligible FIFO cost layer for the company, Item and ownership/value pool. Location and physical serial provenance do not select the accounting layer. Actual BOM instead follows the physically fitted component provenance to its accepted vendor-bill allocation. Therefore a serial from a newer receipt may carry a different Actual BOM cost from the older FIFO layer consumed by the inventory ledger. That difference is legitimate: FIFO supports inventory and closing-stock accounting, while accepted-bill provenance supports offer-versus-actual commercial analysis. Neither value is rewritten merely to make the two reports agree.</w:t>
      </w:r>
    </w:p>
    <w:p>
      <w:pPr>
        <w:spacing w:after="0"/>
      </w:pPr>
    </w:p>
    <w:p>
      <w:r>
        <w:br w:type="page"/>
      </w:r>
    </w:p>
    <w:p>
      <w:pPr>
        <w:pStyle w:val="Heading2"/>
      </w:pPr>
      <w:r>
        <w:t>Questions V8-V8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are slow/non-moving/obsolete thresholds?</w:t>
            </w:r>
          </w:p>
        </w:tc>
        <w:tc>
          <w:tcPr>
            <w:tcW w:type="dxa" w:w="5688"/>
            <w:vAlign w:val="center"/>
            <w:tcMar>
              <w:top w:w="70" w:type="dxa"/>
              <w:start w:w="80" w:type="dxa"/>
              <w:bottom w:w="70" w:type="dxa"/>
              <w:end w:w="80" w:type="dxa"/>
            </w:tcMar>
          </w:tcPr>
          <w:p>
            <w:pPr>
              <w:spacing w:after="0" w:line="240" w:lineRule="auto"/>
            </w:pPr>
            <w:r>
              <w:t>Proposed defaults: slow-moving after 90 days, non-moving after 180 days, obsolete only after technical/commercial approval; allow approved item-class overrides.</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after="0"/>
      </w:pPr>
    </w:p>
    <w:p>
      <w:r>
        <w:br w:type="page"/>
      </w:r>
    </w:p>
    <w:p>
      <w:pPr>
        <w:pStyle w:val="Heading2"/>
      </w:pPr>
      <w:r>
        <w:t>Questions D1-D7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File types, limits, storage and retention?</w:t>
            </w:r>
          </w:p>
        </w:tc>
        <w:tc>
          <w:tcPr>
            <w:tcW w:type="dxa" w:w="5688"/>
            <w:vAlign w:val="center"/>
            <w:tcMar>
              <w:top w:w="70" w:type="dxa"/>
              <w:start w:w="80" w:type="dxa"/>
              <w:bottom w:w="70" w:type="dxa"/>
              <w:end w:w="80" w:type="dxa"/>
            </w:tcMar>
          </w:tcPr>
          <w:p>
            <w:pPr>
              <w:spacing w:after="0" w:line="240" w:lineRule="auto"/>
            </w:pPr>
            <w:r>
              <w:t>Allow PDF, DOCX, XLSX, CSV, JPG and PNG up to 25 MB by default; block executable and macro-enabled content. Use a versioned retention schedule and retain each record for the longest statutory, tax, contract, warranty/AMC/CAMC, defence/customer, audit or litigation-hold period. Core Service records retain at least 10 years.</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Does replacement overwrite or supersede an attachment?</w:t>
            </w:r>
          </w:p>
        </w:tc>
        <w:tc>
          <w:tcPr>
            <w:tcW w:type="dxa" w:w="5688"/>
            <w:vAlign w:val="center"/>
            <w:tcMar>
              <w:top w:w="70" w:type="dxa"/>
              <w:start w:w="80" w:type="dxa"/>
              <w:bottom w:w="70" w:type="dxa"/>
              <w:end w:w="80" w:type="dxa"/>
            </w:tcMar>
            <w:shd w:fill="EEF5F9"/>
          </w:tcPr>
          <w:p>
            <w:pPr>
              <w:spacing w:after="0" w:line="240" w:lineRule="auto"/>
            </w:pPr>
            <w:r>
              <w:t>An accepted attachment is superseded, never overwritten. Preserve every version, hash, uploader, time, sensitivity and source link.</w:t>
            </w:r>
          </w:p>
        </w:tc>
        <w:tc>
          <w:tcPr>
            <w:tcW w:type="dxa" w:w="936"/>
            <w:vAlign w:val="center"/>
            <w:tcMar>
              <w:top w:w="70" w:type="dxa"/>
              <w:start w:w="80" w:type="dxa"/>
              <w:bottom w:w="70" w:type="dxa"/>
              <w:end w:w="80" w:type="dxa"/>
            </w:tcMar>
            <w:shd w:fill="E2F0D9"/>
          </w:tcPr>
          <w:p>
            <w:pPr>
              <w:spacing w:after="0" w:line="240" w:lineRule="auto"/>
            </w:pPr>
            <w:r>
              <w:t>FROZEN - DOCUMENT CONTROL PRINCIPLE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attachments are sensitive?</w:t>
            </w:r>
          </w:p>
        </w:tc>
        <w:tc>
          <w:tcPr>
            <w:tcW w:type="dxa" w:w="5688"/>
            <w:vAlign w:val="center"/>
            <w:tcMar>
              <w:top w:w="70" w:type="dxa"/>
              <w:start w:w="80" w:type="dxa"/>
              <w:bottom w:w="70" w:type="dxa"/>
              <w:end w:w="80" w:type="dxa"/>
            </w:tcMar>
          </w:tcPr>
          <w:p>
            <w:pPr>
              <w:spacing w:after="0" w:line="240" w:lineRule="auto"/>
            </w:pPr>
            <w:r>
              <w:t>Restrict bank/KYC, pricing, customer-confidential, inspection/test, HR, legal/NDA and credential/secret classes; log every read and export.</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every document have Verified and Approved states?</w:t>
            </w:r>
          </w:p>
        </w:tc>
        <w:tc>
          <w:tcPr>
            <w:tcW w:type="dxa" w:w="5688"/>
            <w:vAlign w:val="center"/>
            <w:tcMar>
              <w:top w:w="70" w:type="dxa"/>
              <w:start w:w="80" w:type="dxa"/>
              <w:bottom w:w="70" w:type="dxa"/>
              <w:end w:w="80" w:type="dxa"/>
            </w:tcMar>
            <w:shd w:fill="EEF5F9"/>
          </w:tcPr>
          <w:p>
            <w:pPr>
              <w:spacing w:after="0" w:line="240" w:lineRule="auto"/>
            </w:pPr>
            <w:r>
              <w:t>No universal Verified/Approved chain exists. Each document uses only the business decisions required by its settled workflow.</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substitute/delegated approvers allowed?</w:t>
            </w:r>
          </w:p>
        </w:tc>
        <w:tc>
          <w:tcPr>
            <w:tcW w:type="dxa" w:w="5688"/>
            <w:vAlign w:val="center"/>
            <w:tcMar>
              <w:top w:w="70" w:type="dxa"/>
              <w:start w:w="80" w:type="dxa"/>
              <w:bottom w:w="70" w:type="dxa"/>
              <w:end w:w="80" w:type="dxa"/>
            </w:tcMar>
          </w:tcPr>
          <w:p>
            <w:pPr>
              <w:spacing w:after="0" w:line="240" w:lineRule="auto"/>
            </w:pPr>
            <w:r>
              <w:t>Only explicit, effective-dated, time-bound and scope-bound ERP delegation is valid. OIDC provider roles/groups never grant ERP authority. No delegation applies where a frozen rule requires the named role with no fallback.</w:t>
            </w:r>
          </w:p>
        </w:tc>
        <w:tc>
          <w:tcPr>
            <w:tcW w:type="dxa" w:w="936"/>
            <w:vAlign w:val="center"/>
            <w:tcMar>
              <w:top w:w="70" w:type="dxa"/>
              <w:start w:w="80" w:type="dxa"/>
              <w:bottom w:w="70" w:type="dxa"/>
              <w:end w:w="80" w:type="dxa"/>
            </w:tcMar>
            <w:shd w:fill="E2F0D9"/>
          </w:tcPr>
          <w:p>
            <w:pPr>
              <w:spacing w:after="0" w:line="240" w:lineRule="auto"/>
            </w:pPr>
            <w:r>
              <w:t>FROZEN - AUTHORIZATION DECISION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offline/delayed entry required?</w:t>
            </w:r>
          </w:p>
        </w:tc>
        <w:tc>
          <w:tcPr>
            <w:tcW w:type="dxa" w:w="5688"/>
            <w:vAlign w:val="center"/>
            <w:tcMar>
              <w:top w:w="70" w:type="dxa"/>
              <w:start w:w="80" w:type="dxa"/>
              <w:bottom w:w="70" w:type="dxa"/>
              <w:end w:w="80" w:type="dxa"/>
            </w:tcMar>
            <w:shd w:fill="EEF5F9"/>
          </w:tcPr>
          <w:p>
            <w:pPr>
              <w:spacing w:after="0" w:line="240" w:lineRule="auto"/>
            </w:pPr>
            <w:r>
              <w:t>Store physical event time, ERP entry time, reason and actor now. Reserve client event ID, device identity, sync state, conflict state and server resolution ancestry so the deferred offline mobile client can synchronize idempotently without schema replacement.</w:t>
            </w:r>
          </w:p>
        </w:tc>
        <w:tc>
          <w:tcPr>
            <w:tcW w:type="dxa" w:w="936"/>
            <w:vAlign w:val="center"/>
            <w:tcMar>
              <w:top w:w="70" w:type="dxa"/>
              <w:start w:w="80" w:type="dxa"/>
              <w:bottom w:w="70" w:type="dxa"/>
              <w:end w:w="80" w:type="dxa"/>
            </w:tcMar>
            <w:shd w:fill="FFF2CC"/>
          </w:tcPr>
          <w:p>
            <w:pPr>
              <w:spacing w:after="0" w:line="240" w:lineRule="auto"/>
            </w:pPr>
            <w:r>
              <w:t>FROZEN FOR SCHEMA; MOBILE BUILD DEFERRED</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Finance/HR integrations synchronous?</w:t>
            </w:r>
          </w:p>
        </w:tc>
        <w:tc>
          <w:tcPr>
            <w:tcW w:type="dxa" w:w="5688"/>
            <w:vAlign w:val="center"/>
            <w:tcMar>
              <w:top w:w="70" w:type="dxa"/>
              <w:start w:w="80" w:type="dxa"/>
              <w:bottom w:w="70" w:type="dxa"/>
              <w:end w:w="80" w:type="dxa"/>
            </w:tcMar>
          </w:tcPr>
          <w:p>
            <w:pPr>
              <w:spacing w:after="0" w:line="240" w:lineRule="auto"/>
            </w:pPr>
            <w:r>
              <w:t>Use a transactional outbox. Stores commits independently; Finance/HR delivery is asynchronous and idempotent.</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D8-D8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retry and reconciliation controls apply?</w:t>
            </w:r>
          </w:p>
        </w:tc>
        <w:tc>
          <w:tcPr>
            <w:tcW w:type="dxa" w:w="5688"/>
            <w:vAlign w:val="center"/>
            <w:tcMar>
              <w:top w:w="70" w:type="dxa"/>
              <w:start w:w="80" w:type="dxa"/>
              <w:bottom w:w="70" w:type="dxa"/>
              <w:end w:w="80" w:type="dxa"/>
            </w:tcMar>
          </w:tcPr>
          <w:p>
            <w:pPr>
              <w:spacing w:after="0" w:line="240" w:lineRule="auto"/>
            </w:pPr>
            <w:r>
              <w:t>Use idempotency keys, durable attempts, bounded automatic retry, terminal failure queue and an authorized reconciliation action with immutable evidence.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VP1-VP5</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Evaluation period and frequency?</w:t>
            </w:r>
          </w:p>
        </w:tc>
        <w:tc>
          <w:tcPr>
            <w:tcW w:type="dxa" w:w="5688"/>
            <w:vAlign w:val="center"/>
            <w:tcMar>
              <w:top w:w="70" w:type="dxa"/>
              <w:start w:w="80" w:type="dxa"/>
              <w:bottom w:w="70" w:type="dxa"/>
              <w:end w:w="80" w:type="dxa"/>
            </w:tcMar>
          </w:tcPr>
          <w:p>
            <w:pPr>
              <w:spacing w:after="0" w:line="240" w:lineRule="auto"/>
            </w:pPr>
            <w:r>
              <w:t>Calculate monthly and preserve an immutable period snapshot plus a rolling 12-month view.</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Metric weights?</w:t>
            </w:r>
          </w:p>
        </w:tc>
        <w:tc>
          <w:tcPr>
            <w:tcW w:type="dxa" w:w="5688"/>
            <w:vAlign w:val="center"/>
            <w:tcMar>
              <w:top w:w="70" w:type="dxa"/>
              <w:start w:w="80" w:type="dxa"/>
              <w:bottom w:w="70" w:type="dxa"/>
              <w:end w:w="80" w:type="dxa"/>
            </w:tcMar>
            <w:shd w:fill="EEF5F9"/>
          </w:tcPr>
          <w:p>
            <w:pPr>
              <w:spacing w:after="0" w:line="240" w:lineRule="auto"/>
            </w:pPr>
            <w:r>
              <w:t>Proposed initial weights: Quality 35%, Delivery 30%, Price 15%, Response 10%, Closure 10%; changes are versioned and approved by Purchase and TD.</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Minimum sample before scoring?</w:t>
            </w:r>
          </w:p>
        </w:tc>
        <w:tc>
          <w:tcPr>
            <w:tcW w:type="dxa" w:w="5688"/>
            <w:vAlign w:val="center"/>
            <w:tcMar>
              <w:top w:w="70" w:type="dxa"/>
              <w:start w:w="80" w:type="dxa"/>
              <w:bottom w:w="70" w:type="dxa"/>
              <w:end w:w="80" w:type="dxa"/>
            </w:tcMar>
          </w:tcPr>
          <w:p>
            <w:pPr>
              <w:spacing w:after="0" w:line="240" w:lineRule="auto"/>
            </w:pPr>
            <w:r>
              <w:t>Publish a score only after 3 completed POs or 5 evaluated lines; otherwise show INSUFFICIENT_SAMPLE.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reevaluation or suspension?</w:t>
            </w:r>
          </w:p>
        </w:tc>
        <w:tc>
          <w:tcPr>
            <w:tcW w:type="dxa" w:w="5688"/>
            <w:vAlign w:val="center"/>
            <w:tcMar>
              <w:top w:w="70" w:type="dxa"/>
              <w:start w:w="80" w:type="dxa"/>
              <w:bottom w:w="70" w:type="dxa"/>
              <w:end w:w="80" w:type="dxa"/>
            </w:tcMar>
            <w:shd w:fill="EEF5F9"/>
          </w:tcPr>
          <w:p>
            <w:pPr>
              <w:spacing w:after="0" w:line="240" w:lineRule="auto"/>
            </w:pPr>
            <w:r>
              <w:t>PURCHASE_MANAGER initiates; TECHNICAL_DIRECTOR or MANAGING_DIRECTOR approves suspension and reactivation, with criteria and evidence.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Shared or company-scoped performance?</w:t>
            </w:r>
          </w:p>
        </w:tc>
        <w:tc>
          <w:tcPr>
            <w:tcW w:type="dxa" w:w="5688"/>
            <w:vAlign w:val="center"/>
            <w:tcMar>
              <w:top w:w="70" w:type="dxa"/>
              <w:start w:w="80" w:type="dxa"/>
              <w:bottom w:w="70" w:type="dxa"/>
              <w:end w:w="80" w:type="dxa"/>
            </w:tcMar>
          </w:tcPr>
          <w:p>
            <w:pPr>
              <w:spacing w:after="0" w:line="240" w:lineRule="auto"/>
            </w:pPr>
            <w:r>
              <w:t>Vendor identity is shared; scorecards are company-scoped; only an authorized management projection consolidates both companies.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Batch 6-10 completion and schema consequences</w:t>
      </w:r>
    </w:p>
    <w:p>
      <w:pPr>
        <w:pStyle w:val="IntenseQuote"/>
      </w:pPr>
      <w:r>
        <w:t>Frozen decisions are implementation authority. Paragraphs marked PROPOSED - MORNING CONFIRMATION are coherent schema defaults only and must not be hard-coded as final policy until confirmed.</w:t>
      </w:r>
    </w:p>
    <w:p>
      <w:pPr>
        <w:pStyle w:val="Heading3"/>
      </w:pPr>
      <w:r>
        <w:t>Service and deferred mobile/portal support</w:t>
      </w:r>
    </w:p>
    <w:p>
      <w:pPr>
        <w:pStyle w:val="ListBullet"/>
      </w:pPr>
      <w:r>
        <w:t>Use one permanent service asset/machine identity, typed complaint source, Service Ticket parent, effective entitlement and immutable decision snapshot. Child visits, job cards, tasks, readings, evidence, spare authorization and customer acknowledgement all reference that identity. Reserve client-event, device, sync/conflict and portal-visibility fields now; mobile offline sync and the customer portal remain deferred.</w:t>
      </w:r>
    </w:p>
    <w:p>
      <w:pPr>
        <w:pStyle w:val="Heading3"/>
      </w:pPr>
      <w:r>
        <w:t>Customer property and tools</w:t>
      </w:r>
    </w:p>
    <w:p>
      <w:pPr>
        <w:pStyle w:val="ListBullet"/>
      </w:pPr>
      <w:r>
        <w:t>Accessory evidence is list-and-photo based. Customer-property due extensions preserve the original date and require TD approval. Every tool has an asset identity; custody duration is entered in days. Calibration uses annual certificates and provider master identity; expiry warning evidence travels with the issue.</w:t>
      </w:r>
    </w:p>
    <w:p>
      <w:pPr>
        <w:pStyle w:val="Heading3"/>
      </w:pPr>
      <w:r>
        <w:t>Jobwork, vendor return and RMA</w:t>
      </w:r>
    </w:p>
    <w:p>
      <w:pPr>
        <w:pStyle w:val="ListBullet"/>
      </w:pPr>
      <w:r>
        <w:t>Add effective per-process tolerance with full change history, immutable input/output reconciliation, accepted-loss and recoverable-scrap allocations, vendor explanation and closure decision. RMA and vendor return use typed outcomes, line-level quantities/lots/serials and governed dispatch evidence.</w:t>
      </w:r>
    </w:p>
    <w:p>
      <w:pPr>
        <w:pStyle w:val="Heading3"/>
      </w:pPr>
      <w:r>
        <w:t>Intercompany</w:t>
      </w:r>
    </w:p>
    <w:p>
      <w:pPr>
        <w:pStyle w:val="ListBullet"/>
      </w:pPr>
      <w:r>
        <w:t>Represent one commercial correlation with two company-private document chains: receiving PR/approval/PO/GRN/QC/bill and issuing sale/GST invoice/dispatch. Do not share mutable rows across companies. Privileged reconciliation reads both projections but cannot bypass either company workflow.</w:t>
      </w:r>
    </w:p>
    <w:p>
      <w:pPr>
        <w:pStyle w:val="Heading3"/>
      </w:pPr>
      <w:r>
        <w:t>Valuation and Actual BOM</w:t>
      </w:r>
    </w:p>
    <w:p>
      <w:pPr>
        <w:pStyle w:val="ListBullet"/>
      </w:pPr>
      <w:r>
        <w:t>Inventory valuation is strict FIFO by company, Item and ownership/value pool. Serial provenance does not choose the cost layer. Actual BOM follows physically fitted provenance to accepted vendor-bill allocation. Because an accepted bill must match the PO or the PO must first be revised, there is no purchase-price variance; FIFO-versus-Actual-BOM differences remain legitimate and separately reported.</w:t>
      </w:r>
    </w:p>
    <w:p>
      <w:pPr>
        <w:pStyle w:val="Heading3"/>
      </w:pPr>
      <w:r>
        <w:t>Documents, integration and performance</w:t>
      </w:r>
    </w:p>
    <w:p>
      <w:pPr>
        <w:pStyle w:val="ListBullet"/>
      </w:pPr>
      <w:r>
        <w:t>Use immutable attachment versions, sensitivity/access audit, configurable retention holds, transactional outbox and idempotent reconciliation. Vendor evaluation requires immutable company-period snapshots and an authorized consolidated management view. Final retention periods and scorecard parameters remain morning confirmations.</w:t>
      </w:r>
    </w:p>
    <w:p>
      <w:pPr>
        <w:pStyle w:val="Heading3"/>
      </w:pPr>
      <w:r>
        <w:t>Deferred location extensions</w:t>
      </w:r>
    </w:p>
    <w:p>
      <w:pPr>
        <w:pStyle w:val="ListBullet"/>
      </w:pPr>
      <w:r>
        <w:t>Engineer van, branch and customer/site stock remain deferred. The schema accommodates them through normalized CompanySite, Warehouse/Location and CustodyAssignment dimensions plus optional vehicle/site custody references; no ledger movement stores a free-text location or requires later replacement of its provenance key.</w:t>
      </w:r>
    </w:p>
    <w:p>
      <w:pPr>
        <w:pStyle w:val="Heading3"/>
      </w:pPr>
      <w:r>
        <w:t>Open morning confirmations</w:t>
      </w:r>
    </w:p>
    <w:p>
      <w:pPr>
        <w:pStyle w:val="ListBullet"/>
      </w:pPr>
      <w:r>
        <w:t>Confirm tool custody/loss governance; out-of-tolerance jobwork approver; partial-transfer discrepancy rule; landed-cost/planning/aging policies; attachment retention/sensitivity; transactional integration policy; vendor scorecard frequency, weights, sample threshold and suspension criteria.</w:t>
      </w:r>
    </w:p>
    <w:p>
      <w:pPr>
        <w:pStyle w:val="Heading1"/>
      </w:pPr>
      <w:r>
        <w:t>Appendix B - ERP Change-Control Form</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3168"/>
            <w:vAlign w:val="center"/>
            <w:tcMar>
              <w:top w:w="70" w:type="dxa"/>
              <w:start w:w="80" w:type="dxa"/>
              <w:bottom w:w="70" w:type="dxa"/>
              <w:end w:w="80" w:type="dxa"/>
            </w:tcMar>
            <w:shd w:fill="17365D"/>
          </w:tcPr>
          <w:p>
            <w:pPr>
              <w:spacing w:after="0" w:line="240" w:lineRule="auto"/>
            </w:pPr>
            <w:r/>
            <w:r>
              <w:rPr>
                <w:rFonts w:ascii="Aptos" w:hAnsi="Aptos"/>
                <w:b/>
                <w:color w:val="FFFFFF"/>
                <w:sz w:val="17"/>
              </w:rPr>
              <w:t>Field</w:t>
            </w:r>
          </w:p>
        </w:tc>
        <w:tc>
          <w:tcPr>
            <w:tcW w:type="dxa" w:w="691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entry</w:t>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Change request number</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Requested business-rule change</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Reason / operational evidence</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Companies / sites affected</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Affected modules</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Data migration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Permission / approval impact</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Accounting / GST / HR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Reports and integrations affected</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New test cases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Rollback / transition plan</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t>Technical owner / Process owner / Accounts / TD or MD</w:t>
            </w:r>
          </w:p>
        </w:tc>
      </w:tr>
    </w:tbl>
    <w:p>
      <w:pPr>
        <w:spacing w:after="0"/>
      </w:pP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3360"/>
      <w:gridCol w:w="3360"/>
      <w:gridCol w:w="3360"/>
    </w:tblGrid>
    <w:tr>
      <w:tc>
        <w:tcPr>
          <w:tcW w:type="dxa" w:w="3360"/>
          <w:vAlign w:val="center"/>
          <w:tcMar>
            <w:top w:w="70" w:type="dxa"/>
            <w:start w:w="80" w:type="dxa"/>
            <w:bottom w:w="70" w:type="dxa"/>
            <w:end w:w="80" w:type="dxa"/>
          </w:tcMar>
        </w:tcPr>
        <w:p>
          <w:pPr>
            <w:spacing w:after="0" w:line="240" w:lineRule="auto"/>
          </w:pPr>
          <w:r/>
          <w:r>
            <w:rPr>
              <w:rFonts w:ascii="Aptos" w:hAnsi="Aptos"/>
              <w:b w:val="0"/>
              <w:color w:val="666666"/>
              <w:sz w:val="15"/>
            </w:rPr>
            <w:t>Sri Easwari Scientific Solution Pvt. Ltd.</w:t>
          </w:r>
        </w:p>
      </w:tc>
      <w:tc>
        <w:tcPr>
          <w:tcW w:type="dxa" w:w="3360"/>
          <w:vAlign w:val="center"/>
          <w:tcMar>
            <w:top w:w="70" w:type="dxa"/>
            <w:start w:w="80" w:type="dxa"/>
            <w:bottom w:w="70" w:type="dxa"/>
            <w:end w:w="80" w:type="dxa"/>
          </w:tcMar>
        </w:tcPr>
        <w:p>
          <w:pPr>
            <w:spacing w:after="0" w:line="240" w:lineRule="auto"/>
            <w:jc w:val="center"/>
          </w:pPr>
          <w:r/>
          <w:r>
            <w:rPr>
              <w:rFonts w:ascii="Aptos" w:hAnsi="Aptos"/>
              <w:b/>
              <w:color w:val="666666"/>
              <w:sz w:val="15"/>
            </w:rPr>
            <w:t>Controlled Internal Document</w:t>
          </w:r>
        </w:p>
      </w:tc>
      <w:tc>
        <w:tcPr>
          <w:tcW w:type="dxa" w:w="3360"/>
        </w:tcPr>
        <w:p>
          <w:pPr>
            <w:jc w:val="right"/>
          </w:pPr>
          <w: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F4E78"/>
        <w:sz w:val="16"/>
      </w:rPr>
      <w:t>SESS ERP | STORES FULL-SCHEMA GUIDELINE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b/>
      <w:bCs/>
      <w:color w:val="1F4E78"/>
      <w:sz w:val="25"/>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b/>
      <w:bCs/>
      <w:color w:val="0F6B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 ERP Stores Full-Schema Decision and Implementation Guideline</dc:title>
  <dc:subject>Business rules, governance and implementation baseline for the SESS ERP Stores programme</dc:subject>
  <dc:creator>Sri Easwari Scientific Solution Pvt. Ltd.</dc:creator>
  <cp:keywords>SESS, ERP, Stores, GRN, QC, MIR, BOM, Tools, Custody, Guideline</cp:keywords>
  <dc:description>generated by python-docx</dc:description>
  <cp:lastModifiedBy/>
  <cp:revision>1</cp:revision>
  <dcterms:created xsi:type="dcterms:W3CDTF">2013-12-23T23:15:00Z</dcterms:created>
  <dcterms:modified xsi:type="dcterms:W3CDTF">2013-12-23T23:15:00Z</dcterms:modified>
  <cp:category/>
</cp:coreProperties>
</file>