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0F6B78"/>
          <w:sz w:val="36"/>
        </w:rPr>
        <w:t>SESS ERP</w:t>
      </w:r>
    </w:p>
    <w:p>
      <w:pPr>
        <w:pStyle w:val="Title"/>
        <w:jc w:val="center"/>
      </w:pPr>
      <w:r>
        <w:t>Stores Full-Schema</w:t>
        <w:br/>
        <w:t>Decision &amp; Implementation Guideline</w:t>
      </w:r>
    </w:p>
    <w:p>
      <w:pPr>
        <w:jc w:val="center"/>
      </w:pPr>
      <w:r>
        <w:rPr>
          <w:b/>
          <w:color w:val="1F4E78"/>
          <w:sz w:val="28"/>
        </w:rPr>
        <w:t>For SESS Proprietorship and SESS Pvt. Ltd.</w:t>
      </w:r>
    </w:p>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PURPOSE</w:t>
            </w:r>
          </w:p>
          <w:p>
            <w:pPr>
              <w:spacing w:after="0" w:line="252" w:lineRule="auto"/>
            </w:pPr>
            <w:r>
              <w:t>Freeze the business rules before full-schema development, protect stock and custody traceability, and give the ERP team one approved implementation baseline.</w:t>
            </w:r>
          </w:p>
        </w:tc>
      </w:tr>
    </w:tbl>
    <w:p>
      <w:pPr>
        <w:spacing w:after="0"/>
      </w:pPr>
    </w:p>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2520"/>
            <w:vAlign w:val="center"/>
            <w:tcMar>
              <w:top w:w="70" w:type="dxa"/>
              <w:start w:w="80" w:type="dxa"/>
              <w:bottom w:w="70" w:type="dxa"/>
              <w:end w:w="80" w:type="dxa"/>
            </w:tcMar>
            <w:shd w:fill="17365D"/>
          </w:tcPr>
          <w:p>
            <w:pPr>
              <w:spacing w:after="0" w:line="240" w:lineRule="auto"/>
            </w:pPr>
            <w:r/>
            <w:r>
              <w:rPr>
                <w:rFonts w:ascii="Aptos" w:hAnsi="Aptos"/>
                <w:b/>
                <w:color w:val="FFFFFF"/>
                <w:sz w:val="17"/>
              </w:rPr>
              <w:t>Document field</w:t>
            </w:r>
          </w:p>
        </w:tc>
        <w:tc>
          <w:tcPr>
            <w:tcW w:type="dxa" w:w="7560"/>
            <w:vAlign w:val="center"/>
            <w:tcMar>
              <w:top w:w="70" w:type="dxa"/>
              <w:start w:w="80" w:type="dxa"/>
              <w:bottom w:w="70" w:type="dxa"/>
              <w:end w:w="80" w:type="dxa"/>
            </w:tcMar>
            <w:shd w:fill="17365D"/>
          </w:tcPr>
          <w:p>
            <w:pPr>
              <w:spacing w:after="0" w:line="240" w:lineRule="auto"/>
            </w:pPr>
            <w:r/>
            <w:r>
              <w:rPr>
                <w:rFonts w:ascii="Aptos" w:hAnsi="Aptos"/>
                <w:b/>
                <w:color w:val="FFFFFF"/>
                <w:sz w:val="17"/>
              </w:rPr>
              <w:t>Value</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Document status</w:t>
            </w:r>
          </w:p>
        </w:tc>
        <w:tc>
          <w:tcPr>
            <w:tcW w:type="dxa" w:w="7560"/>
            <w:vAlign w:val="center"/>
            <w:tcMar>
              <w:top w:w="70" w:type="dxa"/>
              <w:start w:w="80" w:type="dxa"/>
              <w:bottom w:w="70" w:type="dxa"/>
              <w:end w:w="80" w:type="dxa"/>
            </w:tcMar>
          </w:tcPr>
          <w:p>
            <w:r>
              <w:t>Frozen baseline - 12 contradictions, Batches 1-4 and seven requirement-conflict rulings confirmed</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Version</w:t>
            </w:r>
          </w:p>
        </w:tc>
        <w:tc>
          <w:tcPr>
            <w:tcW w:type="dxa" w:w="7560"/>
            <w:vAlign w:val="center"/>
            <w:tcMar>
              <w:top w:w="70" w:type="dxa"/>
              <w:start w:w="80" w:type="dxa"/>
              <w:bottom w:w="70" w:type="dxa"/>
              <w:end w:w="80" w:type="dxa"/>
            </w:tcMar>
            <w:shd w:fill="EEF5F9"/>
          </w:tcPr>
          <w:p>
            <w:r>
              <w:t>1.6 - Seven requirement conflicts frozen; guideline precedence confirmed</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Prepared date</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31 August 2026</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Source reviewed</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 xml:space="preserve">The full.docx, final 12-decision freeze and all 90 schema questions</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Applies to</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Stores, Purchase, Production, Service, QC, Projects, Accounts and HR handoffs</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System scope</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Separate company books with controlled shared masters and authorized consolidated reporting</w:t>
            </w:r>
          </w:p>
        </w:tc>
      </w:tr>
    </w:tbl>
    <w:p>
      <w:pPr>
        <w:spacing w:after="0"/>
      </w:pPr>
    </w:p>
    <w:p/>
    <w:p>
      <w:pPr>
        <w:jc w:val="center"/>
      </w:pPr>
      <w:r>
        <w:rPr>
          <w:b/>
          <w:color w:val="17365D"/>
          <w:sz w:val="21"/>
        </w:rPr>
        <w:t>Approval: Technical Director / Managing Director</w:t>
      </w:r>
    </w:p>
    <w:p>
      <w:r>
        <w:br w:type="page"/>
      </w:r>
    </w:p>
    <w:p>
      <w:pPr>
        <w:pStyle w:val="Heading1"/>
      </w:pPr>
      <w:r>
        <w:t>1. Executive Direction</w:t>
      </w:r>
    </w:p>
    <w:p>
      <w:r>
        <w:t>The full-schema programme may proceed only after the rules in this guideline are accepted as the controlled baseline. Database tables, APIs, screens and reports must all enforce the same rule; a screen warning must never contradict a database hard control.</w:t>
      </w:r>
    </w:p>
    <w:tbl>
      <w:tblPr>
        <w:tblW w:type="auto" w:w="0"/>
        <w:jc w:val="center"/>
        <w:tblLook w:firstColumn="1" w:firstRow="1" w:lastColumn="0" w:lastRow="0" w:noHBand="0" w:noVBand="1" w:val="04A0"/>
      </w:tblPr>
      <w:tblGrid>
        <w:gridCol w:w="10224"/>
      </w:tblGrid>
      <w:tr>
        <w:trPr>
          <w:cantSplit/>
        </w:trPr>
        <w:tc>
          <w:tcPr>
            <w:tcW w:type="dxa" w:w="10224"/>
            <w:shd w:fill="FFF2CC"/>
            <w:tcMar>
              <w:top w:w="130" w:type="dxa"/>
              <w:start w:w="150" w:type="dxa"/>
              <w:bottom w:w="130" w:type="dxa"/>
              <w:end w:w="150" w:type="dxa"/>
            </w:tcMar>
          </w:tcPr>
          <w:p>
            <w:pPr>
              <w:spacing w:after="60"/>
            </w:pPr>
            <w:r/>
            <w:r>
              <w:rPr>
                <w:b/>
                <w:color w:val="BF7A00"/>
                <w:sz w:val="20"/>
              </w:rPr>
              <w:t>GO-LIVE RULE</w:t>
            </w:r>
          </w:p>
          <w:p>
            <w:pPr>
              <w:spacing w:after="0" w:line="252" w:lineRule="auto"/>
            </w:pPr>
            <w:r>
              <w:t>No module may be released merely because its screen is complete. It must pass workflow, permission, posting, reversal, audit, reconciliation, reporting and acceptance tests.</w:t>
            </w:r>
          </w:p>
        </w:tc>
      </w:tr>
    </w:tbl>
    <w:p>
      <w:pPr>
        <w:spacing w:after="0"/>
      </w:pPr>
    </w:p>
    <w:p>
      <w:pPr>
        <w:pStyle w:val="Heading2"/>
      </w:pPr>
      <w:r>
        <w:t>1.1 Current implementation position</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232"/>
            <w:vAlign w:val="center"/>
            <w:tcMar>
              <w:top w:w="70" w:type="dxa"/>
              <w:start w:w="80" w:type="dxa"/>
              <w:bottom w:w="70" w:type="dxa"/>
              <w:end w:w="80" w:type="dxa"/>
            </w:tcMar>
            <w:shd w:fill="17365D"/>
          </w:tcPr>
          <w:p>
            <w:pPr>
              <w:spacing w:after="0" w:line="240" w:lineRule="auto"/>
            </w:pPr>
            <w:r/>
            <w:r>
              <w:rPr>
                <w:rFonts w:ascii="Aptos" w:hAnsi="Aptos"/>
                <w:b/>
                <w:color w:val="FFFFFF"/>
                <w:sz w:val="17"/>
              </w:rPr>
              <w:t>Capability</w:t>
            </w:r>
          </w:p>
        </w:tc>
        <w:tc>
          <w:tcPr>
            <w:tcW w:type="dxa" w:w="3384"/>
            <w:vAlign w:val="center"/>
            <w:tcMar>
              <w:top w:w="70" w:type="dxa"/>
              <w:start w:w="80" w:type="dxa"/>
              <w:bottom w:w="70" w:type="dxa"/>
              <w:end w:w="80" w:type="dxa"/>
            </w:tcMar>
            <w:shd w:fill="17365D"/>
          </w:tcPr>
          <w:p>
            <w:pPr>
              <w:spacing w:after="0" w:line="240" w:lineRule="auto"/>
            </w:pPr>
            <w:r/>
            <w:r>
              <w:rPr>
                <w:rFonts w:ascii="Aptos" w:hAnsi="Aptos"/>
                <w:b/>
                <w:color w:val="FFFFFF"/>
                <w:sz w:val="17"/>
              </w:rPr>
              <w:t>Current position</w:t>
            </w:r>
          </w:p>
        </w:tc>
        <w:tc>
          <w:tcPr>
            <w:tcW w:type="dxa" w:w="4464"/>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w:t>
            </w:r>
          </w:p>
        </w:tc>
      </w:tr>
      <w:tr>
        <w:trPr>
          <w:cantSplit/>
        </w:trPr>
        <w:tc>
          <w:tcPr>
            <w:tcW w:type="dxa" w:w="2232"/>
            <w:vAlign w:val="center"/>
            <w:tcMar>
              <w:top w:w="70" w:type="dxa"/>
              <w:start w:w="80" w:type="dxa"/>
              <w:bottom w:w="70" w:type="dxa"/>
              <w:end w:w="80" w:type="dxa"/>
            </w:tcMar>
          </w:tcPr>
          <w:p>
            <w:pPr>
              <w:spacing w:after="0" w:line="240" w:lineRule="auto"/>
            </w:pPr>
            <w:r/>
            <w:r>
              <w:rPr>
                <w:rFonts w:ascii="Aptos" w:hAnsi="Aptos"/>
                <w:b w:val="0"/>
                <w:sz w:val="17"/>
              </w:rPr>
              <w:t>Gate Entry, Warehouse, Rack</w:t>
            </w:r>
          </w:p>
        </w:tc>
        <w:tc>
          <w:tcPr>
            <w:tcW w:type="dxa" w:w="3384"/>
            <w:vAlign w:val="center"/>
            <w:tcMar>
              <w:top w:w="70" w:type="dxa"/>
              <w:start w:w="80" w:type="dxa"/>
              <w:bottom w:w="70" w:type="dxa"/>
              <w:end w:w="80" w:type="dxa"/>
            </w:tcMar>
          </w:tcPr>
          <w:p>
            <w:pPr>
              <w:spacing w:after="0" w:line="240" w:lineRule="auto"/>
            </w:pPr>
            <w:r/>
            <w:r>
              <w:rPr>
                <w:rFonts w:ascii="Aptos" w:hAnsi="Aptos"/>
                <w:b w:val="0"/>
                <w:sz w:val="17"/>
              </w:rPr>
              <w:t>Executable services/endpoints exist</w:t>
            </w:r>
          </w:p>
        </w:tc>
        <w:tc>
          <w:tcPr>
            <w:tcW w:type="dxa" w:w="4464"/>
            <w:vAlign w:val="center"/>
            <w:tcMar>
              <w:top w:w="70" w:type="dxa"/>
              <w:start w:w="80" w:type="dxa"/>
              <w:bottom w:w="70" w:type="dxa"/>
              <w:end w:w="80" w:type="dxa"/>
            </w:tcMar>
          </w:tcPr>
          <w:p>
            <w:pPr>
              <w:spacing w:after="0" w:line="240" w:lineRule="auto"/>
            </w:pPr>
            <w:r/>
            <w:r>
              <w:rPr>
                <w:rFonts w:ascii="Aptos" w:hAnsi="Aptos"/>
                <w:b w:val="0"/>
                <w:sz w:val="17"/>
              </w:rPr>
              <w:t>Retain and regression-test against the frozen company/site/location rules.</w:t>
            </w:r>
          </w:p>
        </w:tc>
      </w:tr>
      <w:tr>
        <w:trPr>
          <w:cantSplit/>
        </w:trPr>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7"/>
              </w:rPr>
              <w:t>GRN, QC, MIR, DC, Stock Posting</w:t>
            </w:r>
          </w:p>
        </w:tc>
        <w:tc>
          <w:tcPr>
            <w:tcW w:type="dxa" w:w="3384"/>
            <w:vAlign w:val="center"/>
            <w:tcMar>
              <w:top w:w="70" w:type="dxa"/>
              <w:start w:w="80" w:type="dxa"/>
              <w:bottom w:w="70" w:type="dxa"/>
              <w:end w:w="80" w:type="dxa"/>
            </w:tcMar>
            <w:shd w:fill="EEF5F9"/>
          </w:tcPr>
          <w:p>
            <w:pPr>
              <w:spacing w:after="0" w:line="240" w:lineRule="auto"/>
            </w:pPr>
            <w:r/>
            <w:r>
              <w:rPr>
                <w:rFonts w:ascii="Aptos" w:hAnsi="Aptos"/>
                <w:b w:val="0"/>
                <w:sz w:val="17"/>
              </w:rPr>
              <w:t>Applied tables and PostgreSQL controls; application services/endpoints pending</w:t>
            </w:r>
          </w:p>
        </w:tc>
        <w:tc>
          <w:tcPr>
            <w:tcW w:type="dxa" w:w="4464"/>
            <w:vAlign w:val="center"/>
            <w:tcMar>
              <w:top w:w="70" w:type="dxa"/>
              <w:start w:w="80" w:type="dxa"/>
              <w:bottom w:w="70" w:type="dxa"/>
              <w:end w:w="80" w:type="dxa"/>
            </w:tcMar>
            <w:shd w:fill="EEF5F9"/>
          </w:tcPr>
          <w:p>
            <w:pPr>
              <w:spacing w:after="0" w:line="240" w:lineRule="auto"/>
            </w:pPr>
            <w:r/>
            <w:r>
              <w:rPr>
                <w:rFonts w:ascii="Aptos" w:hAnsi="Aptos"/>
                <w:b w:val="0"/>
                <w:sz w:val="17"/>
              </w:rPr>
              <w:t>Build services only after the 12 contradiction decisions are signed off.</w:t>
            </w:r>
          </w:p>
        </w:tc>
      </w:tr>
      <w:tr>
        <w:trPr>
          <w:cantSplit/>
        </w:trPr>
        <w:tc>
          <w:tcPr>
            <w:tcW w:type="dxa" w:w="2232"/>
            <w:vAlign w:val="center"/>
            <w:tcMar>
              <w:top w:w="70" w:type="dxa"/>
              <w:start w:w="80" w:type="dxa"/>
              <w:bottom w:w="70" w:type="dxa"/>
              <w:end w:w="80" w:type="dxa"/>
            </w:tcMar>
          </w:tcPr>
          <w:p>
            <w:pPr>
              <w:spacing w:after="0" w:line="240" w:lineRule="auto"/>
            </w:pPr>
            <w:r/>
            <w:r>
              <w:rPr>
                <w:rFonts w:ascii="Aptos" w:hAnsi="Aptos"/>
                <w:b w:val="0"/>
                <w:sz w:val="17"/>
              </w:rPr>
              <w:t>BOM, Costing, Tools, Service and extended Stores</w:t>
            </w:r>
          </w:p>
        </w:tc>
        <w:tc>
          <w:tcPr>
            <w:tcW w:type="dxa" w:w="3384"/>
            <w:vAlign w:val="center"/>
            <w:tcMar>
              <w:top w:w="70" w:type="dxa"/>
              <w:start w:w="80" w:type="dxa"/>
              <w:bottom w:w="70" w:type="dxa"/>
              <w:end w:w="80" w:type="dxa"/>
            </w:tcMar>
          </w:tcPr>
          <w:p>
            <w:pPr>
              <w:spacing w:after="0" w:line="240" w:lineRule="auto"/>
            </w:pPr>
            <w:r/>
            <w:r>
              <w:rPr>
                <w:rFonts w:ascii="Aptos" w:hAnsi="Aptos"/>
                <w:b w:val="0"/>
                <w:sz w:val="17"/>
              </w:rPr>
              <w:t>Specification stage</w:t>
            </w:r>
          </w:p>
        </w:tc>
        <w:tc>
          <w:tcPr>
            <w:tcW w:type="dxa" w:w="4464"/>
            <w:vAlign w:val="center"/>
            <w:tcMar>
              <w:top w:w="70" w:type="dxa"/>
              <w:start w:w="80" w:type="dxa"/>
              <w:bottom w:w="70" w:type="dxa"/>
              <w:end w:w="80" w:type="dxa"/>
            </w:tcMar>
          </w:tcPr>
          <w:p>
            <w:pPr>
              <w:spacing w:after="0" w:line="240" w:lineRule="auto"/>
            </w:pPr>
            <w:r/>
            <w:r>
              <w:rPr>
                <w:rFonts w:ascii="Aptos" w:hAnsi="Aptos"/>
                <w:b w:val="0"/>
                <w:sz w:val="17"/>
              </w:rPr>
              <w:t>Design to the 90-question baseline and the approvals in this document.</w:t>
            </w:r>
          </w:p>
        </w:tc>
      </w:tr>
    </w:tbl>
    <w:p>
      <w:pPr>
        <w:spacing w:after="0"/>
      </w:pPr>
    </w:p>
    <w:p>
      <w:pPr>
        <w:pStyle w:val="Heading2"/>
      </w:pPr>
      <w:r>
        <w:t>1.2 Guiding principles</w:t>
      </w:r>
    </w:p>
    <w:p>
      <w:pPr>
        <w:pStyle w:val="ListBullet"/>
      </w:pPr>
      <w:r>
        <w:t>Physical truth first: record what entered, where it is, its condition, owner and custodian.</w:t>
      </w:r>
    </w:p>
    <w:p>
      <w:pPr>
        <w:pStyle w:val="ListBullet"/>
      </w:pPr>
      <w:r>
        <w:t>Commercial authorization first: PO revision precedes acceptance of excess quantity; approved MIR precedes issue.</w:t>
      </w:r>
    </w:p>
    <w:p>
      <w:pPr>
        <w:pStyle w:val="ListBullet"/>
      </w:pPr>
      <w:r>
        <w:t>No negative stock under any circumstance. Emergency work uses fast approval, transfer or approved substitute.</w:t>
      </w:r>
    </w:p>
    <w:p>
      <w:pPr>
        <w:pStyle w:val="ListBullet"/>
      </w:pPr>
      <w:r>
        <w:t>Every posted movement is immutable. Correction is by typed reversal and reposting, never edit or delete.</w:t>
      </w:r>
    </w:p>
    <w:p>
      <w:pPr>
        <w:pStyle w:val="ListBullet"/>
      </w:pPr>
      <w:r>
        <w:t>One item identity is retained across Purchase, Stores, Tool, Production and Service processes.</w:t>
      </w:r>
    </w:p>
    <w:p>
      <w:pPr>
        <w:pStyle w:val="ListBullet"/>
      </w:pPr>
      <w:r>
        <w:t>Company scope comes from authenticated session and document ancestry, never operator-entered company text.</w:t>
      </w:r>
    </w:p>
    <w:p>
      <w:pPr>
        <w:pStyle w:val="ListBullet"/>
      </w:pPr>
      <w:r>
        <w:t>Physical location, ownership, custody, reservation and valuation are separate dimensions.</w:t>
      </w:r>
    </w:p>
    <w:p>
      <w:pPr>
        <w:pStyle w:val="ListBullet"/>
      </w:pPr>
      <w:r>
        <w:t>Every exception needs a named owner, reason, due date, evidence, approval and closure/reconciliation path.</w:t>
      </w:r>
    </w:p>
    <w:p>
      <w:pPr>
        <w:pStyle w:val="Heading1"/>
      </w:pPr>
      <w:r>
        <w:t>2. Frozen Decisions for the 12 Contradictions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576"/>
            <w:vAlign w:val="center"/>
            <w:tcMar>
              <w:top w:w="70" w:type="dxa"/>
              <w:start w:w="80" w:type="dxa"/>
              <w:bottom w:w="70" w:type="dxa"/>
              <w:end w:w="80" w:type="dxa"/>
            </w:tcMar>
            <w:shd w:fill="17365D"/>
          </w:tcPr>
          <w:p>
            <w:pPr>
              <w:spacing w:after="0" w:line="240" w:lineRule="auto"/>
            </w:pPr>
            <w:r/>
            <w:r>
              <w:rPr>
                <w:rFonts w:ascii="Aptos" w:hAnsi="Aptos"/>
                <w:b/>
                <w:color w:val="FFFFFF"/>
                <w:sz w:val="17"/>
              </w:rPr>
              <w:t>No.</w:t>
            </w:r>
          </w:p>
        </w:tc>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topic</w:t>
            </w:r>
          </w:p>
        </w:tc>
        <w:tc>
          <w:tcPr>
            <w:tcW w:type="dxa" w:w="1008"/>
            <w:vAlign w:val="center"/>
            <w:tcMar>
              <w:top w:w="70" w:type="dxa"/>
              <w:start w:w="80" w:type="dxa"/>
              <w:bottom w:w="70" w:type="dxa"/>
              <w:end w:w="80" w:type="dxa"/>
            </w:tcMar>
            <w:shd w:fill="17365D"/>
          </w:tcPr>
          <w:p>
            <w:pPr>
              <w:spacing w:after="0" w:line="240" w:lineRule="auto"/>
            </w:pPr>
            <w:r/>
            <w:r>
              <w:rPr>
                <w:rFonts w:ascii="Aptos" w:hAnsi="Aptos"/>
                <w:b/>
                <w:color w:val="FFFFFF"/>
                <w:sz w:val="17"/>
              </w:rPr>
              <w:t>Freeze</w:t>
            </w:r>
          </w:p>
        </w:tc>
        <w:tc>
          <w:tcPr>
            <w:tcW w:type="dxa" w:w="6408"/>
            <w:vAlign w:val="center"/>
            <w:tcMar>
              <w:top w:w="70" w:type="dxa"/>
              <w:start w:w="80" w:type="dxa"/>
              <w:bottom w:w="70" w:type="dxa"/>
              <w:end w:w="80" w:type="dxa"/>
            </w:tcMar>
            <w:shd w:fill="17365D"/>
          </w:tcPr>
          <w:p>
            <w:pPr>
              <w:spacing w:after="0" w:line="240" w:lineRule="auto"/>
            </w:pPr>
            <w:r/>
            <w:r>
              <w:rPr>
                <w:rFonts w:ascii="Aptos" w:hAnsi="Aptos"/>
                <w:b/>
                <w:color w:val="FFFFFF"/>
                <w:sz w:val="17"/>
              </w:rPr>
              <w:t>Implementation guideline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1</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hold</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QC_HOLD is a pending custody state, not a completed inspection result. Final QC is accept, partial accept or reject.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2</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Over-receipt</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Record delivered excess physically, segregate it for return and exclude it from received stock. Revise the PO before acceptance.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3</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Negative stock</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Hard block. No emergency override. Use another bin, authorized transfer, approved substitute or wait for receipt.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4</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Issue before MIR approval</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Approval must precede physical issue and ledger posting. Provide fast/on-call emergency approval.</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5</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Issue beyond approved BOM</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 xml:space="preserve">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 xml:space="preserve">Issue beyond the Estimated/Approved BOM remains allowed after MIR approval. Record the variance and emit a durable notification; no BOM-deviation approval is required for extra quantity.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6</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Duplicate serial</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Warnings may occur during entry, but normalized stored serial identity must be unique at finalization.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7</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Returnable loss/write-off</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CHANGE</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Allow closure only through an approved typed loss/damage/write-off reconciliation leg; never force-close.</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8</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Actual BOM costing</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t>Actual BOM uses accepted vendor bill allocation. Strict FIFO inventory issue valuation remains separate.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9</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inspector assignment</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CHANGE</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Resolve the effective QC_MANAGER employee and record the actual inspector; retain a recorded PR-raiser fallback.</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10</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Reserved stock</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Reservation is a commitment/availability bucket, not a location or stock movement.</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11</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hold vs quarantine</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QC_HOLD is routine inspection custody; QUARANTINE is exceptional safety/identity/compliance isolation.</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12</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Tool master identity</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Tool Master is a capability: existing Item plus serialized tool asset, calibration, kit and custody extensions.</w:t>
            </w:r>
          </w:p>
        </w:tc>
      </w:tr>
    </w:tbl>
    <w:p>
      <w:pPr>
        <w:pStyle w:val="Heading2"/>
      </w:pPr>
      <w:r>
        <w:t>2.1 Governing Precedence and Final Requirement-Conflict Rulings</w:t>
      </w:r>
    </w:p>
    <w:p>
      <w:r>
        <w:rPr>
          <w:b/>
        </w:rPr>
        <w:t xml:space="preserve">Governing rule. </w:t>
      </w:r>
      <w:r>
        <w:t>Where SESS_ERP_Purchase_Store_Complete_Requirement.docx and this guideline disagree, this guideline governs. The seven rulings below preserve the frozen live behavior. They may be changed only through the approved change-control and impact-note process; a newer narrative requirement does not override them silently.</w:t>
      </w:r>
    </w:p>
    <w:tbl>
      <w:tblPr>
        <w:tblStyle w:val="TableGrid"/>
        <w:tblW w:type="dxa" w:w="10224"/>
        <w:tblLayout w:type="fixed"/>
        <w:tblLook w:firstColumn="1" w:firstRow="1" w:lastColumn="0" w:lastRow="0" w:noHBand="0" w:noVBand="1" w:val="04A0"/>
        <w:tblInd w:w="120" w:type="dxa"/>
      </w:tblPr>
      <w:tblGrid>
        <w:gridCol w:w="1500"/>
        <w:gridCol w:w="4200"/>
        <w:gridCol w:w="4524"/>
      </w:tblGrid>
      <w:tr>
        <w:tc>
          <w:tcPr>
            <w:tcW w:type="dxa" w:w="1500"/>
          </w:tcPr>
          <w:p>
            <w:pPr>
              <w:spacing w:after="40"/>
              <w:jc w:val="left"/>
            </w:pPr>
            <w:r>
              <w:rPr>
                <w:b/>
                <w:sz w:val="17"/>
              </w:rPr>
              <w:t>Decision</w:t>
            </w:r>
          </w:p>
        </w:tc>
        <w:tc>
          <w:tcPr>
            <w:tcW w:type="dxa" w:w="4200"/>
          </w:tcPr>
          <w:p>
            <w:pPr>
              <w:spacing w:after="40"/>
              <w:jc w:val="left"/>
            </w:pPr>
            <w:r>
              <w:rPr>
                <w:b/>
                <w:sz w:val="17"/>
              </w:rPr>
              <w:t>Governing frozen behavior</w:t>
            </w:r>
          </w:p>
        </w:tc>
        <w:tc>
          <w:tcPr>
            <w:tcW w:type="dxa" w:w="4524"/>
          </w:tcPr>
          <w:p>
            <w:pPr>
              <w:spacing w:after="40"/>
              <w:jc w:val="left"/>
            </w:pPr>
            <w:r>
              <w:rPr>
                <w:b/>
                <w:sz w:val="17"/>
              </w:rPr>
              <w:t>Implementation consequence</w:t>
            </w:r>
          </w:p>
        </w:tc>
      </w:tr>
      <w:tr>
        <w:tc>
          <w:tcPr>
            <w:tcW w:type="dxa" w:w="1500"/>
          </w:tcPr>
          <w:p>
            <w:pPr>
              <w:spacing w:after="40"/>
            </w:pPr>
            <w:r>
              <w:rPr>
                <w:b/>
                <w:sz w:val="17"/>
              </w:rPr>
              <w:t>1. Approval thresholds</w:t>
            </w:r>
          </w:p>
        </w:tc>
        <w:tc>
          <w:tcPr>
            <w:tcW w:type="dxa" w:w="4200"/>
          </w:tcPr>
          <w:p>
            <w:pPr>
              <w:spacing w:after="40"/>
            </w:pPr>
            <w:r>
              <w:rPr>
                <w:sz w:val="17"/>
              </w:rPr>
              <w:t>The live bands remain below 5,000: department-mapped manager; 5,000 through 100,000: department manager then TECHNICAL_DIRECTOR; above 100,000: department manager then MANAGING_DIRECTOR.</w:t>
            </w:r>
          </w:p>
        </w:tc>
        <w:tc>
          <w:tcPr>
            <w:tcW w:type="dxa" w:w="4524"/>
          </w:tcPr>
          <w:p>
            <w:pPr>
              <w:spacing w:after="40"/>
            </w:pPr>
            <w:r>
              <w:rPr>
                <w:sz w:val="17"/>
              </w:rPr>
              <w:t>Thresholds are company-scoped configuration data and may later change by governed effective-dated data, not by business-logic code. Missing or ambiguous configuration must fail closed. Existing document-cycle snapshots remain immutable.</w:t>
            </w:r>
          </w:p>
        </w:tc>
      </w:tr>
      <w:tr>
        <w:tc>
          <w:tcPr>
            <w:tcW w:type="dxa" w:w="1500"/>
          </w:tcPr>
          <w:p>
            <w:pPr>
              <w:spacing w:after="40"/>
            </w:pPr>
            <w:r>
              <w:rPr>
                <w:b/>
                <w:sz w:val="17"/>
              </w:rPr>
              <w:t>2. Valuation</w:t>
            </w:r>
          </w:p>
        </w:tc>
        <w:tc>
          <w:tcPr>
            <w:tcW w:type="dxa" w:w="4200"/>
          </w:tcPr>
          <w:p>
            <w:pPr>
              <w:spacing w:after="40"/>
            </w:pPr>
            <w:r>
              <w:rPr>
                <w:sz w:val="17"/>
              </w:rPr>
              <w:t>Inventory valuation is strict FIFO within company, Item and the applicable ownership/value pool. Weighted average is not used.</w:t>
            </w:r>
          </w:p>
        </w:tc>
        <w:tc>
          <w:tcPr>
            <w:tcW w:type="dxa" w:w="4524"/>
          </w:tcPr>
          <w:p>
            <w:pPr>
              <w:spacing w:after="40"/>
            </w:pPr>
            <w:r>
              <w:rPr>
                <w:sz w:val="17"/>
              </w:rPr>
              <w:t>Do not create a weighted-average track or a third accounting valuation track. Accepted vendor-bill allocation remains the separate Actual BOM cost basis already frozen in this guideline.</w:t>
            </w:r>
          </w:p>
        </w:tc>
      </w:tr>
      <w:tr>
        <w:tc>
          <w:tcPr>
            <w:tcW w:type="dxa" w:w="1500"/>
          </w:tcPr>
          <w:p>
            <w:pPr>
              <w:spacing w:after="40"/>
            </w:pPr>
            <w:r>
              <w:rPr>
                <w:b/>
                <w:sz w:val="17"/>
              </w:rPr>
              <w:t>3. QC disposition</w:t>
            </w:r>
          </w:p>
        </w:tc>
        <w:tc>
          <w:tcPr>
            <w:tcW w:type="dxa" w:w="4200"/>
          </w:tcPr>
          <w:p>
            <w:pPr>
              <w:spacing w:after="40"/>
            </w:pPr>
            <w:r>
              <w:rPr>
                <w:sz w:val="17"/>
              </w:rPr>
              <w:t>Final QC disposition is Accepted or Rejected only. QC_HOLD remains pending physical custody and is not a final inspection decision.</w:t>
            </w:r>
          </w:p>
        </w:tc>
        <w:tc>
          <w:tcPr>
            <w:tcW w:type="dxa" w:w="4524"/>
          </w:tcPr>
          <w:p>
            <w:pPr>
              <w:spacing w:after="40"/>
            </w:pPr>
            <w:r>
              <w:rPr>
                <w:sz w:val="17"/>
              </w:rPr>
              <w:t>A use-as-is concession is the one Conditional Acceptance control: it may be raised only after a recorded rejection and requires the frozen direct TECHNICAL_DIRECTOR approval. Do not build a second Conditional Acceptance workflow.</w:t>
            </w:r>
          </w:p>
        </w:tc>
      </w:tr>
      <w:tr>
        <w:tc>
          <w:tcPr>
            <w:tcW w:type="dxa" w:w="1500"/>
          </w:tcPr>
          <w:p>
            <w:pPr>
              <w:spacing w:after="40"/>
            </w:pPr>
            <w:r>
              <w:rPr>
                <w:b/>
                <w:sz w:val="17"/>
              </w:rPr>
              <w:t>4. Negative stock</w:t>
            </w:r>
          </w:p>
        </w:tc>
        <w:tc>
          <w:tcPr>
            <w:tcW w:type="dxa" w:w="4200"/>
          </w:tcPr>
          <w:p>
            <w:pPr>
              <w:spacing w:after="40"/>
            </w:pPr>
            <w:r>
              <w:rPr>
                <w:sz w:val="17"/>
              </w:rPr>
              <w:t>Negative AVAILABLE stock is forbidden without exception.</w:t>
            </w:r>
          </w:p>
        </w:tc>
        <w:tc>
          <w:tcPr>
            <w:tcW w:type="dxa" w:w="4524"/>
          </w:tcPr>
          <w:p>
            <w:pPr>
              <w:spacing w:after="40"/>
            </w:pPr>
            <w:r>
              <w:rPr>
                <w:sz w:val="17"/>
              </w:rPr>
              <w:t>Do not create an override record, override permission or override parameter in the controlled posting function. Urgency uses available stock, approved transfer/substitute or receipt.</w:t>
            </w:r>
          </w:p>
        </w:tc>
      </w:tr>
      <w:tr>
        <w:tc>
          <w:tcPr>
            <w:tcW w:type="dxa" w:w="1500"/>
          </w:tcPr>
          <w:p>
            <w:pPr>
              <w:spacing w:after="40"/>
            </w:pPr>
            <w:r>
              <w:rPr>
                <w:b/>
                <w:sz w:val="17"/>
              </w:rPr>
              <w:t>5. Excess issue beyond BOM</w:t>
            </w:r>
          </w:p>
        </w:tc>
        <w:tc>
          <w:tcPr>
            <w:tcW w:type="dxa" w:w="4200"/>
          </w:tcPr>
          <w:p>
            <w:pPr>
              <w:spacing w:after="40"/>
            </w:pPr>
            <w:r>
              <w:rPr>
                <w:sz w:val="17"/>
              </w:rPr>
              <w:t>For internal chamber assembly, approved issue of extra quantity of the same Item remains allowed and generates the frozen durable notifications; it is not blocked and needs no deviation approval.</w:t>
            </w:r>
          </w:p>
        </w:tc>
        <w:tc>
          <w:tcPr>
            <w:tcW w:type="dxa" w:w="4524"/>
          </w:tcPr>
          <w:p>
            <w:pPr>
              <w:spacing w:after="40"/>
            </w:pPr>
            <w:r>
              <w:rPr>
                <w:sz w:val="17"/>
              </w:rPr>
              <w:t>Correct conflicting requirements text, not the posting behavior. Different-Item substitution and customer-facing extra material retain their separately frozen approval rules.</w:t>
            </w:r>
          </w:p>
        </w:tc>
      </w:tr>
      <w:tr>
        <w:tc>
          <w:tcPr>
            <w:tcW w:type="dxa" w:w="1500"/>
          </w:tcPr>
          <w:p>
            <w:pPr>
              <w:spacing w:after="40"/>
            </w:pPr>
            <w:r>
              <w:rPr>
                <w:b/>
                <w:sz w:val="17"/>
              </w:rPr>
              <w:t>6. Authentication</w:t>
            </w:r>
          </w:p>
        </w:tc>
        <w:tc>
          <w:tcPr>
            <w:tcW w:type="dxa" w:w="4200"/>
          </w:tcPr>
          <w:p>
            <w:pPr>
              <w:spacing w:after="40"/>
            </w:pPr>
            <w:r>
              <w:rPr>
                <w:sz w:val="17"/>
              </w:rPr>
              <w:t>Authentication remains standards-compliant OIDC only. Password policy, first-login reset, lockout and MFA are provider controls; ERP stores no local password credential.</w:t>
            </w:r>
          </w:p>
        </w:tc>
        <w:tc>
          <w:tcPr>
            <w:tcW w:type="dxa" w:w="4524"/>
          </w:tcPr>
          <w:p>
            <w:pPr>
              <w:spacing w:after="40"/>
            </w:pPr>
            <w:r>
              <w:rPr>
                <w:sz w:val="17"/>
              </w:rPr>
              <w:t>Employee code may be the provider username, while issuer plus subject remains the durable identity key. Active-session listing requires an ERP session registry or standards-compliant provider integration and is now a tracked requirement. Provider role/group claims never grant ERP authorization.</w:t>
            </w:r>
          </w:p>
        </w:tc>
      </w:tr>
      <w:tr>
        <w:tc>
          <w:tcPr>
            <w:tcW w:type="dxa" w:w="1500"/>
          </w:tcPr>
          <w:p>
            <w:pPr>
              <w:spacing w:after="40"/>
            </w:pPr>
            <w:r>
              <w:rPr>
                <w:b/>
                <w:sz w:val="17"/>
              </w:rPr>
              <w:t>7. Source-code handover</w:t>
            </w:r>
          </w:p>
        </w:tc>
        <w:tc>
          <w:tcPr>
            <w:tcW w:type="dxa" w:w="4200"/>
          </w:tcPr>
          <w:p>
            <w:pPr>
              <w:spacing w:after="40"/>
            </w:pPr>
            <w:r>
              <w:rPr>
                <w:sz w:val="17"/>
              </w:rPr>
              <w:t>Full source/build/configuration handover is project governance and acceptance evidence, not ERP product behavior.</w:t>
            </w:r>
          </w:p>
        </w:tc>
        <w:tc>
          <w:tcPr>
            <w:tcW w:type="dxa" w:w="4524"/>
          </w:tcPr>
          <w:p>
            <w:pPr>
              <w:spacing w:after="40"/>
            </w:pPr>
            <w:r>
              <w:rPr>
                <w:sz w:val="17"/>
              </w:rPr>
              <w:t>Retain repository, build, migration, configuration, deployment and recovery documentation. Do not create schema, API or workflow behavior solely for external-supplier handover language.</w:t>
            </w:r>
          </w:p>
        </w:tc>
      </w:tr>
    </w:tbl>
    <w:p>
      <w:r>
        <w:rPr>
          <w:b/>
        </w:rPr>
        <w:t xml:space="preserve">Implementation conformance finding. </w:t>
      </w:r>
      <w:r>
        <w:t>PurchaseRequisitionEndpointHelpers currently contains runtime fallback arrays using 50,000 and 500,000 when no route-setting rows exist. Those fallbacks do not conform to this frozen rule. They must not be treated as approved defaults: runtime approval resolution must use active configured rows and fail closed when configuration is absent or ambiguous.</w:t>
      </w:r>
    </w:p>
    <w:p>
      <w:pPr>
        <w:spacing w:before="120" w:after="60"/>
      </w:pPr>
      <w:r>
        <w:rPr>
          <w:b/>
        </w:rPr>
        <w:t xml:space="preserve">FINAL FREEZE - 10 KEEP / 2 CHANGE</w:t>
      </w:r>
    </w:p>
    <w:p>
      <w:pPr>
        <w:spacing w:before="120" w:after="60"/>
      </w:pPr>
      <w:r>
        <w:t xml:space="preserve">Technical Director override for Decision 5: issue beyond the Estimated/Approved BOM remains allowed after MIR approval. It records immutable variance evidence and emits a durable notification. It does not wait for or require a BOM-deviation approval. This quantity rule does not remove separate approval for use of a different substitute item.</w:t>
      </w:r>
    </w:p>
    <w:p>
      <w:pPr>
        <w:spacing w:after="0"/>
      </w:pPr>
    </w:p>
    <w:tbl>
      <w:tblPr>
        <w:tblW w:type="auto" w:w="0"/>
        <w:jc w:val="center"/>
        <w:tblLook w:firstColumn="1" w:firstRow="1" w:lastColumn="0" w:lastRow="0" w:noHBand="0" w:noVBand="1" w:val="04A0"/>
      </w:tblPr>
      <w:tblGrid>
        <w:gridCol w:w="10224"/>
      </w:tblGrid>
      <w:tr>
        <w:trPr>
          <w:cantSplit/>
        </w:trPr>
        <w:tc>
          <w:tcPr>
            <w:tcW w:type="dxa" w:w="10224"/>
            <w:shd w:fill="FCE4D6"/>
            <w:tcMar>
              <w:top w:w="130" w:type="dxa"/>
              <w:start w:w="150" w:type="dxa"/>
              <w:bottom w:w="130" w:type="dxa"/>
              <w:end w:w="150" w:type="dxa"/>
            </w:tcMar>
          </w:tcPr>
          <w:p>
            <w:pPr>
              <w:spacing w:after="60"/>
            </w:pPr>
            <w:r/>
            <w:r>
              <w:rPr>
                <w:b/>
                <w:color w:val="A61B1B"/>
                <w:sz w:val="20"/>
              </w:rPr>
              <w:t>MANDATORY SIGN-OFF</w:t>
            </w:r>
          </w:p>
          <w:p>
            <w:pPr>
              <w:spacing w:after="0" w:line="252" w:lineRule="auto"/>
            </w:pPr>
            <w:r>
              <w:t>If management changes any of these 12 decisions, the ERP team must issue a documented impact note covering affected tables, controls, APIs, screens, reports, migrations and test cases before coding.</w:t>
            </w:r>
          </w:p>
        </w:tc>
      </w:tr>
    </w:tbl>
    <w:p>
      <w:pPr>
        <w:spacing w:after="0"/>
      </w:pPr>
    </w:p>
    <w:p>
      <w:pPr>
        <w:pStyle w:val="Heading1"/>
      </w:pPr>
      <w:r>
        <w:t>3. End-to-End Stores Operating Guideline</w:t>
      </w:r>
    </w:p>
    <w:tbl>
      <w:tblPr>
        <w:tblStyle w:val="TableGrid"/>
        <w:tblW w:type="auto" w:w="0"/>
        <w:jc w:val="center"/>
        <w:tblLayout w:type="fixed"/>
        <w:tblLook w:firstColumn="1" w:firstRow="1" w:lastColumn="0" w:lastRow="0" w:noHBand="0" w:noVBand="1" w:val="04A0"/>
      </w:tblPr>
      <w:tblGrid>
        <w:gridCol w:w="2045"/>
        <w:gridCol w:w="2045"/>
        <w:gridCol w:w="2045"/>
        <w:gridCol w:w="2045"/>
        <w:gridCol w:w="2045"/>
      </w:tblGrid>
      <w:tr>
        <w:trPr>
          <w:tblHeader w:val="true"/>
          <w:cantSplit/>
        </w:trPr>
        <w:tc>
          <w:tcPr>
            <w:tcW w:type="dxa" w:w="576"/>
            <w:vAlign w:val="center"/>
            <w:tcMar>
              <w:top w:w="70" w:type="dxa"/>
              <w:start w:w="80" w:type="dxa"/>
              <w:bottom w:w="70" w:type="dxa"/>
              <w:end w:w="80" w:type="dxa"/>
            </w:tcMar>
            <w:shd w:fill="17365D"/>
          </w:tcPr>
          <w:p>
            <w:pPr>
              <w:spacing w:after="0" w:line="240" w:lineRule="auto"/>
            </w:pPr>
            <w:r/>
            <w:r>
              <w:rPr>
                <w:rFonts w:ascii="Aptos" w:hAnsi="Aptos"/>
                <w:b/>
                <w:color w:val="FFFFFF"/>
                <w:sz w:val="17"/>
              </w:rPr>
              <w:t>Step</w:t>
            </w:r>
          </w:p>
        </w:tc>
        <w:tc>
          <w:tcPr>
            <w:tcW w:type="dxa" w:w="1368"/>
            <w:vAlign w:val="center"/>
            <w:tcMar>
              <w:top w:w="70" w:type="dxa"/>
              <w:start w:w="80" w:type="dxa"/>
              <w:bottom w:w="70" w:type="dxa"/>
              <w:end w:w="80" w:type="dxa"/>
            </w:tcMar>
            <w:shd w:fill="17365D"/>
          </w:tcPr>
          <w:p>
            <w:pPr>
              <w:spacing w:after="0" w:line="240" w:lineRule="auto"/>
            </w:pPr>
            <w:r/>
            <w:r>
              <w:rPr>
                <w:rFonts w:ascii="Aptos" w:hAnsi="Aptos"/>
                <w:b/>
                <w:color w:val="FFFFFF"/>
                <w:sz w:val="17"/>
              </w:rPr>
              <w:t>Stage</w:t>
            </w:r>
          </w:p>
        </w:tc>
        <w:tc>
          <w:tcPr>
            <w:tcW w:type="dxa" w:w="1944"/>
            <w:vAlign w:val="center"/>
            <w:tcMar>
              <w:top w:w="70" w:type="dxa"/>
              <w:start w:w="80" w:type="dxa"/>
              <w:bottom w:w="70" w:type="dxa"/>
              <w:end w:w="80" w:type="dxa"/>
            </w:tcMar>
            <w:shd w:fill="17365D"/>
          </w:tcPr>
          <w:p>
            <w:pPr>
              <w:spacing w:after="0" w:line="240" w:lineRule="auto"/>
            </w:pPr>
            <w:r/>
            <w:r>
              <w:rPr>
                <w:rFonts w:ascii="Aptos" w:hAnsi="Aptos"/>
                <w:b/>
                <w:color w:val="FFFFFF"/>
                <w:sz w:val="17"/>
              </w:rPr>
              <w:t>Primary record</w:t>
            </w:r>
          </w:p>
        </w:tc>
        <w:tc>
          <w:tcPr>
            <w:tcW w:type="dxa" w:w="1944"/>
            <w:vAlign w:val="center"/>
            <w:tcMar>
              <w:top w:w="70" w:type="dxa"/>
              <w:start w:w="80" w:type="dxa"/>
              <w:bottom w:w="70" w:type="dxa"/>
              <w:end w:w="80" w:type="dxa"/>
            </w:tcMar>
            <w:shd w:fill="17365D"/>
          </w:tcPr>
          <w:p>
            <w:pPr>
              <w:spacing w:after="0" w:line="240" w:lineRule="auto"/>
            </w:pPr>
            <w:r/>
            <w:r>
              <w:rPr>
                <w:rFonts w:ascii="Aptos" w:hAnsi="Aptos"/>
                <w:b/>
                <w:color w:val="FFFFFF"/>
                <w:sz w:val="17"/>
              </w:rPr>
              <w:t>Owner</w:t>
            </w:r>
          </w:p>
        </w:tc>
        <w:tc>
          <w:tcPr>
            <w:tcW w:type="dxa" w:w="4248"/>
            <w:vAlign w:val="center"/>
            <w:tcMar>
              <w:top w:w="70" w:type="dxa"/>
              <w:start w:w="80" w:type="dxa"/>
              <w:bottom w:w="70" w:type="dxa"/>
              <w:end w:w="80" w:type="dxa"/>
            </w:tcMar>
            <w:shd w:fill="17365D"/>
          </w:tcPr>
          <w:p>
            <w:pPr>
              <w:spacing w:after="0" w:line="240" w:lineRule="auto"/>
            </w:pPr>
            <w:r/>
            <w:r>
              <w:rPr>
                <w:rFonts w:ascii="Aptos" w:hAnsi="Aptos"/>
                <w:b/>
                <w:color w:val="FFFFFF"/>
                <w:sz w:val="17"/>
              </w:rPr>
              <w:t>Release condition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1</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Demand</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PR / project / service request</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Department requester</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Approved need and company/project identity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2</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Purchase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PO and revisions</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Purchase</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Supplier, item, quantity, rate, tax and delivery authorization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3</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Gate Entry</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Vehicle/material inward</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Security / Stores</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Physical delivery, challan/invoice and delivered quantity recorded</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4</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GRN</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Receipt against PO</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Storekeeper</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Received quantity within PO balance; excess segregated</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5</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QC</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Inspection and disposition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Assigned QC employee</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Accepted to AVAILABLE; rejected to PENDING_RETURNABLE_DC</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6</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Storage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Put-away / rack transfer</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Stores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Exact warehouse, rack, condition, lot/serial and owner</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7</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Reservation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Commit stock</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Authorized planner/request owner</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Availability reduced; no physical movement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8</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MIR &amp; Issue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Approved material issue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Requester + approver + Stores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Atomic issue to project/service/employee custody</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9</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Fitment/Use</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Production or service confirmation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Engineer / Production + QC</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Actual consumption and BOM/service ancestry created</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10</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Return/Transfer</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Unused return, DC, inter-site or intercompany</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Current and receiving custodians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Dual acknowledgement and reconciliation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11</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Billing/Cost</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Accepted bill and valuation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Accounts</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Procurement cost and inventory valuation retained separately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12</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Closure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Project/DC/tool/service closure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Process owner</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All quantities and exceptions reconcile to zero/open balance truth</w:t>
            </w:r>
          </w:p>
        </w:tc>
      </w:tr>
    </w:tbl>
    <w:p>
      <w:pPr>
        <w:spacing w:after="0"/>
      </w:pPr>
    </w:p>
    <w:p>
      <w:pPr>
        <w:pStyle w:val="Heading1"/>
      </w:pPr>
      <w:r>
        <w:t>4. Mandatory Control Rules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Control</w:t>
            </w:r>
          </w:p>
        </w:tc>
        <w:tc>
          <w:tcPr>
            <w:tcW w:type="dxa" w:w="7992"/>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ERP behaviour</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Company separation</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Every transactional table contains CompanyId derived from session/document chain. Cross-company visibility is privileged and read-only unless a formal transfer is active.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Site and location</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Use company site -&gt; warehouse -&gt; rack/bin hierarchy. Do not store branch, van or site in free text.</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Ownership</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SESS-owned, customer-owned, supplier-loan and intercompany ownership remain separate from physical location.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Quantity</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Posted AVAILABLE balance cannot fall below zero. Serialized balance is zero or one per company/location/custody state.</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Serial/lot</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Normalize serials; hard-unique at finalization. Batch, manufacture and expiry become mandatory by effective item policy.</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Approvals</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Approval authority is effective-dated, company-scoped and snapshotted on the transaction. Delegation must be explicit, time-bound and scope-bound.</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Evidence</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Accepted evidence is versioned and superseded, never overwritten. Store hash, uploader, time, document type and access classification.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Posting</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All stock postings use one controlled atomic service/function with deterministic locking and typed source ancestry.</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Correction</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Use reversal linked to the original movement and corrected reposting. Preserve old and new records.</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Closure</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Status CLOSED is derived only when every line is returned, replaced, consumed, transferred, scrapped or reconciled through an approved exception.</w:t>
            </w:r>
          </w:p>
        </w:tc>
      </w:tr>
    </w:tbl>
    <w:p>
      <w:pPr>
        <w:spacing w:after="0"/>
      </w:pPr>
    </w:p>
    <w:p>
      <w:pPr>
        <w:pStyle w:val="Heading1"/>
      </w:pPr>
      <w:r>
        <w:t>5. Process-Specific Guidelines</w:t>
      </w:r>
    </w:p>
    <w:p>
      <w:pPr>
        <w:pStyle w:val="Heading2"/>
      </w:pPr>
      <w:r>
        <w:t>5.1 Receipt, GRN and QC</w:t>
      </w:r>
    </w:p>
    <w:p>
      <w:pPr>
        <w:pStyle w:val="ListBullet"/>
      </w:pPr>
      <w:r>
        <w:t>Gate Entry records delivered quantity even when it exceeds the PO; GRN accepts only the PO balance.</w:t>
      </w:r>
    </w:p>
    <w:p>
      <w:pPr>
        <w:pStyle w:val="ListBullet"/>
      </w:pPr>
      <w:r>
        <w:t>All GRN stock first enters QC_HOLD when QC is required. Items exempt by effective policy may route directly to AVAILABLE.</w:t>
      </w:r>
    </w:p>
    <w:p>
      <w:pPr>
        <w:pStyle w:val="ListBullet"/>
      </w:pPr>
      <w:r>
        <w:t>Partial acceptance records accepted and rejected quantities in one final QC revision.</w:t>
      </w:r>
    </w:p>
    <w:p>
      <w:pPr>
        <w:pStyle w:val="ListBullet"/>
      </w:pPr>
      <w:r>
        <w:t>Rejected material moves to PENDING_RETURNABLE_DC and needs disposition/return evidence.</w:t>
      </w:r>
    </w:p>
    <w:p>
      <w:pPr>
        <w:spacing w:before="120" w:after="60"/>
      </w:pPr>
      <w:r>
        <w:rPr>
          <w:b/>
        </w:rPr>
        <w:t xml:space="preserve">5.1.1 TD use-as-is concession and lifetime provenance</w:t>
      </w:r>
    </w:p>
    <w:p>
      <w:pPr>
        <w:spacing w:before="120" w:after="60"/>
      </w:pPr>
      <w:r>
        <w:t xml:space="preserve">A concession may be raised only after QC has finalized a rejection. Only the directly effective TECHNICAL_DIRECTOR may approve; delegation and fallback resolution are forbidden. The decision binds exact rejected quantity, GRN-line lot allocation and exact serials where applicable. It records failed QC parameter/result links, measured value, technical acceptance reason and intended use.</w:t>
      </w:r>
    </w:p>
    <w:p>
      <w:pPr>
        <w:spacing w:before="120" w:after="60"/>
      </w:pPr>
      <w:r>
        <w:t xml:space="preserve">Approval and posting are one controlled transaction: transfer the exact approved provenance quantity from PENDING_RETURNABLE_DC to AVAILABLE through the controlled posting function. Approved decisions are immutable. Error correction creates a typed reversal posting and a new decision cycle. No extra restriction is derived from customer certification or type-approval class.</w:t>
      </w:r>
    </w:p>
    <w:p>
      <w:pPr>
        <w:spacing w:before="120" w:after="60"/>
      </w:pPr>
      <w:r>
        <w:t xml:space="preserve">Do not store concession as a flag on InventoryLot: only part of a lot may be conceded. Add an InventoryProvenanceLayer identity carried by every new ledger movement. The layer binds company, Item, lot allocation, origin receipt, ownership, optional serial and optional ConcessionDecisionId. A concession splits the rejected quantity into its own provenance layer; unaffected quantity retains its original layer.</w:t>
      </w:r>
    </w:p>
    <w:p>
      <w:pPr>
        <w:spacing w:before="120" w:after="60"/>
      </w:pPr>
      <w:r>
        <w:t xml:space="preserve">Put-away, issue, return and transfer movements must preserve InventoryProvenanceLayerId. Fitment references the issue movement/provenance layer. The full-schema acceptance chain must resolve end to end from machine Actual BOM and component ancestry through every intervening movement to exact concession decision, failed parameter, measured value, TD reason, approving employee, lot allocation, quantity and serials. Legacy movements may have a nullable provenance layer, but every new schema-version movement requires one.</w:t>
      </w:r>
    </w:p>
    <w:p>
      <w:pPr>
        <w:pStyle w:val="ListBullet"/>
      </w:pPr>
      <w:r>
        <w:t>QUARANTINE is used only for exceptional identity, contamination, safety or compliance uncertainty.</w:t>
      </w:r>
    </w:p>
    <w:p>
      <w:pPr>
        <w:pStyle w:val="Heading2"/>
      </w:pPr>
      <w:r>
        <w:t>5.2 Reservation, MIR and Issue</w:t>
      </w:r>
    </w:p>
    <w:p>
      <w:pPr>
        <w:pStyle w:val="ListBullet"/>
      </w:pPr>
      <w:r>
        <w:t>Reservation changes availability only; it does not relocate stock.</w:t>
      </w:r>
    </w:p>
    <w:p>
      <w:pPr>
        <w:pStyle w:val="ListBullet"/>
      </w:pPr>
      <w:r>
        <w:t>Every issue needs an approved MIR tied to company, project/service/cost centre and intended custodian.</w:t>
      </w:r>
    </w:p>
    <w:p>
      <w:pPr>
        <w:pStyle w:val="ListBullet"/>
      </w:pPr>
      <w:r>
        <w:t>Emergency requests use fast approval; stock cannot leave before approval.</w:t>
      </w:r>
    </w:p>
    <w:p>
      <w:pPr>
        <w:pStyle w:val="ListBullet"/>
      </w:pPr>
      <w:r>
        <w:t xml:space="preserve">BOM-controlled issues must reference a BOM line. Quantity beyond the Estimated/Approved BOM remains allowed after MIR approval, records immutable variance evidence and emits a durable notification. A different substitute item remains governed separately.</w:t>
      </w:r>
    </w:p>
    <w:p>
      <w:pPr>
        <w:spacing w:before="120" w:after="60"/>
      </w:pPr>
      <w:r>
        <w:rPr>
          <w:b/>
        </w:rPr>
        <w:t xml:space="preserve">5.2.1 Internal variance versus customer-outbound commercial excess</w:t>
      </w:r>
    </w:p>
    <w:p>
      <w:pPr>
        <w:spacing w:before="120" w:after="60"/>
      </w:pPr>
      <w:r>
        <w:t xml:space="preserve">Derive the rule from the MIR issue purpose and authoritative document ancestry. FACTORY_ASSEMBLY and PROJECT are internal: extra quantity of the same Item is notification-only. SERVICE, SALE, WARRANTY, DEMO and FREE_OF_COST are customer-facing; when an offer revision or customer PO quantity is the commercial baseline, extra quantity requires a TD decision. No operator-set bypass flag exists.</w:t>
      </w:r>
    </w:p>
    <w:p>
      <w:pPr>
        <w:spacing w:before="120" w:after="60"/>
      </w:pPr>
      <w:r>
        <w:t xml:space="preserve">The immutable customer-outbound excess decision records Company, MIR and line, issue-purpose snapshot, Customer, original offer revision and customer PO/line where present, baseline quantity, requested quantity, excess quantity, outcome code, TD employee and role, reason, decision time, approval cycle, Version, idempotency identity and audit correlation. Stores may issue the excess only after this exact decision exists.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Outcome code</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TD decision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Issue effect</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Commercial linkage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SUPPLY_FREE_OF_COST</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TD authorizes SESS to absorb the extra quantity and records the reason.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Extra quantity becomes issuable immediately after the decision.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No later offer/PO is required; preserve original offer/PO and decision as authority.</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REVISE_EXISTING_OFFER</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TD directs revision of the existing commercial offer.</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Extra quantity becomes issuable after the TD decision; a commercial follow-up remains open.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Later revised offer revision and amended/replacement customer PO line link back to this decision and the original offer/PO.</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SEPARATE_OFFER_AFTER_INSTALLATION</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TD directs a separate offer and customer PO for the extra quantity after installation.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Extra quantity becomes issuable after the TD decision; installation need not wait for the later PO.</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Later separate offer revision and customer PO/line link back to this decision, original offer/PO and originating issue line.</w:t>
            </w:r>
          </w:p>
        </w:tc>
      </w:tr>
    </w:tbl>
    <w:p>
      <w:pPr>
        <w:spacing w:before="120" w:after="60"/>
      </w:pPr>
      <w:r>
        <w:t xml:space="preserve">Original commercial links never change. Later commercial resolution is append-only: ResolutionOfferRevisionId and ResolutionCustomerPo/LineId are initially empty, then linked by a follow-up resolution record. A revised offer must supersede the original revision; a separate offer/PO retains the originating excess-decision and issue-line IDs.</w:t>
      </w:r>
    </w:p>
    <w:p>
      <w:pPr>
        <w:pStyle w:val="ListBullet"/>
      </w:pPr>
      <w:r>
        <w:t>Issue is not consumption. Actual BOM consumption begins only after confirmed fitment/use.</w:t>
      </w:r>
    </w:p>
    <w:p>
      <w:pPr>
        <w:pStyle w:val="Heading2"/>
      </w:pPr>
      <w:r>
        <w:t>5.3 Production, Project and Actual BOM</w:t>
      </w:r>
    </w:p>
    <w:p>
      <w:pPr>
        <w:pStyle w:val="ListBullet"/>
      </w:pPr>
      <w:r>
        <w:t>Project/Customer Order owns the project identity; Production owns machine instances under it.</w:t>
      </w:r>
    </w:p>
    <w:p>
      <w:pPr>
        <w:pStyle w:val="ListBullet"/>
      </w:pPr>
      <w:r>
        <w:t>Each machine pins an approved BOM revision. Fitment must reference material receipt/issue origins.</w:t>
      </w:r>
    </w:p>
    <w:p>
      <w:pPr>
        <w:pStyle w:val="ListBullet"/>
      </w:pPr>
      <w:r>
        <w:t>Shared material is explicitly allocated to machine instances; no unattributed average quantity or cost.</w:t>
      </w:r>
    </w:p>
    <w:p>
      <w:pPr>
        <w:pStyle w:val="ListBullet"/>
      </w:pPr>
      <w:r>
        <w:t>Erroneous fitment is reversed and corrected; QC re-verifies the corrected fitment.</w:t>
      </w:r>
    </w:p>
    <w:p>
      <w:pPr>
        <w:pStyle w:val="ListBullet"/>
      </w:pPr>
      <w:r>
        <w:t>Project closure is blocked until WIP is fully explained and reconciled.</w:t>
      </w:r>
    </w:p>
    <w:p>
      <w:pPr>
        <w:pStyle w:val="Heading2"/>
      </w:pPr>
      <w:r>
        <w:t>5.4 Tools, Kits and Engineer Custody</w:t>
      </w:r>
    </w:p>
    <w:p>
      <w:pPr>
        <w:pStyle w:val="ListBullet"/>
      </w:pPr>
      <w:r>
        <w:t>Purchased tool remains an Item and receives an individual asset identity when configured as serialized/controlled.</w:t>
      </w:r>
    </w:p>
    <w:p>
      <w:pPr>
        <w:pStyle w:val="ListBullet"/>
      </w:pPr>
      <w:r>
        <w:t>Temporary issue records employee, purpose, issue time, due timestamp, condition and acknowledgement.</w:t>
      </w:r>
    </w:p>
    <w:p>
      <w:pPr>
        <w:pStyle w:val="ListBullet"/>
      </w:pPr>
      <w:r>
        <w:t>Permanent assignment uses a stronger approval route and remains visible for resignation/clearance.</w:t>
      </w:r>
    </w:p>
    <w:p>
      <w:pPr>
        <w:pStyle w:val="ListBullet"/>
      </w:pPr>
      <w:r>
        <w:t>Calibration-required tools are blocked after expiry until accepted calibration is recorded.</w:t>
      </w:r>
    </w:p>
    <w:p>
      <w:pPr>
        <w:pStyle w:val="ListBullet"/>
      </w:pPr>
      <w:r>
        <w:t>Kit membership is effective-dated so historical contents remain reconstructable.</w:t>
      </w:r>
    </w:p>
    <w:p>
      <w:pPr>
        <w:pStyle w:val="Heading2"/>
      </w:pPr>
      <w:r>
        <w:t>5.5 Customer Property, Demo Material and Returnables</w:t>
      </w:r>
    </w:p>
    <w:p>
      <w:pPr>
        <w:pStyle w:val="ListBullet"/>
      </w:pPr>
      <w:r>
        <w:t>Customer material is custody property with zero SESS inventory value and separate declared/replacement value.</w:t>
      </w:r>
    </w:p>
    <w:p>
      <w:pPr>
        <w:pStyle w:val="ListBullet"/>
      </w:pPr>
      <w:r>
        <w:t>Record customer, asset ID, make/model/serial, accessories, received condition, photographs, due date and owner.</w:t>
      </w:r>
    </w:p>
    <w:p>
      <w:pPr>
        <w:pStyle w:val="ListBullet"/>
      </w:pPr>
      <w:r>
        <w:t>Transfers between engineers/sites require immutable handover and dual acknowledgement.</w:t>
      </w:r>
    </w:p>
    <w:p>
      <w:pPr>
        <w:pStyle w:val="ListBullet"/>
      </w:pPr>
      <w:r>
        <w:t>Return evidence includes named recipient, timestamp, POD/signature and attachment hash.</w:t>
      </w:r>
    </w:p>
    <w:p>
      <w:pPr>
        <w:pStyle w:val="ListBullet"/>
      </w:pPr>
      <w:r>
        <w:t>Loss or damage closes only through approved reconciliation, liability and recovery settlement references.</w:t>
      </w:r>
    </w:p>
    <w:p>
      <w:pPr>
        <w:pStyle w:val="Heading2"/>
      </w:pPr>
      <w:r>
        <w:t>5.6 Service and Other-Brand Equipment</w:t>
      </w:r>
    </w:p>
    <w:p>
      <w:pPr>
        <w:pStyle w:val="ListBullet"/>
      </w:pPr>
      <w:r>
        <w:t>ERP owns complaint, visit and job-card identities so spare issue and service history remain traceable.</w:t>
      </w:r>
    </w:p>
    <w:p>
      <w:pPr>
        <w:pStyle w:val="ListBullet"/>
      </w:pPr>
      <w:r>
        <w:t>Installed assets use customer + customer asset ID + make/model/serial and a generated ERP asset ID.</w:t>
      </w:r>
    </w:p>
    <w:p>
      <w:pPr>
        <w:pStyle w:val="ListBullet"/>
      </w:pPr>
      <w:r>
        <w:t>Warranty, AMC, CAMC and chargeable entitlement is effective-dated and snapshotted at the job decision.</w:t>
      </w:r>
    </w:p>
    <w:p>
      <w:pPr>
        <w:pStyle w:val="ListBullet"/>
      </w:pPr>
      <w:r>
        <w:t>Removed-part ownership is explicitly decided; it is never inferred from physical possession.</w:t>
      </w:r>
    </w:p>
    <w:p>
      <w:pPr>
        <w:pStyle w:val="ListBullet"/>
      </w:pPr>
      <w:r>
        <w:t>Old-to-new replacement serial ancestry is permanent.</w:t>
      </w:r>
    </w:p>
    <w:p>
      <w:pPr>
        <w:pStyle w:val="Heading2"/>
      </w:pPr>
      <w:r>
        <w:t>5.7 Vendor Return, Jobwork and RMA</w:t>
      </w:r>
    </w:p>
    <w:p>
      <w:pPr>
        <w:pStyle w:val="ListBullet"/>
      </w:pPr>
      <w:r>
        <w:t>Dispatch uses approved DC, item/serial/quantity, purpose, due date, carrier and POD.</w:t>
      </w:r>
    </w:p>
    <w:p>
      <w:pPr>
        <w:pStyle w:val="ListBullet"/>
      </w:pPr>
      <w:r>
        <w:t>Jobwork inputs reconcile to returned output, accepted loss/scrap and open balance using approved conversion rules.</w:t>
      </w:r>
    </w:p>
    <w:p>
      <w:pPr>
        <w:pStyle w:val="ListBullet"/>
      </w:pPr>
      <w:r>
        <w:t>Partial output acceptance and partial return are supported line-by-line.</w:t>
      </w:r>
    </w:p>
    <w:p>
      <w:pPr>
        <w:pStyle w:val="ListBullet"/>
      </w:pPr>
      <w:r>
        <w:t>RMA resolution is typed: repair, replacement, credit/refund, return-as-is or approved write-off.</w:t>
      </w:r>
    </w:p>
    <w:p>
      <w:pPr>
        <w:pStyle w:val="ListBullet"/>
      </w:pPr>
      <w:r>
        <w:t>Payment hold/release evidence is linked to the rejected line or invoice as decided by Accounts.</w:t>
      </w:r>
    </w:p>
    <w:p>
      <w:pPr>
        <w:pStyle w:val="Heading2"/>
      </w:pPr>
      <w:r>
        <w:t>5.8 Site, Branch and Intercompany Transfers</w:t>
      </w:r>
    </w:p>
    <w:p>
      <w:pPr>
        <w:pStyle w:val="ListBullet"/>
      </w:pPr>
      <w:r>
        <w:t>Transfer lifecycle is dispatch -&gt; in transit -&gt; receiving confirmation, with partial receipt and discrepancy handling.</w:t>
      </w:r>
    </w:p>
    <w:p>
      <w:pPr>
        <w:pStyle w:val="ListBullet"/>
      </w:pPr>
      <w:r>
        <w:t>Issuing company retains ownership/value until destination acceptance.</w:t>
      </w:r>
    </w:p>
    <w:p>
      <w:pPr>
        <w:pStyle w:val="ListBullet"/>
      </w:pPr>
      <w:r>
        <w:t>Destination storekeeper creates/accepts the receiving-company inward from the authorized transfer identity.</w:t>
      </w:r>
    </w:p>
    <w:p>
      <w:pPr>
        <w:pStyle w:val="ListBullet"/>
      </w:pPr>
      <w:r>
        <w:t>GST invoice/e-way bill and accounting references are supplied by Accounts for applicable routes.</w:t>
      </w:r>
    </w:p>
    <w:p>
      <w:pPr>
        <w:pStyle w:val="ListBullet"/>
      </w:pPr>
      <w:r>
        <w:t>Separate company projections share one immutable correlation ID; only authorized reconciliation roles see both sides.</w:t>
      </w:r>
    </w:p>
    <w:p>
      <w:pPr>
        <w:pStyle w:val="Heading1"/>
      </w:pPr>
      <w:r>
        <w:t>6. Costing and Inventory Valuation</w:t>
      </w:r>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DO NOT COMBINE THESE TWO VALUES</w:t>
            </w:r>
          </w:p>
          <w:p>
            <w:pPr>
              <w:spacing w:after="0" w:line="252" w:lineRule="auto"/>
            </w:pPr>
            <w:r>
              <w:t>Actual Procurement Cost answers what SESS agreed to pay for the material fitted to the machine. Inventory Issue Valuation answers what accounting value the stock ledger relieved. Both must be stored and reported.</w:t>
            </w:r>
          </w:p>
        </w:tc>
      </w:tr>
    </w:tbl>
    <w:p>
      <w:pPr>
        <w:spacing w:after="0"/>
      </w:pP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160"/>
            <w:vAlign w:val="center"/>
            <w:tcMar>
              <w:top w:w="70" w:type="dxa"/>
              <w:start w:w="80" w:type="dxa"/>
              <w:bottom w:w="70" w:type="dxa"/>
              <w:end w:w="80" w:type="dxa"/>
            </w:tcMar>
            <w:shd w:fill="17365D"/>
          </w:tcPr>
          <w:p>
            <w:pPr>
              <w:spacing w:after="0" w:line="240" w:lineRule="auto"/>
            </w:pPr>
            <w:r/>
            <w:r>
              <w:rPr>
                <w:rFonts w:ascii="Aptos" w:hAnsi="Aptos"/>
                <w:b/>
                <w:color w:val="FFFFFF"/>
                <w:sz w:val="17"/>
              </w:rPr>
              <w:t>Measure</w:t>
            </w:r>
          </w:p>
        </w:tc>
        <w:tc>
          <w:tcPr>
            <w:tcW w:type="dxa" w:w="4320"/>
            <w:vAlign w:val="center"/>
            <w:tcMar>
              <w:top w:w="70" w:type="dxa"/>
              <w:start w:w="80" w:type="dxa"/>
              <w:bottom w:w="70" w:type="dxa"/>
              <w:end w:w="80" w:type="dxa"/>
            </w:tcMar>
            <w:shd w:fill="17365D"/>
          </w:tcPr>
          <w:p>
            <w:pPr>
              <w:spacing w:after="0" w:line="240" w:lineRule="auto"/>
            </w:pPr>
            <w:r/>
            <w:r>
              <w:rPr>
                <w:rFonts w:ascii="Aptos" w:hAnsi="Aptos"/>
                <w:b/>
                <w:color w:val="FFFFFF"/>
                <w:sz w:val="17"/>
              </w:rPr>
              <w:t>Source</w:t>
            </w:r>
          </w:p>
        </w:tc>
        <w:tc>
          <w:tcPr>
            <w:tcW w:type="dxa" w:w="3600"/>
            <w:vAlign w:val="center"/>
            <w:tcMar>
              <w:top w:w="70" w:type="dxa"/>
              <w:start w:w="80" w:type="dxa"/>
              <w:bottom w:w="70" w:type="dxa"/>
              <w:end w:w="80" w:type="dxa"/>
            </w:tcMar>
            <w:shd w:fill="17365D"/>
          </w:tcPr>
          <w:p>
            <w:pPr>
              <w:spacing w:after="0" w:line="240" w:lineRule="auto"/>
            </w:pPr>
            <w:r/>
            <w:r>
              <w:rPr>
                <w:rFonts w:ascii="Aptos" w:hAnsi="Aptos"/>
                <w:b/>
                <w:color w:val="FFFFFF"/>
                <w:sz w:val="17"/>
              </w:rPr>
              <w:t>Use</w:t>
            </w:r>
          </w:p>
        </w:tc>
      </w:tr>
      <w:tr>
        <w:trPr>
          <w:cantSplit/>
        </w:trPr>
        <w:tc>
          <w:tcPr>
            <w:tcW w:type="dxa" w:w="2160"/>
            <w:vAlign w:val="center"/>
            <w:tcMar>
              <w:top w:w="70" w:type="dxa"/>
              <w:start w:w="80" w:type="dxa"/>
              <w:bottom w:w="70" w:type="dxa"/>
              <w:end w:w="80" w:type="dxa"/>
            </w:tcMar>
          </w:tcPr>
          <w:p>
            <w:pPr>
              <w:spacing w:after="0" w:line="240" w:lineRule="auto"/>
            </w:pPr>
            <w:r/>
            <w:r>
              <w:rPr>
                <w:rFonts w:ascii="Aptos" w:hAnsi="Aptos"/>
                <w:b w:val="0"/>
                <w:sz w:val="17"/>
              </w:rPr>
              <w:t>ActualProcurementCost</w:t>
            </w:r>
          </w:p>
        </w:tc>
        <w:tc>
          <w:tcPr>
            <w:tcW w:type="dxa" w:w="4320"/>
            <w:vAlign w:val="center"/>
            <w:tcMar>
              <w:top w:w="70" w:type="dxa"/>
              <w:start w:w="80" w:type="dxa"/>
              <w:bottom w:w="70" w:type="dxa"/>
              <w:end w:w="80" w:type="dxa"/>
            </w:tcMar>
          </w:tcPr>
          <w:p>
            <w:pPr>
              <w:spacing w:after="0" w:line="240" w:lineRule="auto"/>
            </w:pPr>
            <w:r/>
            <w:r>
              <w:rPr>
                <w:rFonts w:ascii="Aptos" w:hAnsi="Aptos"/>
                <w:b w:val="0"/>
                <w:sz w:val="17"/>
              </w:rPr>
              <w:t>Accepted vendor bill value allocated to fitted quantity/BOM line</w:t>
            </w:r>
          </w:p>
        </w:tc>
        <w:tc>
          <w:tcPr>
            <w:tcW w:type="dxa" w:w="3600"/>
            <w:vAlign w:val="center"/>
            <w:tcMar>
              <w:top w:w="70" w:type="dxa"/>
              <w:start w:w="80" w:type="dxa"/>
              <w:bottom w:w="70" w:type="dxa"/>
              <w:end w:w="80" w:type="dxa"/>
            </w:tcMar>
          </w:tcPr>
          <w:p>
            <w:pPr>
              <w:spacing w:after="0" w:line="240" w:lineRule="auto"/>
            </w:pPr>
            <w:r/>
            <w:r>
              <w:rPr>
                <w:rFonts w:ascii="Aptos" w:hAnsi="Aptos"/>
                <w:b w:val="0"/>
                <w:sz w:val="17"/>
              </w:rPr>
              <w:t>Offer-versus-actual machine/project cost and purchasing performance</w:t>
            </w:r>
          </w:p>
        </w:tc>
      </w:tr>
      <w:tr>
        <w:trPr>
          <w:cantSplit/>
        </w:trPr>
        <w:tc>
          <w:tcPr>
            <w:tcW w:type="dxa" w:w="2160"/>
            <w:vAlign w:val="center"/>
            <w:tcMar>
              <w:top w:w="70" w:type="dxa"/>
              <w:start w:w="80" w:type="dxa"/>
              <w:bottom w:w="70" w:type="dxa"/>
              <w:end w:w="80" w:type="dxa"/>
            </w:tcMar>
            <w:shd w:fill="EEF5F9"/>
          </w:tcPr>
          <w:p>
            <w:pPr>
              <w:spacing w:after="0" w:line="240" w:lineRule="auto"/>
            </w:pPr>
            <w:r/>
            <w:r>
              <w:rPr>
                <w:rFonts w:ascii="Aptos" w:hAnsi="Aptos"/>
                <w:b w:val="0"/>
                <w:sz w:val="17"/>
              </w:rPr>
              <w:t>InventoryIssueValuation</w:t>
            </w:r>
          </w:p>
        </w:tc>
        <w:tc>
          <w:tcPr>
            <w:tcW w:type="dxa" w:w="4320"/>
            <w:vAlign w:val="center"/>
            <w:tcMar>
              <w:top w:w="70" w:type="dxa"/>
              <w:start w:w="80" w:type="dxa"/>
              <w:bottom w:w="70" w:type="dxa"/>
              <w:end w:w="80" w:type="dxa"/>
            </w:tcMar>
            <w:shd w:fill="EEF5F9"/>
          </w:tcPr>
          <w:p>
            <w:pPr>
              <w:spacing w:after="0" w:line="240" w:lineRule="auto"/>
            </w:pPr>
            <w:r>
              <w:t>Strict FIFO by company, Item and ownership/value pool</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7"/>
              </w:rPr>
              <w:t>Inventory accounting and cost-of-stock relief</w:t>
            </w:r>
          </w:p>
        </w:tc>
      </w:tr>
      <w:tr>
        <w:trPr>
          <w:cantSplit/>
        </w:trPr>
        <w:tc>
          <w:tcPr>
            <w:tcW w:type="dxa" w:w="2160"/>
            <w:vAlign w:val="center"/>
            <w:tcMar>
              <w:top w:w="70" w:type="dxa"/>
              <w:start w:w="80" w:type="dxa"/>
              <w:bottom w:w="70" w:type="dxa"/>
              <w:end w:w="80" w:type="dxa"/>
            </w:tcMar>
          </w:tcPr>
          <w:p>
            <w:pPr>
              <w:spacing w:after="0" w:line="240" w:lineRule="auto"/>
            </w:pPr>
            <w:r/>
            <w:r>
              <w:rPr>
                <w:rFonts w:ascii="Aptos" w:hAnsi="Aptos"/>
                <w:b w:val="0"/>
                <w:sz w:val="17"/>
              </w:rPr>
              <w:t>ValuationDifference</w:t>
            </w:r>
          </w:p>
        </w:tc>
        <w:tc>
          <w:tcPr>
            <w:tcW w:type="dxa" w:w="4320"/>
            <w:vAlign w:val="center"/>
            <w:tcMar>
              <w:top w:w="70" w:type="dxa"/>
              <w:start w:w="80" w:type="dxa"/>
              <w:bottom w:w="70" w:type="dxa"/>
              <w:end w:w="80" w:type="dxa"/>
            </w:tcMar>
          </w:tcPr>
          <w:p>
            <w:pPr>
              <w:spacing w:after="0" w:line="240" w:lineRule="auto"/>
            </w:pPr>
            <w:r/>
            <w:r>
              <w:rPr>
                <w:rFonts w:ascii="Aptos" w:hAnsi="Aptos"/>
                <w:b w:val="0"/>
                <w:sz w:val="17"/>
              </w:rPr>
              <w:t>Actual procurement cost minus inventory issue valuation</w:t>
            </w:r>
          </w:p>
        </w:tc>
        <w:tc>
          <w:tcPr>
            <w:tcW w:type="dxa" w:w="3600"/>
            <w:vAlign w:val="center"/>
            <w:tcMar>
              <w:top w:w="70" w:type="dxa"/>
              <w:start w:w="80" w:type="dxa"/>
              <w:bottom w:w="70" w:type="dxa"/>
              <w:end w:w="80" w:type="dxa"/>
            </w:tcMar>
          </w:tcPr>
          <w:p>
            <w:pPr>
              <w:spacing w:after="0" w:line="240" w:lineRule="auto"/>
            </w:pPr>
            <w:r/>
            <w:r>
              <w:rPr>
                <w:rFonts w:ascii="Aptos" w:hAnsi="Aptos"/>
                <w:b w:val="0"/>
                <w:sz w:val="17"/>
              </w:rPr>
              <w:t>Reconciliation/explanation only; never replaces Actual BOM cost</w:t>
            </w:r>
          </w:p>
        </w:tc>
      </w:tr>
      <w:tr>
        <w:trPr>
          <w:cantSplit/>
        </w:trPr>
        <w:tc>
          <w:tcPr>
            <w:tcW w:type="dxa" w:w="2160"/>
            <w:vAlign w:val="center"/>
            <w:tcMar>
              <w:top w:w="70" w:type="dxa"/>
              <w:start w:w="80" w:type="dxa"/>
              <w:bottom w:w="70" w:type="dxa"/>
              <w:end w:w="80" w:type="dxa"/>
            </w:tcMar>
            <w:shd w:fill="EEF5F9"/>
          </w:tcPr>
          <w:p>
            <w:pPr>
              <w:spacing w:after="0" w:line="240" w:lineRule="auto"/>
            </w:pPr>
            <w:r/>
            <w:r>
              <w:rPr>
                <w:rFonts w:ascii="Aptos" w:hAnsi="Aptos"/>
                <w:b w:val="0"/>
                <w:sz w:val="17"/>
              </w:rPr>
              <w:t>Memo/Replacement value</w:t>
            </w:r>
          </w:p>
        </w:tc>
        <w:tc>
          <w:tcPr>
            <w:tcW w:type="dxa" w:w="4320"/>
            <w:vAlign w:val="center"/>
            <w:tcMar>
              <w:top w:w="70" w:type="dxa"/>
              <w:start w:w="80" w:type="dxa"/>
              <w:bottom w:w="70" w:type="dxa"/>
              <w:end w:w="80" w:type="dxa"/>
            </w:tcMar>
            <w:shd w:fill="EEF5F9"/>
          </w:tcPr>
          <w:p>
            <w:pPr>
              <w:spacing w:after="0" w:line="240" w:lineRule="auto"/>
            </w:pPr>
            <w:r/>
            <w:r>
              <w:rPr>
                <w:rFonts w:ascii="Aptos" w:hAnsi="Aptos"/>
                <w:b w:val="0"/>
                <w:sz w:val="17"/>
              </w:rPr>
              <w:t>Declared or approved replacement value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7"/>
              </w:rPr>
              <w:t>Customer property, supplier-loan, warranty/free receipt and loss exposure</w:t>
            </w:r>
          </w:p>
        </w:tc>
      </w:tr>
    </w:tbl>
    <w:p>
      <w:pPr>
        <w:spacing w:after="0"/>
      </w:pPr>
    </w:p>
    <w:p>
      <w:r>
        <w:t>Frozen policy: strict FIFO by company, Item and ownership/value pool from go-live. Physical serial provenance does not select the cost layer. Any approved future method change is prospective; historical postings are never recalculated.</w:t>
      </w:r>
    </w:p>
    <w:p>
      <w:pPr>
        <w:pStyle w:val="Heading1"/>
      </w:pPr>
      <w:r>
        <w:t>7. Roles, Segregation and Approval Guideline</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Activity</w:t>
            </w:r>
          </w:p>
        </w:tc>
        <w:tc>
          <w:tcPr>
            <w:tcW w:type="dxa" w:w="2592"/>
            <w:vAlign w:val="center"/>
            <w:tcMar>
              <w:top w:w="70" w:type="dxa"/>
              <w:start w:w="80" w:type="dxa"/>
              <w:bottom w:w="70" w:type="dxa"/>
              <w:end w:w="80" w:type="dxa"/>
            </w:tcMar>
            <w:shd w:fill="17365D"/>
          </w:tcPr>
          <w:p>
            <w:pPr>
              <w:spacing w:after="0" w:line="240" w:lineRule="auto"/>
            </w:pPr>
            <w:r/>
            <w:r>
              <w:rPr>
                <w:rFonts w:ascii="Aptos" w:hAnsi="Aptos"/>
                <w:b/>
                <w:color w:val="FFFFFF"/>
                <w:sz w:val="17"/>
              </w:rPr>
              <w:t>Prepare/Perform</w:t>
            </w:r>
          </w:p>
        </w:tc>
        <w:tc>
          <w:tcPr>
            <w:tcW w:type="dxa" w:w="3096"/>
            <w:vAlign w:val="center"/>
            <w:tcMar>
              <w:top w:w="70" w:type="dxa"/>
              <w:start w:w="80" w:type="dxa"/>
              <w:bottom w:w="70" w:type="dxa"/>
              <w:end w:w="80" w:type="dxa"/>
            </w:tcMar>
            <w:shd w:fill="17365D"/>
          </w:tcPr>
          <w:p>
            <w:pPr>
              <w:spacing w:after="0" w:line="240" w:lineRule="auto"/>
            </w:pPr>
            <w:r/>
            <w:r>
              <w:rPr>
                <w:rFonts w:ascii="Aptos" w:hAnsi="Aptos"/>
                <w:b/>
                <w:color w:val="FFFFFF"/>
                <w:sz w:val="17"/>
              </w:rPr>
              <w:t>Approve/Verify</w:t>
            </w:r>
          </w:p>
        </w:tc>
        <w:tc>
          <w:tcPr>
            <w:tcW w:type="dxa" w:w="2304"/>
            <w:vAlign w:val="center"/>
            <w:tcMar>
              <w:top w:w="70" w:type="dxa"/>
              <w:start w:w="80" w:type="dxa"/>
              <w:bottom w:w="70" w:type="dxa"/>
              <w:end w:w="80" w:type="dxa"/>
            </w:tcMar>
            <w:shd w:fill="17365D"/>
          </w:tcPr>
          <w:p>
            <w:pPr>
              <w:spacing w:after="0" w:line="240" w:lineRule="auto"/>
            </w:pPr>
            <w:r/>
            <w:r>
              <w:rPr>
                <w:rFonts w:ascii="Aptos" w:hAnsi="Aptos"/>
                <w:b/>
                <w:color w:val="FFFFFF"/>
                <w:sz w:val="17"/>
              </w:rPr>
              <w:t>Must not be combined</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PR / demand</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Department requester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Department/project authority</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Requester cannot self-approve above delegated authority</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PO / revision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Purchase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Authorized Purchase/TD/MD route</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Supplier cannot alter ERP authorization</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Gate Entry / GRN</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Security / Storekeeper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PO/system validation</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Storekeeper cannot override PO balance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QC</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Assigned QC employee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QC authority where required</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Inspector cannot rewrite posted receipt</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QC use-as-is concession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QC rejection / technical request</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Direct TECHNICAL_DIRECTOR only; no delegation or fallback</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Exact quantity/lot/serial only; approval immutable and provenance retained for life</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MIR issue</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Requester + Storekeeper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Authorized department/project approver</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Stores cannot approve its own demand</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Internal BOM overrun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ERP derives from approved MIR and issue purpose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No approval; notify Production Manager, Stores, TD and MD</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Must not block; do not notify Purchase or Accounts for routine variance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Customer-outbound commercial excess</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Engineer / customer-facing request owner</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TD chooses FOC, revised offer or separate post-installation offer</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Stores cannot issue extra quantity before the TD decision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 xml:space="preserve">Different-item substitution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 xml:space="preserve">Production / Engineering</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 xml:space="preserve">TD technical-equivalence approval; Purchase matrix governs spend</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 xml:space="preserve">No second commercial BOM approval</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Adjustment / write-off</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Stores records facts</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Independent approver; Accounts/TD for thresholds</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Preparer cannot final-approve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Tool loss/recovery</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Stores custody case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HR/Finance + authority</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Stores does not decide payroll recovery</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Vendor suspension</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Purchase Manager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TD or MD</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Score preparer cannot alone suspend/reactivate</w:t>
            </w:r>
          </w:p>
        </w:tc>
      </w:tr>
    </w:tbl>
    <w:p>
      <w:pPr>
        <w:spacing w:after="0"/>
      </w:pPr>
    </w:p>
    <w:tbl>
      <w:tblPr>
        <w:tblW w:type="auto" w:w="0"/>
        <w:jc w:val="center"/>
        <w:tblLook w:firstColumn="1" w:firstRow="1" w:lastColumn="0" w:lastRow="0" w:noHBand="0" w:noVBand="1" w:val="04A0"/>
      </w:tblPr>
      <w:tblGrid>
        <w:gridCol w:w="10224"/>
      </w:tblGrid>
      <w:tr>
        <w:trPr>
          <w:cantSplit/>
        </w:trPr>
        <w:tc>
          <w:tcPr>
            <w:tcW w:type="dxa" w:w="10224"/>
            <w:shd w:fill="FFF2CC"/>
            <w:tcMar>
              <w:top w:w="130" w:type="dxa"/>
              <w:start w:w="150" w:type="dxa"/>
              <w:bottom w:w="130" w:type="dxa"/>
              <w:end w:w="150" w:type="dxa"/>
            </w:tcMar>
          </w:tcPr>
          <w:p>
            <w:pPr>
              <w:spacing w:after="60"/>
            </w:pPr>
            <w:r/>
            <w:r>
              <w:rPr>
                <w:b/>
                <w:color w:val="BF7A00"/>
                <w:sz w:val="20"/>
              </w:rPr>
              <w:t>CONFIGURATION REQUIRED</w:t>
            </w:r>
          </w:p>
          <w:p>
            <w:pPr>
              <w:spacing w:after="0" w:line="252" w:lineRule="auto"/>
            </w:pPr>
            <w:r>
              <w:t>Monetary, quantity, safety and duration thresholds must be effective-dated by company and transaction type. Until management approves the threshold matrix, the ERP must not hard-code amounts.</w:t>
            </w:r>
          </w:p>
        </w:tc>
      </w:tr>
    </w:tbl>
    <w:p>
      <w:pPr>
        <w:spacing w:after="0"/>
      </w:pPr>
    </w:p>
    <w:p>
      <w:pPr>
        <w:pStyle w:val="Heading1"/>
      </w:pPr>
      <w:r>
        <w:t>8. SLA, Alerts and Escalation</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3024"/>
            <w:vAlign w:val="center"/>
            <w:tcMar>
              <w:top w:w="70" w:type="dxa"/>
              <w:start w:w="80" w:type="dxa"/>
              <w:bottom w:w="70" w:type="dxa"/>
              <w:end w:w="80" w:type="dxa"/>
            </w:tcMar>
            <w:shd w:fill="17365D"/>
          </w:tcPr>
          <w:p>
            <w:pPr>
              <w:spacing w:after="0" w:line="240" w:lineRule="auto"/>
            </w:pPr>
            <w:r/>
            <w:r>
              <w:rPr>
                <w:rFonts w:ascii="Aptos" w:hAnsi="Aptos"/>
                <w:b/>
                <w:color w:val="FFFFFF"/>
                <w:sz w:val="17"/>
              </w:rPr>
              <w:t>Event</w:t>
            </w:r>
          </w:p>
        </w:tc>
        <w:tc>
          <w:tcPr>
            <w:tcW w:type="dxa" w:w="3600"/>
            <w:vAlign w:val="center"/>
            <w:tcMar>
              <w:top w:w="70" w:type="dxa"/>
              <w:start w:w="80" w:type="dxa"/>
              <w:bottom w:w="70" w:type="dxa"/>
              <w:end w:w="80" w:type="dxa"/>
            </w:tcMar>
            <w:shd w:fill="17365D"/>
          </w:tcPr>
          <w:p>
            <w:pPr>
              <w:spacing w:after="0" w:line="240" w:lineRule="auto"/>
            </w:pPr>
            <w:r/>
            <w:r>
              <w:rPr>
                <w:rFonts w:ascii="Aptos" w:hAnsi="Aptos"/>
                <w:b/>
                <w:color w:val="FFFFFF"/>
                <w:sz w:val="17"/>
              </w:rPr>
              <w:t>Recommended target</w:t>
            </w:r>
          </w:p>
        </w:tc>
        <w:tc>
          <w:tcPr>
            <w:tcW w:type="dxa" w:w="3456"/>
            <w:vAlign w:val="center"/>
            <w:tcMar>
              <w:top w:w="70" w:type="dxa"/>
              <w:start w:w="80" w:type="dxa"/>
              <w:bottom w:w="70" w:type="dxa"/>
              <w:end w:w="80" w:type="dxa"/>
            </w:tcMar>
            <w:shd w:fill="17365D"/>
          </w:tcPr>
          <w:p>
            <w:pPr>
              <w:spacing w:after="0" w:line="240" w:lineRule="auto"/>
            </w:pPr>
            <w:r/>
            <w:r>
              <w:rPr>
                <w:rFonts w:ascii="Aptos" w:hAnsi="Aptos"/>
                <w:b/>
                <w:color w:val="FFFFFF"/>
                <w:sz w:val="17"/>
              </w:rPr>
              <w:t>Escalation</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Gate Entry to GRN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Same working day; next working day for late arrival</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Storekeeper -&gt; Stores Manager</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GRN requiring QC</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Assignment immediately; disposition within 2 working days</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QC assignee -&gt; QC Manager -&gt; TD for critical project</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Rejected material return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DC preparation within 1 working day; dispatch within 3</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Stores -&gt; Purchase -&gt; vendor owner</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Emergency MIR</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Fast/on-call decision target 30 minutes</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Department approver -&gt; designated alternate</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Temporary tool return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Reminder 3 days, 1 day and at due time</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Engineer -&gt; reporting manager -&gt; HR clearance where overdue</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Customer/demo returnable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Reminder 7 days, 3 days, 1 day and overdue daily</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Custodian -&gt; owner -&gt; Stores Manager/TD</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Transfer discrepancy</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Record at receipt; investigate within 1 working day</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Both Stores Managers -&gt; Accounts/TD</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Integration failure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Automatic idempotent retry; operator queue after terminal limit</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Module owner -&gt; IT/ERP administrator</w:t>
            </w:r>
          </w:p>
        </w:tc>
      </w:tr>
    </w:tbl>
    <w:p>
      <w:pPr>
        <w:spacing w:after="0"/>
      </w:pPr>
    </w:p>
    <w:p>
      <w:pPr>
        <w:pStyle w:val="Heading1"/>
      </w:pPr>
      <w:r>
        <w:t>9. Documents, Audit and Security</w:t>
      </w:r>
    </w:p>
    <w:p>
      <w:pPr>
        <w:pStyle w:val="ListBullet"/>
      </w:pPr>
      <w:r>
        <w:t>Minimum attachment metadata: company, source record, document type, version, original filename, MIME type, size, hash, uploader, upload time and sensitivity class.</w:t>
      </w:r>
    </w:p>
    <w:p>
      <w:pPr>
        <w:pStyle w:val="ListBullet"/>
      </w:pPr>
      <w:r>
        <w:t>Recommended allowed formats: PDF, DOCX, XLSX, CSV, JPG and PNG. Executables, scripts and macro-enabled files are blocked unless IT explicitly approves.</w:t>
      </w:r>
    </w:p>
    <w:p>
      <w:pPr>
        <w:pStyle w:val="ListBullet"/>
      </w:pPr>
      <w:r>
        <w:t>Recommended maximum: 25 MB per normal attachment; larger drawings/test data use controlled external storage linked by immutable reference.</w:t>
      </w:r>
    </w:p>
    <w:p>
      <w:pPr>
        <w:pStyle w:val="ListBullet"/>
      </w:pPr>
      <w:r>
        <w:t>Sensitive classes: bank/KYC, pricing, customer confidential, inspection/test data, HR, legal/NDA and credentials/secrets. Access is role-based and logged.</w:t>
      </w:r>
    </w:p>
    <w:p>
      <w:pPr>
        <w:pStyle w:val="ListBullet"/>
      </w:pPr>
      <w:r>
        <w:t>Retention follows the longer of statutory, contract, warranty/AMC/CAMC, tax, litigation-hold or company policy requirements. Deletion is never left to ordinary users.</w:t>
      </w:r>
    </w:p>
    <w:p>
      <w:pPr>
        <w:pStyle w:val="ListBullet"/>
      </w:pPr>
      <w:r>
        <w:t>Capture both physical-event time and ERP-entry time. Delayed entry requires a reason and user identity.</w:t>
      </w:r>
    </w:p>
    <w:p>
      <w:pPr>
        <w:pStyle w:val="ListBullet"/>
      </w:pPr>
      <w:r>
        <w:t>Finance and HR integrations use a transactional outbox with idempotent retries; Stores posting remains committed even if downstream delivery is temporarily unavailable.</w:t>
      </w:r>
    </w:p>
    <w:p>
      <w:pPr>
        <w:pStyle w:val="Heading1"/>
      </w:pPr>
      <w:r>
        <w:t>10. Implementation Roadmap and Release Gates</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440"/>
            <w:vAlign w:val="center"/>
            <w:tcMar>
              <w:top w:w="70" w:type="dxa"/>
              <w:start w:w="80" w:type="dxa"/>
              <w:bottom w:w="70" w:type="dxa"/>
              <w:end w:w="80" w:type="dxa"/>
            </w:tcMar>
            <w:shd w:fill="17365D"/>
          </w:tcPr>
          <w:p>
            <w:pPr>
              <w:spacing w:after="0" w:line="240" w:lineRule="auto"/>
            </w:pPr>
            <w:r/>
            <w:r>
              <w:rPr>
                <w:rFonts w:ascii="Aptos" w:hAnsi="Aptos"/>
                <w:b/>
                <w:color w:val="FFFFFF"/>
                <w:sz w:val="17"/>
              </w:rPr>
              <w:t>Phase</w:t>
            </w:r>
          </w:p>
        </w:tc>
        <w:tc>
          <w:tcPr>
            <w:tcW w:type="dxa" w:w="4608"/>
            <w:vAlign w:val="center"/>
            <w:tcMar>
              <w:top w:w="70" w:type="dxa"/>
              <w:start w:w="80" w:type="dxa"/>
              <w:bottom w:w="70" w:type="dxa"/>
              <w:end w:w="80" w:type="dxa"/>
            </w:tcMar>
            <w:shd w:fill="17365D"/>
          </w:tcPr>
          <w:p>
            <w:pPr>
              <w:spacing w:after="0" w:line="240" w:lineRule="auto"/>
            </w:pPr>
            <w:r/>
            <w:r>
              <w:rPr>
                <w:rFonts w:ascii="Aptos" w:hAnsi="Aptos"/>
                <w:b/>
                <w:color w:val="FFFFFF"/>
                <w:sz w:val="17"/>
              </w:rPr>
              <w:t>Scope</w:t>
            </w:r>
          </w:p>
        </w:tc>
        <w:tc>
          <w:tcPr>
            <w:tcW w:type="dxa" w:w="4032"/>
            <w:vAlign w:val="center"/>
            <w:tcMar>
              <w:top w:w="70" w:type="dxa"/>
              <w:start w:w="80" w:type="dxa"/>
              <w:bottom w:w="70" w:type="dxa"/>
              <w:end w:w="80" w:type="dxa"/>
            </w:tcMar>
            <w:shd w:fill="17365D"/>
          </w:tcPr>
          <w:p>
            <w:pPr>
              <w:spacing w:after="0" w:line="240" w:lineRule="auto"/>
            </w:pPr>
            <w:r/>
            <w:r>
              <w:rPr>
                <w:rFonts w:ascii="Aptos" w:hAnsi="Aptos"/>
                <w:b/>
                <w:color w:val="FFFFFF"/>
                <w:sz w:val="17"/>
              </w:rPr>
              <w:t>Release gate</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0. Freeze</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Approve 12 contradictions, open-policy defaults, roles and thresholds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Signed baseline and change-control owner</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1. Core inward</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Gate Entry, GRN, QC, put-away, serial/lot and rejected route</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PO/GRN/QC reconciliation; no excess received stock</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2. Core outward</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Reservation, MIR, issue, return, DC and transfers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No negative stock; approval-before-issue; full ancestry</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3. Project/BOM</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BOM revisions, deviations, machine instances, fitment, WIP and Actual BOM</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Offer-vs-actual and WIP closure reconcile</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4. Tools/Customer property</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Tool assets, kits, calibration, engineer custody, demo/customer returnables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Due/overdue, handover, loss/write-off and clearance work</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5. Service/Jobwork/RMA</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Installed assets, entitlements, service spares, vendor jobwork and RMA</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Serial replacement and input-output reconciliation</w:t>
            </w:r>
          </w:p>
        </w:tc>
      </w:tr>
      <w:tr>
        <w:trPr>
          <w:cantSplit/>
        </w:trPr>
        <w:tc>
          <w:tcPr>
            <w:tcW w:type="dxa" w:w="1440"/>
            <w:vAlign w:val="center"/>
            <w:tcMar>
              <w:top w:w="70" w:type="dxa"/>
              <w:start w:w="80" w:type="dxa"/>
              <w:bottom w:w="70" w:type="dxa"/>
              <w:end w:w="80" w:type="dxa"/>
            </w:tcMar>
          </w:tcPr>
          <w:p>
            <w:pPr>
              <w:spacing w:after="0" w:line="240" w:lineRule="auto"/>
            </w:pPr>
            <w:r>
              <w:t>6. Costing/Planning</w:t>
            </w:r>
          </w:p>
        </w:tc>
        <w:tc>
          <w:tcPr>
            <w:tcW w:type="dxa" w:w="4608"/>
            <w:vAlign w:val="center"/>
            <w:tcMar>
              <w:top w:w="70" w:type="dxa"/>
              <w:start w:w="80" w:type="dxa"/>
              <w:bottom w:w="70" w:type="dxa"/>
              <w:end w:w="80" w:type="dxa"/>
            </w:tcMar>
          </w:tcPr>
          <w:p>
            <w:pPr>
              <w:spacing w:after="0" w:line="240" w:lineRule="auto"/>
            </w:pPr>
            <w:r>
              <w:t>Accepted-bill allocation, FIFO layers, reorder, aging and vendor scorecards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Inventory GL/control totals and management reports agree</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7. Hardening</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Security, integrations, performance, backup, DR and migration</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UAT, reconciliation, permission and recovery evidence accepted</w:t>
            </w:r>
          </w:p>
        </w:tc>
      </w:tr>
    </w:tbl>
    <w:p>
      <w:pPr>
        <w:spacing w:after="0"/>
      </w:pPr>
    </w:p>
    <w:p>
      <w:pPr>
        <w:pStyle w:val="Heading1"/>
      </w:pPr>
      <w:r>
        <w:t>11. Mandatory Acceptance Tests</w:t>
      </w:r>
    </w:p>
    <w:p>
      <w:pPr>
        <w:pStyle w:val="ListNumber"/>
      </w:pPr>
      <w:r>
        <w:t>Attempt GRN received quantity above remaining PO balance: system blocks acceptance and routes excess to returnable segregation.</w:t>
      </w:r>
    </w:p>
    <w:p>
      <w:pPr>
        <w:pStyle w:val="ListNumber"/>
      </w:pPr>
      <w:r>
        <w:t>Attempt duplicate normalized serial finalization: system blocks it while preserving the operator's verification trail.</w:t>
      </w:r>
    </w:p>
    <w:p>
      <w:pPr>
        <w:pStyle w:val="ListNumber"/>
      </w:pPr>
      <w:r>
        <w:t>Attempt issue from AVAILABLE that would become negative: database and service both reject it.</w:t>
      </w:r>
    </w:p>
    <w:p>
      <w:pPr>
        <w:pStyle w:val="ListNumber"/>
      </w:pPr>
      <w:r>
        <w:t xml:space="preserve">Attempt physical issue without an approved MIR: reject. Internal FACTORY_ASSEMBLY/PROJECT excess of the same Item: post, record variance and notify Production Manager, Stores, TD and MD. Customer-facing excess against an offer/PO baseline: reject until the exact TD outcome exists.</w:t>
      </w:r>
    </w:p>
    <w:p>
      <w:pPr>
        <w:pStyle w:val="ListNumber"/>
      </w:pPr>
      <w:r>
        <w:t>Partial QC acceptance: accepted and rejected quantities reconcile exactly to inspected quantity and post to correct conditions.</w:t>
      </w:r>
    </w:p>
    <w:p>
      <w:pPr>
        <w:spacing w:before="120" w:after="60"/>
      </w:pPr>
      <w:r>
        <w:t xml:space="preserve">Concession test: reject a lot/serial through QC, prove direct TD-only approval, atomically move only the approved provenance quantity to AVAILABLE, issue and fit it, then prove the machine Actual BOM resolves the exact concession, failed parameter, measured value, TD and reason.</w:t>
      </w:r>
    </w:p>
    <w:p>
      <w:pPr>
        <w:spacing w:before="120" w:after="60"/>
      </w:pPr>
      <w:r>
        <w:t xml:space="preserve">Concession negative tests: reject delegation/fallback approval, pre-inspection concession, quantity/lot/serial mismatch, replay with changed facts, direct condition update, lost provenance during transfer/issue/fitment, and edit/delete of an approved decision.</w:t>
      </w:r>
    </w:p>
    <w:p>
      <w:pPr>
        <w:pStyle w:val="ListNumber"/>
      </w:pPr>
      <w:r>
        <w:t>Reservation: availability reduces without a stock movement or physical location change.</w:t>
      </w:r>
    </w:p>
    <w:p>
      <w:pPr>
        <w:pStyle w:val="ListNumber"/>
      </w:pPr>
      <w:r>
        <w:t>Reversal: original movement remains immutable and the reversal restores all item/location/serial/cost control totals.</w:t>
      </w:r>
    </w:p>
    <w:p>
      <w:pPr>
        <w:pStyle w:val="ListNumber"/>
      </w:pPr>
      <w:r>
        <w:t>Tool calibration expiry: issue warns rather than blocks, and the transaction preserves the expired-certificate warning, actor and reason.</w:t>
      </w:r>
    </w:p>
    <w:p>
      <w:pPr>
        <w:pStyle w:val="ListNumber"/>
      </w:pPr>
      <w:r>
        <w:t>Customer property transfer: sender and receiver acknowledgements preserve complete custody history.</w:t>
      </w:r>
    </w:p>
    <w:p>
      <w:pPr>
        <w:pStyle w:val="ListNumber"/>
      </w:pPr>
      <w:r>
        <w:t>Loss/write-off: CLOSED is derived only after approved reconciliation; a direct force-close is impossible.</w:t>
      </w:r>
    </w:p>
    <w:p>
      <w:pPr>
        <w:pStyle w:val="ListNumber"/>
      </w:pPr>
      <w:r>
        <w:t>Intercompany transfer: issuing and receiving companies remain isolated while shared correlation reconciles quantities.</w:t>
      </w:r>
    </w:p>
    <w:p>
      <w:pPr>
        <w:pStyle w:val="ListNumber"/>
      </w:pPr>
      <w:r>
        <w:t>Actual BOM cost and inventory issue valuation appear separately and reconcile for multi-receipt material.</w:t>
      </w:r>
    </w:p>
    <w:p>
      <w:pPr>
        <w:pStyle w:val="ListNumber"/>
      </w:pPr>
      <w:r>
        <w:t>Unauthorized user attempts cross-company access, approval delegation and attachment access: all are denied and audited.</w:t>
      </w:r>
    </w:p>
    <w:p>
      <w:pPr>
        <w:pStyle w:val="ListNumber"/>
      </w:pPr>
      <w:r>
        <w:t>Integration retry duplicates the same message: downstream result remains idempotent with no duplicate accounting/HR record.</w:t>
      </w:r>
    </w:p>
    <w:p>
      <w:pPr>
        <w:pStyle w:val="Heading1"/>
      </w:pPr>
      <w:r>
        <w:t>12. Management Decisions Still Requiring Confirmation</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1656"/>
            <w:vAlign w:val="center"/>
            <w:tcMar>
              <w:top w:w="70" w:type="dxa"/>
              <w:start w:w="80" w:type="dxa"/>
              <w:bottom w:w="70" w:type="dxa"/>
              <w:end w:w="80" w:type="dxa"/>
            </w:tcMar>
            <w:shd w:fill="17365D"/>
          </w:tcPr>
          <w:p>
            <w:pPr>
              <w:spacing w:after="0" w:line="240" w:lineRule="auto"/>
            </w:pPr>
            <w:r/>
            <w:r>
              <w:rPr>
                <w:rFonts w:ascii="Aptos" w:hAnsi="Aptos"/>
                <w:b/>
                <w:color w:val="FFFFFF"/>
                <w:sz w:val="17"/>
              </w:rPr>
              <w:t>Area</w:t>
            </w:r>
          </w:p>
        </w:tc>
        <w:tc>
          <w:tcPr>
            <w:tcW w:type="dxa" w:w="3672"/>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required</w:t>
            </w:r>
          </w:p>
        </w:tc>
        <w:tc>
          <w:tcPr>
            <w:tcW w:type="dxa" w:w="2232"/>
            <w:vAlign w:val="center"/>
            <w:tcMar>
              <w:top w:w="70" w:type="dxa"/>
              <w:start w:w="80" w:type="dxa"/>
              <w:bottom w:w="70" w:type="dxa"/>
              <w:end w:w="80" w:type="dxa"/>
            </w:tcMar>
            <w:shd w:fill="17365D"/>
          </w:tcPr>
          <w:p>
            <w:pPr>
              <w:spacing w:after="0" w:line="240" w:lineRule="auto"/>
            </w:pPr>
            <w:r/>
            <w:r>
              <w:rPr>
                <w:rFonts w:ascii="Aptos" w:hAnsi="Aptos"/>
                <w:b/>
                <w:color w:val="FFFFFF"/>
                <w:sz w:val="17"/>
              </w:rPr>
              <w:t>Owner</w:t>
            </w:r>
          </w:p>
        </w:tc>
        <w:tc>
          <w:tcPr>
            <w:tcW w:type="dxa" w:w="2520"/>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output</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Ownership/Finance</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Supplier-loan valuation; customer-property declared/replacement value</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TD + 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memo/liability valuation and closure rules</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BOM/Production</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BOM approver roles; subassembly yield/scrap/allocation</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TD + Production</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revision workflow and conversion tolerances</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Service</w:t>
            </w:r>
          </w:p>
        </w:tc>
        <w:tc>
          <w:tcPr>
            <w:tcW w:type="dxa" w:w="3672"/>
            <w:vAlign w:val="center"/>
            <w:tcMar>
              <w:top w:w="70" w:type="dxa"/>
              <w:start w:w="80" w:type="dxa"/>
              <w:bottom w:w="70" w:type="dxa"/>
              <w:end w:w="80" w:type="dxa"/>
            </w:tcMar>
          </w:tcPr>
          <w:p>
            <w:pPr>
              <w:spacing w:after="0" w:line="240" w:lineRule="auto"/>
            </w:pPr>
            <w:r>
              <w:t>RESOLVED: service spare authority and customer ownership of removed parts</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Service + Sales/Accounts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Define by Warranty/AMC/CAMC/Chargeable category</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Customer property</w:t>
            </w:r>
          </w:p>
        </w:tc>
        <w:tc>
          <w:tcPr>
            <w:tcW w:type="dxa" w:w="3672"/>
            <w:vAlign w:val="center"/>
            <w:tcMar>
              <w:top w:w="70" w:type="dxa"/>
              <w:start w:w="80" w:type="dxa"/>
              <w:bottom w:w="70" w:type="dxa"/>
              <w:end w:w="80" w:type="dxa"/>
            </w:tcMar>
            <w:shd w:fill="EEF5F9"/>
          </w:tcPr>
          <w:p>
            <w:pPr>
              <w:spacing w:after="0" w:line="240" w:lineRule="auto"/>
            </w:pPr>
            <w:r>
              <w:t>RESOLVED: accessory list/photo evidence, TD extension and custody-only demo equipment</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Stores + TD + 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risk/value/duration matrix</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Tools</w:t>
            </w:r>
          </w:p>
        </w:tc>
        <w:tc>
          <w:tcPr>
            <w:tcW w:type="dxa" w:w="3672"/>
            <w:vAlign w:val="center"/>
            <w:tcMar>
              <w:top w:w="70" w:type="dxa"/>
              <w:start w:w="80" w:type="dxa"/>
              <w:bottom w:w="70" w:type="dxa"/>
              <w:end w:w="80" w:type="dxa"/>
            </w:tcMar>
          </w:tcPr>
          <w:p>
            <w:pPr>
              <w:spacing w:after="0" w:line="240" w:lineRule="auto"/>
            </w:pPr>
            <w:r>
              <w:t>PARTLY RESOLVED: every tool is an asset, duration in days, annual calibration/warn-only expiry; custody, governance and recovery proposals await confirmation</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TD + Stores + HR/Accounts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tool class policies</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Jobwork/RMA</w:t>
            </w:r>
          </w:p>
        </w:tc>
        <w:tc>
          <w:tcPr>
            <w:tcW w:type="dxa" w:w="3672"/>
            <w:vAlign w:val="center"/>
            <w:tcMar>
              <w:top w:w="70" w:type="dxa"/>
              <w:start w:w="80" w:type="dxa"/>
              <w:bottom w:w="70" w:type="dxa"/>
              <w:end w:w="80" w:type="dxa"/>
            </w:tcMar>
            <w:shd w:fill="EEF5F9"/>
          </w:tcPr>
          <w:p>
            <w:pPr>
              <w:spacing w:after="0" w:line="240" w:lineRule="auto"/>
            </w:pPr>
            <w:r>
              <w:t>PARTLY RESOLVED: per-process tolerance is frozen; excess-loss approver, RMA outcomes and invoice hold/release proposals await confirmation</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Production + Purchase + 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process/vendor/item policies</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Intercompany</w:t>
            </w:r>
          </w:p>
        </w:tc>
        <w:tc>
          <w:tcPr>
            <w:tcW w:type="dxa" w:w="3672"/>
            <w:vAlign w:val="center"/>
            <w:tcMar>
              <w:top w:w="70" w:type="dxa"/>
              <w:start w:w="80" w:type="dxa"/>
              <w:bottom w:w="70" w:type="dxa"/>
              <w:end w:w="80" w:type="dxa"/>
            </w:tcMar>
          </w:tcPr>
          <w:p>
            <w:pPr>
              <w:spacing w:after="0" w:line="240" w:lineRule="auto"/>
            </w:pPr>
            <w:r>
              <w:t>RESOLVED: real intercompany sale, mandatory GST invoice, normal receiving-company Purchase/GRN/QC flow and isolated ledgers</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Accounts + TD</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legal routes before activation</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Stock exceptions</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Adjustment thresholds; backdating; ABC/FSN counts; scrap sale</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Stores + Accounts + TD</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control matrix and open-period rule</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Valuation/Planning</w:t>
            </w:r>
          </w:p>
        </w:tc>
        <w:tc>
          <w:tcPr>
            <w:tcW w:type="dxa" w:w="3672"/>
            <w:vAlign w:val="center"/>
            <w:tcMar>
              <w:top w:w="70" w:type="dxa"/>
              <w:start w:w="80" w:type="dxa"/>
              <w:bottom w:w="70" w:type="dxa"/>
              <w:end w:w="80" w:type="dxa"/>
            </w:tcMar>
          </w:tcPr>
          <w:p>
            <w:pPr>
              <w:spacing w:after="0" w:line="240" w:lineRule="auto"/>
            </w:pPr>
            <w:r>
              <w:t>PARTLY RESOLVED: FIFO and no purchase-price variance are frozen; landed-cost, planning and aging proposals await confirmation</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Accounts + Purchase + Stores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per-company/item-class policy</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Documents/Security</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File limits, sensitivity and retention; offline entry</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IT/Security + Legal/Accounts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information-control policy</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Vendor performance</w:t>
            </w:r>
          </w:p>
        </w:tc>
        <w:tc>
          <w:tcPr>
            <w:tcW w:type="dxa" w:w="3672"/>
            <w:vAlign w:val="center"/>
            <w:tcMar>
              <w:top w:w="70" w:type="dxa"/>
              <w:start w:w="80" w:type="dxa"/>
              <w:bottom w:w="70" w:type="dxa"/>
              <w:end w:w="80" w:type="dxa"/>
            </w:tcMar>
          </w:tcPr>
          <w:p>
            <w:pPr>
              <w:spacing w:after="0" w:line="240" w:lineRule="auto"/>
            </w:pPr>
            <w:r>
              <w:t>OPEN: proposed monthly scorecards, weights and minimum sample await confirmation</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Purchase + TD</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scorecard policy</w:t>
            </w:r>
          </w:p>
        </w:tc>
      </w:tr>
    </w:tbl>
    <w:p>
      <w:pPr>
        <w:spacing w:after="0"/>
      </w:pPr>
    </w:p>
    <w:p>
      <w:r>
        <w:br w:type="page"/>
      </w:r>
    </w:p>
    <w:p>
      <w:pPr>
        <w:pStyle w:val="Heading1"/>
      </w:pPr>
      <w:r>
        <w:t>13. Sign-Off Sheet</w:t>
      </w:r>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APPROVAL INSTRUCTION</w:t>
            </w:r>
          </w:p>
          <w:p>
            <w:pPr>
              <w:spacing w:after="0" w:line="252" w:lineRule="auto"/>
            </w:pPr>
            <w:r>
              <w:t>Record any change against its question or contradiction number. Attach the approved impact note before authorizing development. Blank or pending items are not approval to hard-code a rule.</w:t>
            </w:r>
          </w:p>
        </w:tc>
      </w:tr>
    </w:tbl>
    <w:p>
      <w:pPr>
        <w:spacing w:after="0"/>
      </w:pPr>
    </w:p>
    <w:tbl>
      <w:tblPr>
        <w:tblStyle w:val="TableGrid"/>
        <w:tblW w:type="auto" w:w="0"/>
        <w:jc w:val="center"/>
        <w:tblLayout w:type="fixed"/>
        <w:tblLook w:firstColumn="1" w:firstRow="1" w:lastColumn="0" w:lastRow="0" w:noHBand="0" w:noVBand="1" w:val="04A0"/>
      </w:tblPr>
      <w:tblGrid>
        <w:gridCol w:w="2045"/>
        <w:gridCol w:w="2045"/>
        <w:gridCol w:w="2045"/>
        <w:gridCol w:w="2045"/>
        <w:gridCol w:w="2045"/>
      </w:tblGrid>
      <w:tr>
        <w:trPr>
          <w:tblHeader w:val="true"/>
          <w:cantSplit/>
        </w:trPr>
        <w:tc>
          <w:tcPr>
            <w:tcW w:type="dxa" w:w="2592"/>
            <w:vAlign w:val="center"/>
            <w:tcMar>
              <w:top w:w="70" w:type="dxa"/>
              <w:start w:w="80" w:type="dxa"/>
              <w:bottom w:w="70" w:type="dxa"/>
              <w:end w:w="80" w:type="dxa"/>
            </w:tcMar>
            <w:shd w:fill="17365D"/>
          </w:tcPr>
          <w:p>
            <w:pPr>
              <w:spacing w:after="0" w:line="240" w:lineRule="auto"/>
            </w:pPr>
            <w:r/>
            <w:r>
              <w:rPr>
                <w:rFonts w:ascii="Aptos" w:hAnsi="Aptos"/>
                <w:b/>
                <w:color w:val="FFFFFF"/>
                <w:sz w:val="17"/>
              </w:rPr>
              <w:t>Approval item</w:t>
            </w:r>
          </w:p>
        </w:tc>
        <w:tc>
          <w:tcPr>
            <w:tcW w:type="dxa" w:w="2880"/>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 remarks</w:t>
            </w:r>
          </w:p>
        </w:tc>
        <w:tc>
          <w:tcPr>
            <w:tcW w:type="dxa" w:w="1728"/>
            <w:vAlign w:val="center"/>
            <w:tcMar>
              <w:top w:w="70" w:type="dxa"/>
              <w:start w:w="80" w:type="dxa"/>
              <w:bottom w:w="70" w:type="dxa"/>
              <w:end w:w="80" w:type="dxa"/>
            </w:tcMar>
            <w:shd w:fill="17365D"/>
          </w:tcPr>
          <w:p>
            <w:pPr>
              <w:spacing w:after="0" w:line="240" w:lineRule="auto"/>
            </w:pPr>
            <w:r/>
            <w:r>
              <w:rPr>
                <w:rFonts w:ascii="Aptos" w:hAnsi="Aptos"/>
                <w:b/>
                <w:color w:val="FFFFFF"/>
                <w:sz w:val="17"/>
              </w:rPr>
              <w:t>Name</w:t>
            </w:r>
          </w:p>
        </w:tc>
        <w:tc>
          <w:tcPr>
            <w:tcW w:type="dxa" w:w="1728"/>
            <w:vAlign w:val="center"/>
            <w:tcMar>
              <w:top w:w="70" w:type="dxa"/>
              <w:start w:w="80" w:type="dxa"/>
              <w:bottom w:w="70" w:type="dxa"/>
              <w:end w:w="80" w:type="dxa"/>
            </w:tcMar>
            <w:shd w:fill="17365D"/>
          </w:tcPr>
          <w:p>
            <w:pPr>
              <w:spacing w:after="0" w:line="240" w:lineRule="auto"/>
            </w:pPr>
            <w:r/>
            <w:r>
              <w:rPr>
                <w:rFonts w:ascii="Aptos" w:hAnsi="Aptos"/>
                <w:b/>
                <w:color w:val="FFFFFF"/>
                <w:sz w:val="17"/>
              </w:rPr>
              <w:t>Signature</w:t>
            </w:r>
          </w:p>
        </w:tc>
        <w:tc>
          <w:tcPr>
            <w:tcW w:type="dxa" w:w="1152"/>
            <w:vAlign w:val="center"/>
            <w:tcMar>
              <w:top w:w="70" w:type="dxa"/>
              <w:start w:w="80" w:type="dxa"/>
              <w:bottom w:w="70" w:type="dxa"/>
              <w:end w:w="80" w:type="dxa"/>
            </w:tcMar>
            <w:shd w:fill="17365D"/>
          </w:tcPr>
          <w:p>
            <w:pPr>
              <w:spacing w:after="0" w:line="240" w:lineRule="auto"/>
            </w:pPr>
            <w:r/>
            <w:r>
              <w:rPr>
                <w:rFonts w:ascii="Aptos" w:hAnsi="Aptos"/>
                <w:b/>
                <w:color w:val="FFFFFF"/>
                <w:sz w:val="17"/>
              </w:rPr>
              <w:t>Date</w:t>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12 contradiction decisions</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Approved / changes attached</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7"/>
              </w:rPr>
              <w:t>90-question baseline</w:t>
            </w:r>
          </w:p>
        </w:tc>
        <w:tc>
          <w:tcPr>
            <w:tcW w:type="dxa" w:w="2880"/>
            <w:vAlign w:val="center"/>
            <w:tcMar>
              <w:top w:w="70" w:type="dxa"/>
              <w:start w:w="80" w:type="dxa"/>
              <w:bottom w:w="70" w:type="dxa"/>
              <w:end w:w="80" w:type="dxa"/>
            </w:tcMar>
            <w:shd w:fill="EEF5F9"/>
          </w:tcPr>
          <w:p>
            <w:pPr>
              <w:spacing w:after="0" w:line="240" w:lineRule="auto"/>
            </w:pPr>
            <w:r/>
            <w:r>
              <w:rPr>
                <w:rFonts w:ascii="Aptos" w:hAnsi="Aptos"/>
                <w:b w:val="0"/>
                <w:sz w:val="17"/>
              </w:rPr>
              <w:t>Approved / changes attached</w:t>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Role and approval matrix</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Approved / pending</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7"/>
              </w:rPr>
              <w:t>Implementation phases</w:t>
            </w:r>
          </w:p>
        </w:tc>
        <w:tc>
          <w:tcPr>
            <w:tcW w:type="dxa" w:w="2880"/>
            <w:vAlign w:val="center"/>
            <w:tcMar>
              <w:top w:w="70" w:type="dxa"/>
              <w:start w:w="80" w:type="dxa"/>
              <w:bottom w:w="70" w:type="dxa"/>
              <w:end w:w="80" w:type="dxa"/>
            </w:tcMar>
            <w:shd w:fill="EEF5F9"/>
          </w:tcPr>
          <w:p>
            <w:pPr>
              <w:spacing w:after="0" w:line="240" w:lineRule="auto"/>
            </w:pPr>
            <w:r/>
            <w:r>
              <w:rPr>
                <w:rFonts w:ascii="Aptos" w:hAnsi="Aptos"/>
                <w:b w:val="0"/>
                <w:sz w:val="17"/>
              </w:rPr>
              <w:t>Approved / revised</w:t>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Authorization to proceed</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YES / NO</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bl>
    <w:p>
      <w:pPr>
        <w:spacing w:after="0"/>
      </w:pPr>
    </w:p>
    <w:p>
      <w:r>
        <w:br w:type="page"/>
      </w:r>
    </w:p>
    <w:p>
      <w:pPr>
        <w:pStyle w:val="Heading1"/>
      </w:pPr>
      <w:r>
        <w:t>Appendix A - Complete 90-Question Schema Baseline</w:t>
      </w:r>
    </w:p>
    <w:p>
      <w:r>
        <w:t>This appendix carries every question from the supplied decision sheet. 'DEFAULT' means the proposed rule may be implemented unless management records a change. 'CONFIRM' means the recommended business rule must be formally confirmed before the dependent feature is released.</w:t>
      </w:r>
    </w:p>
    <w:p>
      <w:pPr>
        <w:pStyle w:val="Heading2"/>
      </w:pPr>
      <w:r>
        <w:t>Questions L1-L7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Reserved a commitment or ledger location?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commitment only; inherit contradiction 10.</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Project/Service WIP a physical location, custody account, or both?</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both dimensions: actual physical location plus project/service custody account.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one rack/bin contain multiple ownership classes?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if physically identifiable; ownership is a balance/lot dimension, not a rack property.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is supplier-loan stock valued and closed?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Supplier-loan stock has zero SESS inventory value plus a memo liability. Consumption must start normal vendor quotation and approved PO flow, be received against that PO, and close the loan against that PO. No free-of-cost conversion, ad-hoc payable or separate settlement path exists.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customer property need liability/replacement value despite zero inventory value?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zero SESS inventory value, separate declared/replacement value.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For future van/site stock, is the custodian employee, vehicle, site, or combination?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normalized custody assignment supporting employee plus optional vehicle/site; do not encode all three in one text field.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every branch a company site, and may a site have multiple warehouses?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company_site -&gt; many warehouses.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bl>
    <w:p>
      <w:pPr>
        <w:spacing w:before="120" w:after="60"/>
      </w:pPr>
      <w:r>
        <w:rPr>
          <w:b/>
        </w:rPr>
        <w:t xml:space="preserve">Confirmed lot-model elaborations - Batch 1</w:t>
      </w:r>
    </w:p>
    <w:p>
      <w:pPr>
        <w:spacing w:before="120" w:after="60"/>
      </w:pPr>
      <w:r>
        <w:t xml:space="preserve">These six rules elaborate G4 and do not replace the original 90-question index. They are frozen schema requirements.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What is the ERP lot identity?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Generate an immutable ERP InventoryLotId. A supplier/manufacturer batch number is an attribute, never the ERP identity; identical values such as BATCH-001 from different vendors must never collapse.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When is one physical lot reused across receipts?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Reuse one InventoryLot only when company, Item, supplier/manufacturer lot identity, manufacture date and expiry agree. Preserve each GRN allocation separately.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one GRN line contain multiple lots?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Record quantity per lot through GRN-line lot allocations; do not create artificial GRN lines solely to represent cartons from different lots.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one lot contain multiple ownership classes?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Lot identity and ownership are separate dimensions; stock balance keys include InventoryLotId and OwnershipAccountId.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lot split, merge and repacking represented?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Use immutable parent-child lot genealogy for controlled split, repack, merge and production transformation. Never edit or silently merge original provenance.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LOT-6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incorrect posted lot attributes corrected?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Create a typed correction revision that preserves original and corrected values, actor, reason and affected quantities. Posted movement ancestry remains unchanged.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bl>
    <w:p>
      <w:pPr>
        <w:spacing w:before="120" w:after="60"/>
      </w:pPr>
      <w:r>
        <w:rPr>
          <w:b/>
        </w:rPr>
        <w:t xml:space="preserve">FULL-SCHEMA IMPLEMENTATION GAP - WAREHOUSE SITE FK</w:t>
      </w:r>
    </w:p>
    <w:p>
      <w:pPr>
        <w:spacing w:before="120" w:after="60"/>
      </w:pPr>
      <w:r>
        <w:t xml:space="preserve">The applied warehouses table has no CompanySiteId and still carries free-text Location. The coherent full-schema migration must add the CompanySiteId foreign key, migrate and validate site ownership, and retire free-text Location as a site identifier. Do not fix this in isolation.</w:t>
      </w:r>
    </w:p>
    <w:p>
      <w:pPr>
        <w:spacing w:after="0"/>
      </w:pPr>
    </w:p>
    <w:p>
      <w:r>
        <w:br w:type="page"/>
      </w:r>
    </w:p>
    <w:p>
      <w:pPr>
        <w:pStyle w:val="Heading2"/>
      </w:pPr>
      <w:r>
        <w:t>Questions P1-P7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module creates project and machine identity?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Project/Customer Order owns project; Production owns machine instances under it.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BOM revision states, approvers and effective dates?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Estimated/Offer BOM: Design/Engineering creates and TD approves before offer issue; submission freezes the revision. Production BOM: Production/Engineering prepares and TD approves before reservation/MIR linkage; MD is not required. Actual/As-Built BOM: system-generated from fitment and accepted-bill allocation, Production confirms and QC verifies. Revisions supersede; machines remain pinned unless explicitly migrated.</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different machines in one project use different approved BOM versions?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each machine instance pins its approved BOM revision.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When does issued material become consumption?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confirmed fitment, followed by Production/QC reconciliation—not issue.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is erroneous fitment corrected?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reversing fitment plus corrected fitment revision; Production initiates and QC re-verifies.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are shared materials allocated across machines?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explicit quantity/cost allocations from one issue origin to individual machine instances.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do subassembly inputs become output quantity and cost?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An immutable transformation batch records input lots/issues, good outputs, approved loss and recoverable scrap. Accepted-bill input and conversion cost flows to good output by approved quantity/weight/percentage allocation. Recoverable scrap remains a separate recovery until Finance realizes it and never masquerades as recovered cash.</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2</w:t>
            </w:r>
          </w:p>
        </w:tc>
      </w:tr>
    </w:tbl>
    <w:p>
      <w:pPr>
        <w:spacing w:after="0"/>
      </w:pPr>
    </w:p>
    <w:p>
      <w:r>
        <w:br w:type="page"/>
      </w:r>
    </w:p>
    <w:p>
      <w:pPr>
        <w:pStyle w:val="Heading2"/>
      </w:pPr>
      <w:r>
        <w:t>Questions P8-P10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evidence and approval does substitution require?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 different-item substitution records original and substitute Items, quantities, machine/BOM revision, reason and evidence. TD approves technical equivalence; normal Purchase approval governs spending. No second commercial BOM approval. Extra quantity of the same Item is governed separately.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P9</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happens on an excess-BOM request?</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Internal FACTORY_ASSEMBLY/PROJECT excess quantity remains allowed after MIR approval and emits a durable notification to Production Manager, Stores, TD and MD. Customer-facing SERVICE/SALE/WARRANTY/DEMO/FREE_OF_COST excess against a linked customer offer/PO is blocked until TD records one of the three commercial outcomes.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P10</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a project close with nonzero WIP?</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no unexplained WIP; only returned, fitted, transferred, scrapped, lost or reversed quantities may reconcile it to zero.</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bl>
    <w:p>
      <w:pPr>
        <w:spacing w:before="120" w:after="60"/>
      </w:pPr>
      <w:r>
        <w:rPr>
          <w:b/>
        </w:rPr>
        <w:t xml:space="preserve">Confirmed Project/BOM elaborations - Batch 2</w:t>
      </w:r>
    </w:p>
    <w:p>
      <w:pPr>
        <w:spacing w:before="120" w:after="60"/>
      </w:pPr>
      <w:r>
        <w:t xml:space="preserve">These rules elaborate P1-P10 and V5 without replacing the original 90-question index.</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the three BOM identities governed?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Estimated and Production BOMs are TD-approved; MD is not required. Actual BOM is generated from fitment and accepted-bill allocation, with Production confirmation and QC verification.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subassembly cost and recoverable scrap treated?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Immutable transformation with explicit inputs/outputs/loss. Recoverable scrap remains separate until Finance realizes it; it does not reduce historical Actual BOM cost in advance.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approves a different-item substitution?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TD approves technical equivalence. Normal Purchase matrix governs spending; no second commercial BOM approver. This does not apply to extra quantity of the same Item.</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physical and commercial closure occur separately?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Production may close physically while accepted-bill allocation remains pending; offer-versus-actual stays provisional until commercial cost closure.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Which variance baselines are preserved?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Operational variance compares to approved Production BOM; commercial variance compares to frozen offer BOM. Engineering revision never erases original offer underestimation.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B2-6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receives an internal BOM-overrun notification?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Production Manager, Stores, TD and MD. Do not notify Purchase or Accounts for routine quantity variance.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w:t>
            </w:r>
          </w:p>
        </w:tc>
      </w:tr>
    </w:tbl>
    <w:p>
      <w:pPr>
        <w:spacing w:after="0"/>
      </w:pPr>
    </w:p>
    <w:p>
      <w:r>
        <w:br w:type="page"/>
      </w:r>
    </w:p>
    <w:p>
      <w:pPr>
        <w:pStyle w:val="Heading2"/>
      </w:pPr>
      <w:r>
        <w:t>Questions S1-S6</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ERP own complaints, visits and job cards?</w:t>
            </w:r>
          </w:p>
        </w:tc>
        <w:tc>
          <w:tcPr>
            <w:tcW w:type="dxa" w:w="5688"/>
            <w:vAlign w:val="center"/>
            <w:tcMar>
              <w:top w:w="70" w:type="dxa"/>
              <w:start w:w="80" w:type="dxa"/>
              <w:bottom w:w="70" w:type="dxa"/>
              <w:end w:w="80" w:type="dxa"/>
            </w:tcMar>
          </w:tcPr>
          <w:p>
            <w:pPr>
              <w:spacing w:after="0" w:line="240" w:lineRule="auto"/>
            </w:pPr>
            <w:r>
              <w:t>ERP owns one Service Ticket parent for complaints received by PHONE, EMAIL, WHATSAPP, CUSTOMER_PORTAL, AMC_SCHEDULE or INTERNAL_ALERT. Visits, job cards, existing ERP Tasks, evidence and closure records are children of that ticket.</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is another-brand installed equipment identified?</w:t>
            </w:r>
          </w:p>
        </w:tc>
        <w:tc>
          <w:tcPr>
            <w:tcW w:type="dxa" w:w="5688"/>
            <w:vAlign w:val="center"/>
            <w:tcMar>
              <w:top w:w="70" w:type="dxa"/>
              <w:start w:w="80" w:type="dxa"/>
              <w:bottom w:w="70" w:type="dxa"/>
              <w:end w:w="80" w:type="dxa"/>
            </w:tcMar>
            <w:shd w:fill="EEF5F9"/>
          </w:tcPr>
          <w:p>
            <w:pPr>
              <w:spacing w:after="0" w:line="240" w:lineRule="auto"/>
            </w:pPr>
            <w:r>
              <w:t>Use one installed-machine register for SESS machines in warranty, out of warranty, AMC or CAMC and for other-brand machines. Other-brand machines have no SESS Job Order and no SESS warranty, but otherwise use the same customer/site/make/model/normalized-serial/service-history shape.</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warranty/AMC/CAMC/chargeable entitlements represented?</w:t>
            </w:r>
          </w:p>
        </w:tc>
        <w:tc>
          <w:tcPr>
            <w:tcW w:type="dxa" w:w="5688"/>
            <w:vAlign w:val="center"/>
            <w:tcMar>
              <w:top w:w="70" w:type="dxa"/>
              <w:start w:w="80" w:type="dxa"/>
              <w:bottom w:w="70" w:type="dxa"/>
              <w:end w:w="80" w:type="dxa"/>
            </w:tcMar>
          </w:tcPr>
          <w:p>
            <w:pPr>
              <w:spacing w:after="0" w:line="240" w:lineRule="auto"/>
            </w:pPr>
            <w:r>
              <w:t>Use effective-dated Warranty, AMC, CAMC and chargeable entitlement records on the one installed-machine identity, with a decision snapshot on each Service Ticket.</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service-spare uses are billable?</w:t>
            </w:r>
          </w:p>
        </w:tc>
        <w:tc>
          <w:tcPr>
            <w:tcW w:type="dxa" w:w="5688"/>
            <w:vAlign w:val="center"/>
            <w:tcMar>
              <w:top w:w="70" w:type="dxa"/>
              <w:start w:w="80" w:type="dxa"/>
              <w:bottom w:w="70" w:type="dxa"/>
              <w:end w:w="80" w:type="dxa"/>
            </w:tcMar>
            <w:shd w:fill="EEF5F9"/>
          </w:tcPr>
          <w:p>
            <w:pPr>
              <w:spacing w:after="0" w:line="240" w:lineRule="auto"/>
            </w:pPr>
            <w:r>
              <w:t>ERP displays the effective entitlement but a human decides. SERVICE_MANAGER approves Warranty, AMC and CAMC material. Any service material without a customer PO requires TECHNICAL_DIRECTOR approval before issue.</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owns removed parts and what is their default disposition?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Removed parts are customer property and must be returned to the customer. Any other disposition requires explicit recorded customer instruction on the service job; no contract or default assumption transfers ownership.</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Must old-to-new serial ancestry be permanent?</w:t>
            </w:r>
          </w:p>
        </w:tc>
        <w:tc>
          <w:tcPr>
            <w:tcW w:type="dxa" w:w="5688"/>
            <w:vAlign w:val="center"/>
            <w:tcMar>
              <w:top w:w="70" w:type="dxa"/>
              <w:start w:w="80" w:type="dxa"/>
              <w:bottom w:w="70" w:type="dxa"/>
              <w:end w:w="80" w:type="dxa"/>
            </w:tcMar>
            <w:shd w:fill="EEF5F9"/>
          </w:tcPr>
          <w:p>
            <w:pPr>
              <w:spacing w:after="0" w:line="240" w:lineRule="auto"/>
            </w:pPr>
            <w:r>
              <w:t>Yes. Preserve immutable old-part to replacement-part serial ancestry for the full installed-machine life.</w:t>
            </w:r>
          </w:p>
        </w:tc>
        <w:tc>
          <w:tcPr>
            <w:tcW w:type="dxa" w:w="936"/>
            <w:vAlign w:val="center"/>
            <w:tcMar>
              <w:top w:w="70" w:type="dxa"/>
              <w:start w:w="80" w:type="dxa"/>
              <w:bottom w:w="70" w:type="dxa"/>
              <w:end w:w="80" w:type="dxa"/>
            </w:tcMar>
            <w:shd w:fill="E2F0D9"/>
          </w:tcPr>
          <w:p>
            <w:pPr>
              <w:spacing w:after="0" w:line="240" w:lineRule="auto"/>
            </w:pPr>
            <w:r>
              <w:t>FROZEN - BATCH 6</w:t>
            </w:r>
          </w:p>
        </w:tc>
      </w:tr>
    </w:tbl>
    <w:p>
      <w:pPr>
        <w:spacing w:after="0"/>
      </w:pPr>
    </w:p>
    <w:p>
      <w:r>
        <w:br w:type="page"/>
      </w:r>
    </w:p>
    <w:p>
      <w:pPr>
        <w:pStyle w:val="Heading2"/>
      </w:pPr>
      <w:r>
        <w:t>Questions C1-C7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One register or separate customer-property and returnable registers?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common custody/movement core with typed customer-property and returnable cases.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accessories need individual identity and condition?</w:t>
            </w:r>
          </w:p>
        </w:tc>
        <w:tc>
          <w:tcPr>
            <w:tcW w:type="dxa" w:w="5688"/>
            <w:vAlign w:val="center"/>
            <w:tcMar>
              <w:top w:w="70" w:type="dxa"/>
              <w:start w:w="80" w:type="dxa"/>
              <w:bottom w:w="70" w:type="dxa"/>
              <w:end w:w="80" w:type="dxa"/>
            </w:tcMar>
            <w:shd w:fill="EEF5F9"/>
          </w:tcPr>
          <w:p>
            <w:pPr>
              <w:spacing w:after="0" w:line="240" w:lineRule="auto"/>
            </w:pPr>
            <w:r>
              <w:t>Record accessories as list lines with description, quantity, condition and photo evidence. Accessories are not individually serialized.</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proves customer receipt/return?</w:t>
            </w:r>
          </w:p>
        </w:tc>
        <w:tc>
          <w:tcPr>
            <w:tcW w:type="dxa" w:w="5688"/>
            <w:vAlign w:val="center"/>
            <w:tcMar>
              <w:top w:w="70" w:type="dxa"/>
              <w:start w:w="80" w:type="dxa"/>
              <w:bottom w:w="70" w:type="dxa"/>
              <w:end w:w="80" w:type="dxa"/>
            </w:tcMar>
          </w:tcPr>
          <w:p>
            <w:pPr>
              <w:spacing w:after="0" w:line="240" w:lineRule="auto"/>
            </w:pPr>
            <w:r>
              <w:t>Named recipient, timestamp, signature or OTP/POD and immutable attachment hash prove receipt and return.</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due-date extensions and by what thresholds?</w:t>
            </w:r>
          </w:p>
        </w:tc>
        <w:tc>
          <w:tcPr>
            <w:tcW w:type="dxa" w:w="5688"/>
            <w:vAlign w:val="center"/>
            <w:tcMar>
              <w:top w:w="70" w:type="dxa"/>
              <w:start w:w="80" w:type="dxa"/>
              <w:bottom w:w="70" w:type="dxa"/>
              <w:end w:w="80" w:type="dxa"/>
            </w:tcMar>
            <w:shd w:fill="EEF5F9"/>
          </w:tcPr>
          <w:p>
            <w:pPr>
              <w:spacing w:after="0" w:line="240" w:lineRule="auto"/>
            </w:pPr>
            <w:r>
              <w:t>Every due-date extension requires TECHNICAL_DIRECTOR approval. Preserve the original due date, revised date, reason, evidence, actor and customer notification; never overwrite the original.</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loss/write-off close a returnable?</w:t>
            </w:r>
          </w:p>
        </w:tc>
        <w:tc>
          <w:tcPr>
            <w:tcW w:type="dxa" w:w="5688"/>
            <w:vAlign w:val="center"/>
            <w:tcMar>
              <w:top w:w="70" w:type="dxa"/>
              <w:start w:w="80" w:type="dxa"/>
              <w:bottom w:w="70" w:type="dxa"/>
              <w:end w:w="80" w:type="dxa"/>
            </w:tcMar>
          </w:tcPr>
          <w:p>
            <w:pPr>
              <w:spacing w:after="0" w:line="240" w:lineRule="auto"/>
            </w:pPr>
            <w:r>
              <w:t>A returnable closes only through an approved typed loss/write-off or another fully reconciled disposition. No force-close exists.</w:t>
            </w:r>
          </w:p>
        </w:tc>
        <w:tc>
          <w:tcPr>
            <w:tcW w:type="dxa" w:w="936"/>
            <w:vAlign w:val="center"/>
            <w:tcMar>
              <w:top w:w="70" w:type="dxa"/>
              <w:start w:w="80" w:type="dxa"/>
              <w:bottom w:w="70" w:type="dxa"/>
              <w:end w:w="80" w:type="dxa"/>
            </w:tcMar>
            <w:shd w:fill="E2F0D9"/>
          </w:tcPr>
          <w:p>
            <w:pPr>
              <w:spacing w:after="0" w:line="240" w:lineRule="auto"/>
            </w:pPr>
            <w:r>
              <w:t>FROZEN - DECISION 7</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customer property move between sites or engineers?</w:t>
            </w:r>
          </w:p>
        </w:tc>
        <w:tc>
          <w:tcPr>
            <w:tcW w:type="dxa" w:w="5688"/>
            <w:vAlign w:val="center"/>
            <w:tcMar>
              <w:top w:w="70" w:type="dxa"/>
              <w:start w:w="80" w:type="dxa"/>
              <w:bottom w:w="70" w:type="dxa"/>
              <w:end w:w="80" w:type="dxa"/>
            </w:tcMar>
            <w:shd w:fill="EEF5F9"/>
          </w:tcPr>
          <w:p>
            <w:pPr>
              <w:spacing w:after="0" w:line="240" w:lineRule="auto"/>
            </w:pPr>
            <w:r>
              <w:t>Yes. Every site/engineer transfer is an immutable handover with sender and receiver acknowledgement.</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inbound demo equipment inventory, custody property or fixed asset?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Inbound demo equipment is custody property and must return to its owner. Possession never capitalizes it. Capitalization requires a separate explicit Accounts transaction.</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1</w:t>
            </w:r>
          </w:p>
        </w:tc>
      </w:tr>
    </w:tbl>
    <w:p>
      <w:pPr>
        <w:spacing w:after="0"/>
      </w:pPr>
    </w:p>
    <w:p>
      <w:r>
        <w:br w:type="page"/>
      </w:r>
    </w:p>
    <w:p>
      <w:pPr>
        <w:pStyle w:val="Heading2"/>
      </w:pPr>
      <w:r>
        <w:t>Questions T1-T7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every tool an Item plus serialized asset extension?</w:t>
            </w:r>
          </w:p>
        </w:tc>
        <w:tc>
          <w:tcPr>
            <w:tcW w:type="dxa" w:w="5688"/>
            <w:vAlign w:val="center"/>
            <w:tcMar>
              <w:top w:w="70" w:type="dxa"/>
              <w:start w:w="80" w:type="dxa"/>
              <w:bottom w:w="70" w:type="dxa"/>
              <w:end w:w="80" w:type="dxa"/>
            </w:tcMar>
          </w:tcPr>
          <w:p>
            <w:pPr>
              <w:spacing w:after="0" w:line="240" w:lineRule="auto"/>
            </w:pPr>
            <w:r>
              <w:t>Yes. Every tool is an Item plus an individually identified asset; no value threshold permits anonymous quantity stock.</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tools are individual assets versus quantity stock?</w:t>
            </w:r>
          </w:p>
        </w:tc>
        <w:tc>
          <w:tcPr>
            <w:tcW w:type="dxa" w:w="5688"/>
            <w:vAlign w:val="center"/>
            <w:tcMar>
              <w:top w:w="70" w:type="dxa"/>
              <w:start w:w="80" w:type="dxa"/>
              <w:bottom w:w="70" w:type="dxa"/>
              <w:end w:w="80" w:type="dxa"/>
            </w:tcMar>
            <w:shd w:fill="EEF5F9"/>
          </w:tcPr>
          <w:p>
            <w:pPr>
              <w:spacing w:after="0" w:line="240" w:lineRule="auto"/>
            </w:pPr>
            <w:r>
              <w:t>Every tool is an individual asset, including ordinary hand tools. Consumables remain quantity stock only when they are not tools.</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kit membership fixed or effective-dated?</w:t>
            </w:r>
          </w:p>
        </w:tc>
        <w:tc>
          <w:tcPr>
            <w:tcW w:type="dxa" w:w="5688"/>
            <w:vAlign w:val="center"/>
            <w:tcMar>
              <w:top w:w="70" w:type="dxa"/>
              <w:start w:w="80" w:type="dxa"/>
              <w:bottom w:w="70" w:type="dxa"/>
              <w:end w:w="80" w:type="dxa"/>
            </w:tcMar>
          </w:tcPr>
          <w:p>
            <w:pPr>
              <w:spacing w:after="0" w:line="240" w:lineRule="auto"/>
            </w:pPr>
            <w:r>
              <w:t>Kit membership is effective-dated so historical issues retain the membership snapshot that applied at issue time.</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permanent and temporary custody?</w:t>
            </w:r>
          </w:p>
        </w:tc>
        <w:tc>
          <w:tcPr>
            <w:tcW w:type="dxa" w:w="5688"/>
            <w:vAlign w:val="center"/>
            <w:tcMar>
              <w:top w:w="70" w:type="dxa"/>
              <w:start w:w="80" w:type="dxa"/>
              <w:bottom w:w="70" w:type="dxa"/>
              <w:end w:w="80" w:type="dxa"/>
            </w:tcMar>
            <w:shd w:fill="EEF5F9"/>
          </w:tcPr>
          <w:p>
            <w:pPr>
              <w:spacing w:after="0" w:line="240" w:lineRule="auto"/>
            </w:pPr>
            <w:r>
              <w:t>Department manager approves temporary custody; STORES_MANAGER approves routine renewal; TECHNICAL_DIRECTOR approves permanent assignment and high-risk custody.</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temporary due dates dates, timestamps or class defaults?</w:t>
            </w:r>
          </w:p>
        </w:tc>
        <w:tc>
          <w:tcPr>
            <w:tcW w:type="dxa" w:w="5688"/>
            <w:vAlign w:val="center"/>
            <w:tcMar>
              <w:top w:w="70" w:type="dxa"/>
              <w:start w:w="80" w:type="dxa"/>
              <w:bottom w:w="70" w:type="dxa"/>
              <w:end w:w="80" w:type="dxa"/>
            </w:tcMar>
          </w:tcPr>
          <w:p>
            <w:pPr>
              <w:spacing w:after="0" w:line="240" w:lineRule="auto"/>
            </w:pPr>
            <w:r>
              <w:t>The issuer enters a duration in DAYS at issue time. Store the entered days, issue timestamp and derived due timestamp on the immutable custody transaction.</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defines calibration intervals and provider authority?</w:t>
            </w:r>
          </w:p>
        </w:tc>
        <w:tc>
          <w:tcPr>
            <w:tcW w:type="dxa" w:w="5688"/>
            <w:vAlign w:val="center"/>
            <w:tcMar>
              <w:top w:w="70" w:type="dxa"/>
              <w:start w:w="80" w:type="dxa"/>
              <w:bottom w:w="70" w:type="dxa"/>
              <w:end w:w="80" w:type="dxa"/>
            </w:tcMar>
            <w:shd w:fill="EEF5F9"/>
          </w:tcPr>
          <w:p>
            <w:pPr>
              <w:spacing w:after="0" w:line="240" w:lineRule="auto"/>
            </w:pPr>
            <w:r>
              <w:t>Internal master instruments use a one-year calibration interval. Calibration providers are mastered; the initial provider is Sansel Calibration Laboratories LLP, Maduravoyal, Chennai. Proposed governance: QC_MANAGER prepares interval/provider changes and TECHNICAL_DIRECTOR approves them.</w:t>
            </w:r>
          </w:p>
        </w:tc>
        <w:tc>
          <w:tcPr>
            <w:tcW w:type="dxa" w:w="936"/>
            <w:vAlign w:val="center"/>
            <w:tcMar>
              <w:top w:w="70" w:type="dxa"/>
              <w:start w:w="80" w:type="dxa"/>
              <w:bottom w:w="70" w:type="dxa"/>
              <w:end w:w="80" w:type="dxa"/>
            </w:tcMar>
            <w:shd w:fill="FFF2CC"/>
          </w:tcPr>
          <w:p>
            <w:pPr>
              <w:spacing w:after="0" w:line="240" w:lineRule="auto"/>
            </w:pPr>
            <w:r>
              <w:t>PARTLY FROZEN; GOVERNANCE 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expired calibration absolutely block issue/use?</w:t>
            </w:r>
          </w:p>
        </w:tc>
        <w:tc>
          <w:tcPr>
            <w:tcW w:type="dxa" w:w="5688"/>
            <w:vAlign w:val="center"/>
            <w:tcMar>
              <w:top w:w="70" w:type="dxa"/>
              <w:start w:w="80" w:type="dxa"/>
              <w:bottom w:w="70" w:type="dxa"/>
              <w:end w:w="80" w:type="dxa"/>
            </w:tcMar>
          </w:tcPr>
          <w:p>
            <w:pPr>
              <w:spacing w:after="0" w:line="240" w:lineRule="auto"/>
            </w:pPr>
            <w:r>
              <w:t>Expired calibration warns but does not block issue. Every issue while expired records the warning, issuer, custodian, instrument, certificate expiry and reason.</w:t>
            </w:r>
          </w:p>
        </w:tc>
        <w:tc>
          <w:tcPr>
            <w:tcW w:type="dxa" w:w="936"/>
            <w:vAlign w:val="center"/>
            <w:tcMar>
              <w:top w:w="70" w:type="dxa"/>
              <w:start w:w="80" w:type="dxa"/>
              <w:bottom w:w="70" w:type="dxa"/>
              <w:end w:w="80" w:type="dxa"/>
            </w:tcMar>
            <w:shd w:fill="E2F0D9"/>
          </w:tcPr>
          <w:p>
            <w:pPr>
              <w:spacing w:after="0" w:line="240" w:lineRule="auto"/>
            </w:pPr>
            <w:r>
              <w:t>FROZEN - BATCH 6</w:t>
            </w:r>
          </w:p>
        </w:tc>
      </w:tr>
    </w:tbl>
    <w:p>
      <w:pPr>
        <w:spacing w:after="0"/>
      </w:pPr>
    </w:p>
    <w:p>
      <w:r>
        <w:br w:type="page"/>
      </w:r>
    </w:p>
    <w:p>
      <w:pPr>
        <w:pStyle w:val="Heading2"/>
      </w:pPr>
      <w:r>
        <w:t>Questions T8-T8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loss, damage and employee recovery settled?</w:t>
            </w:r>
          </w:p>
        </w:tc>
        <w:tc>
          <w:tcPr>
            <w:tcW w:type="dxa" w:w="5688"/>
            <w:vAlign w:val="center"/>
            <w:tcMar>
              <w:top w:w="70" w:type="dxa"/>
              <w:start w:w="80" w:type="dxa"/>
              <w:bottom w:w="70" w:type="dxa"/>
              <w:end w:w="80" w:type="dxa"/>
            </w:tcMar>
          </w:tcPr>
          <w:p>
            <w:pPr>
              <w:spacing w:after="0" w:line="240" w:lineRule="auto"/>
            </w:pPr>
            <w:r>
              <w:t>Stores records the incident and custody; technical owner assesses; TECHNICAL_DIRECTOR approves write-off; HR/Finance decides employee recovery with notice and evidence.</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bl>
    <w:p>
      <w:pPr>
        <w:spacing w:after="0"/>
      </w:pPr>
    </w:p>
    <w:p>
      <w:r>
        <w:br w:type="page"/>
      </w:r>
    </w:p>
    <w:p>
      <w:pPr>
        <w:pStyle w:val="Heading2"/>
      </w:pPr>
      <w:r>
        <w:t>Questions J1-J7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jobwork inputs reconciled to outputs?</w:t>
            </w:r>
          </w:p>
        </w:tc>
        <w:tc>
          <w:tcPr>
            <w:tcW w:type="dxa" w:w="5688"/>
            <w:vAlign w:val="center"/>
            <w:tcMar>
              <w:top w:w="70" w:type="dxa"/>
              <w:start w:w="80" w:type="dxa"/>
              <w:bottom w:w="70" w:type="dxa"/>
              <w:end w:w="80" w:type="dxa"/>
            </w:tcMar>
          </w:tcPr>
          <w:p>
            <w:pPr>
              <w:spacing w:after="0" w:line="240" w:lineRule="auto"/>
            </w:pPr>
            <w:r>
              <w:t>Configure input-output equivalence by process, Item, UOM and weight; each immutable batch reconciles returned output, accepted process loss, recoverable scrap and remaining input.</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scrap or weight tolerance is allowed?</w:t>
            </w:r>
          </w:p>
        </w:tc>
        <w:tc>
          <w:tcPr>
            <w:tcW w:type="dxa" w:w="5688"/>
            <w:vAlign w:val="center"/>
            <w:tcMar>
              <w:top w:w="70" w:type="dxa"/>
              <w:start w:w="80" w:type="dxa"/>
              <w:bottom w:w="70" w:type="dxa"/>
              <w:end w:w="80" w:type="dxa"/>
            </w:tcMar>
            <w:shd w:fill="EEF5F9"/>
          </w:tcPr>
          <w:p>
            <w:pPr>
              <w:spacing w:after="0" w:line="240" w:lineRule="auto"/>
            </w:pPr>
            <w:r>
              <w:t>Tolerance is effective-dated per process, not one company figure (for example, powder coating about 5% and CNC about 10%). TD, MD or IT_MANAGER may configure it with full history. Within tolerance auto-accepts with scrap recorded. Outside tolerance requires vendor explanation and approval before closure; proposed approver is TECHNICAL_DIRECTOR, with MANAGING_DIRECTOR concurrence above the normal high-value band.</w:t>
            </w:r>
          </w:p>
        </w:tc>
        <w:tc>
          <w:tcPr>
            <w:tcW w:type="dxa" w:w="936"/>
            <w:vAlign w:val="center"/>
            <w:tcMar>
              <w:top w:w="70" w:type="dxa"/>
              <w:start w:w="80" w:type="dxa"/>
              <w:bottom w:w="70" w:type="dxa"/>
              <w:end w:w="80" w:type="dxa"/>
            </w:tcMar>
            <w:shd w:fill="FFF2CC"/>
          </w:tcPr>
          <w:p>
            <w:pPr>
              <w:spacing w:after="0" w:line="240" w:lineRule="auto"/>
            </w:pPr>
            <w:r>
              <w:t>PARTLY FROZEN; EXCESS-LOSS APPROVER 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subcontract PO/bill costs allocated?</w:t>
            </w:r>
          </w:p>
        </w:tc>
        <w:tc>
          <w:tcPr>
            <w:tcW w:type="dxa" w:w="5688"/>
            <w:vAlign w:val="center"/>
            <w:tcMar>
              <w:top w:w="70" w:type="dxa"/>
              <w:start w:w="80" w:type="dxa"/>
              <w:bottom w:w="70" w:type="dxa"/>
              <w:end w:w="80" w:type="dxa"/>
            </w:tcMar>
          </w:tcPr>
          <w:p>
            <w:pPr>
              <w:spacing w:after="0" w:line="240" w:lineRule="auto"/>
            </w:pPr>
            <w:r>
              <w:t>Allocate accepted subcontract bill cost to returned outputs/projects using explicit quantities or an approved allocation basis. Actual BOM takes the accepted-bill allocation.</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jobwork output be partially accepted and partially returned?</w:t>
            </w:r>
          </w:p>
        </w:tc>
        <w:tc>
          <w:tcPr>
            <w:tcW w:type="dxa" w:w="5688"/>
            <w:vAlign w:val="center"/>
            <w:tcMar>
              <w:top w:w="70" w:type="dxa"/>
              <w:start w:w="80" w:type="dxa"/>
              <w:bottom w:w="70" w:type="dxa"/>
              <w:end w:w="80" w:type="dxa"/>
            </w:tcMar>
            <w:shd w:fill="EEF5F9"/>
          </w:tcPr>
          <w:p>
            <w:pPr>
              <w:spacing w:after="0" w:line="240" w:lineRule="auto"/>
            </w:pPr>
            <w:r>
              <w:t>Allow partial acceptance and partial return by exact output quantity/lot/serial, while leaving the unresolved input balance open.</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RMA resolutions exist?</w:t>
            </w:r>
          </w:p>
        </w:tc>
        <w:tc>
          <w:tcPr>
            <w:tcW w:type="dxa" w:w="5688"/>
            <w:vAlign w:val="center"/>
            <w:tcMar>
              <w:top w:w="70" w:type="dxa"/>
              <w:start w:w="80" w:type="dxa"/>
              <w:bottom w:w="70" w:type="dxa"/>
              <w:end w:w="80" w:type="dxa"/>
            </w:tcMar>
          </w:tcPr>
          <w:p>
            <w:pPr>
              <w:spacing w:after="0" w:line="240" w:lineRule="auto"/>
            </w:pPr>
            <w:r>
              <w:t>Use typed RMA terminal resolutions: REPAIR, REPLACEMENT, CREDIT_REFUND, RETURN_AS_IS and APPROVED_WRITE_OFF.</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is the payment-hold lifecycle?</w:t>
            </w:r>
          </w:p>
        </w:tc>
        <w:tc>
          <w:tcPr>
            <w:tcW w:type="dxa" w:w="5688"/>
            <w:vAlign w:val="center"/>
            <w:tcMar>
              <w:top w:w="70" w:type="dxa"/>
              <w:start w:w="80" w:type="dxa"/>
              <w:bottom w:w="70" w:type="dxa"/>
              <w:end w:w="80" w:type="dxa"/>
            </w:tcMar>
            <w:shd w:fill="EEF5F9"/>
          </w:tcPr>
          <w:p>
            <w:pPr>
              <w:spacing w:after="0" w:line="240" w:lineRule="auto"/>
            </w:pPr>
            <w:r>
              <w:t>Hold the affected invoice line by default; hold the full invoice only for a legal, tax or payment dependency. Accounts releases with evidence and immutable history.</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approves vendor-return dispatch?</w:t>
            </w:r>
          </w:p>
        </w:tc>
        <w:tc>
          <w:tcPr>
            <w:tcW w:type="dxa" w:w="5688"/>
            <w:vAlign w:val="center"/>
            <w:tcMar>
              <w:top w:w="70" w:type="dxa"/>
              <w:start w:w="80" w:type="dxa"/>
              <w:bottom w:w="70" w:type="dxa"/>
              <w:end w:w="80" w:type="dxa"/>
            </w:tcMar>
          </w:tcPr>
          <w:p>
            <w:pPr>
              <w:spacing w:after="0" w:line="240" w:lineRule="auto"/>
            </w:pPr>
            <w:r>
              <w:t>Stores prepares vendor-return dispatch; the requesting/owning department approves. Proposed escalation: TECHNICAL_DIRECTOR approval for serialized, safety-critical, concession-related or no-credit returns.</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Questions X1-X7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One-step transfer or dispatch/in-transit/receipt?</w:t>
            </w:r>
          </w:p>
        </w:tc>
        <w:tc>
          <w:tcPr>
            <w:tcW w:type="dxa" w:w="5688"/>
            <w:vAlign w:val="center"/>
            <w:tcMar>
              <w:top w:w="70" w:type="dxa"/>
              <w:start w:w="80" w:type="dxa"/>
              <w:bottom w:w="70" w:type="dxa"/>
              <w:end w:w="80" w:type="dxa"/>
            </w:tcMar>
          </w:tcPr>
          <w:p>
            <w:pPr>
              <w:spacing w:after="0" w:line="240" w:lineRule="auto"/>
            </w:pPr>
            <w:r>
              <w:t>Use dispatch, in-transit and receiving acceptance. Intercompany movement additionally requires the receiving company normal PR/approval/PO before dispatch and completes through its GRN/QC flow.</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Are partial receipts and transfer differences allowed?</w:t>
            </w:r>
          </w:p>
        </w:tc>
        <w:tc>
          <w:tcPr>
            <w:tcW w:type="dxa" w:w="5688"/>
            <w:vAlign w:val="center"/>
            <w:tcMar>
              <w:top w:w="70" w:type="dxa"/>
              <w:start w:w="80" w:type="dxa"/>
              <w:bottom w:w="70" w:type="dxa"/>
              <w:end w:w="80" w:type="dxa"/>
            </w:tcMar>
            <w:shd w:fill="EEF5F9"/>
          </w:tcPr>
          <w:p>
            <w:pPr>
              <w:spacing w:after="0" w:line="240" w:lineRule="auto"/>
            </w:pPr>
            <w:r>
              <w:t>Partial receipt is allowed only within the receiving PO remaining quantity. Differences enter discrepancy investigation and block transfer closure; over-receipt remains refused.</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owns and values stock in transit?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issuing company retains ownership/carrying value until destination accepts it.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intercompany routes are permitted?</w:t>
            </w:r>
          </w:p>
        </w:tc>
        <w:tc>
          <w:tcPr>
            <w:tcW w:type="dxa" w:w="5688"/>
            <w:vAlign w:val="center"/>
            <w:tcMar>
              <w:top w:w="70" w:type="dxa"/>
              <w:start w:w="80" w:type="dxa"/>
              <w:bottom w:w="70" w:type="dxa"/>
              <w:end w:w="80" w:type="dxa"/>
            </w:tcMar>
            <w:shd w:fill="EEF5F9"/>
          </w:tcPr>
          <w:p>
            <w:pPr>
              <w:spacing w:after="0" w:line="240" w:lineRule="auto"/>
            </w:pPr>
            <w:r>
              <w:t>The two SESS companies may transact only as a real sale through approved company/site/warehouse routes. The receiving company uses the normal PR, purchase approval matrix and PO naming the other SESS company as vendor. No PO means no movement.</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Finance documents accompany intercompany movement?</w:t>
            </w:r>
          </w:p>
        </w:tc>
        <w:tc>
          <w:tcPr>
            <w:tcW w:type="dxa" w:w="5688"/>
            <w:vAlign w:val="center"/>
            <w:tcMar>
              <w:top w:w="70" w:type="dxa"/>
              <w:start w:w="80" w:type="dxa"/>
              <w:bottom w:w="70" w:type="dxa"/>
              <w:end w:w="80" w:type="dxa"/>
            </w:tcMar>
          </w:tcPr>
          <w:p>
            <w:pPr>
              <w:spacing w:after="0" w:line="240" w:lineRule="auto"/>
            </w:pPr>
            <w:r>
              <w:t>A GST invoice is mandatory. E-way bill evidence is mandatory when legally applicable. Preserve the receiving PR/PO, issuing sale/dispatch, receiving GRN/QC and accepted-bill allocation as two company-scoped ledgers linked by one reconciliation identity.</w:t>
            </w:r>
          </w:p>
        </w:tc>
        <w:tc>
          <w:tcPr>
            <w:tcW w:type="dxa" w:w="936"/>
            <w:vAlign w:val="center"/>
            <w:tcMar>
              <w:top w:w="70" w:type="dxa"/>
              <w:start w:w="80" w:type="dxa"/>
              <w:bottom w:w="70" w:type="dxa"/>
              <w:end w:w="80" w:type="dxa"/>
            </w:tcMar>
            <w:shd w:fill="FFF2CC"/>
          </w:tcPr>
          <w:p>
            <w:pPr>
              <w:spacing w:after="0" w:line="240" w:lineRule="auto"/>
            </w:pPr>
            <w:r>
              <w:t>FROZEN - BATCH 6</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creates the receiving-company inward record?</w:t>
            </w:r>
          </w:p>
        </w:tc>
        <w:tc>
          <w:tcPr>
            <w:tcW w:type="dxa" w:w="5688"/>
            <w:vAlign w:val="center"/>
            <w:tcMar>
              <w:top w:w="70" w:type="dxa"/>
              <w:start w:w="80" w:type="dxa"/>
              <w:bottom w:w="70" w:type="dxa"/>
              <w:end w:w="80" w:type="dxa"/>
            </w:tcMar>
            <w:shd w:fill="EEF5F9"/>
          </w:tcPr>
          <w:p>
            <w:pPr>
              <w:spacing w:after="0" w:line="240" w:lineRule="auto"/>
            </w:pPr>
            <w:r>
              <w:t>The destination storekeeper creates the normal company-scoped GRN against the receiving company PO; there is no privileged cross-company inward shortcut.</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both sides reconciled without broad cross-company visibility?</w:t>
            </w:r>
          </w:p>
        </w:tc>
        <w:tc>
          <w:tcPr>
            <w:tcW w:type="dxa" w:w="5688"/>
            <w:vAlign w:val="center"/>
            <w:tcMar>
              <w:top w:w="70" w:type="dxa"/>
              <w:start w:w="80" w:type="dxa"/>
              <w:bottom w:w="70" w:type="dxa"/>
              <w:end w:w="80" w:type="dxa"/>
            </w:tcMar>
          </w:tcPr>
          <w:p>
            <w:pPr>
              <w:spacing w:after="0" w:line="240" w:lineRule="auto"/>
            </w:pPr>
            <w:r>
              <w:t>Both company ledgers remain separate and complete. Ordinary users see only their company. A privileged reconciliation projection follows the immutable intercompany correlation without granting cross-company mutation.</w:t>
            </w:r>
          </w:p>
        </w:tc>
        <w:tc>
          <w:tcPr>
            <w:tcW w:type="dxa" w:w="936"/>
            <w:vAlign w:val="center"/>
            <w:tcMar>
              <w:top w:w="70" w:type="dxa"/>
              <w:start w:w="80" w:type="dxa"/>
              <w:bottom w:w="70" w:type="dxa"/>
              <w:end w:w="80" w:type="dxa"/>
            </w:tcMar>
            <w:shd w:fill="E2F0D9"/>
          </w:tcPr>
          <w:p>
            <w:pPr>
              <w:spacing w:after="0" w:line="240" w:lineRule="auto"/>
            </w:pPr>
            <w:r>
              <w:t>FROZEN - BATCH 6</w:t>
            </w:r>
          </w:p>
        </w:tc>
      </w:tr>
    </w:tbl>
    <w:p>
      <w:pPr>
        <w:spacing w:after="0"/>
      </w:pPr>
    </w:p>
    <w:p>
      <w:r>
        <w:br w:type="page"/>
      </w:r>
    </w:p>
    <w:p>
      <w:pPr>
        <w:pStyle w:val="Heading2"/>
      </w:pPr>
      <w:r>
        <w:t>Questions G1-G7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QC hold a decision or custody state?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QC_HOLD is pending custody, not a terminal inspection decision.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DECISION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over-receipt permitted?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No received excess; record and segregate physical excess for return until PO revision.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DECISION 2</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duplicate stored serials exist?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Normalized stored serial identity must be unique at finalization.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1</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items require batch/manufacture/expiry data?</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Batch, manufacture and expiry requirements come from an effective Item-and-company lot/QC policy using the frozen lot model.</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inspector NARREN/fallback or effective QC role?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Resolve effective QC_MANAGER employee and record actual inspector; retain recorded fallback.</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DECISION 9</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returns require QC?</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QC is mandatory for powder-coating, CNC, milling and lathe returns; vendor replacements; serialized or safety-critical Items; Items required by effective company policy; and customer/service returns that may re-enter SESS AVAILABLE stock. Customer property returning only for delivery to its owner receives custody/condition verification, not SESS inventory QC.</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Where do rejected returns go?</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Rejected quantity remains in PENDING_RETURNABLE_DC until governed return, replacement, repair, scrap or an approved TD use-as-is concession moves the exact authorized provenance quantity.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bl>
    <w:p>
      <w:pPr>
        <w:spacing w:before="120" w:after="60"/>
      </w:pPr>
      <w:r>
        <w:rPr>
          <w:b/>
        </w:rPr>
        <w:t xml:space="preserve">Confirmed GRN/QC elaborations - Batch 3</w:t>
      </w:r>
    </w:p>
    <w:p>
      <w:pPr>
        <w:spacing w:before="120" w:after="60"/>
      </w:pPr>
      <w:r>
        <w:t xml:space="preserve">These rules elaborate G1-G7 without replacing the original 90-question index.</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Which returns require QC?</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Use the exact G6 matrix. Returns that may re-enter SESS AVAILABLE stock require policy-driven QC; customer property returning only to its owner remains custody property.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What is the QC scope when one GRN line contains multiple lots?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QC is per GRN-line lot allocation. Each lot has independent samples, revisions and disposition; serialized Items also retain exact per-serial disposition.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governs company-specific QC policy?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QC_MANAGER prepares; TECHNICAL_DIRECTOR approves. Policy is effective-dated and snapshotted on receipts.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What happens when no effective QC policy exists?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Fail closed to QC_HOLD. Absence never implies exemption. Direct AVAILABLE receipt requires an explicit effective QC_EXEMPT policy.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Is use-as-is concession allowed?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only after recorded QC rejection and only with direct TECHNICAL_DIRECTOR approval. No delegation or fallback. Exact quantity, lot allocation and serials plus failed parameter, measured value, technical reason and intended use are mandatory. Approval is immutable; correction is reversal and re-decision.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B3-6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inspection shortfall classified?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Enter DISCREPANCY_PENDING first. Resolve it as found material, corrected receipt, rejected/lost quantity or another typed outcome. Physical shortage must not corrupt vendor quality data.</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3</w:t>
            </w:r>
          </w:p>
        </w:tc>
      </w:tr>
    </w:tbl>
    <w:p>
      <w:pPr>
        <w:spacing w:before="120" w:after="60"/>
      </w:pPr>
      <w:r>
        <w:rPr>
          <w:b/>
        </w:rPr>
        <w:t xml:space="preserve">FULL-SCHEMA IMPLEMENTATION GAPS - QC LOT SCOPE, DISCREPANCY AND PROVENANCE</w:t>
      </w:r>
    </w:p>
    <w:p>
      <w:pPr>
        <w:spacing w:before="120" w:after="60"/>
      </w:pPr>
      <w:r>
        <w:t xml:space="preserve">The applied QC identity is GRN-line scoped, the current shortfall field classifies shortage as rejected, and stock movements have no lot-allocation/concession provenance identity. The coherent full-schema migration must refine QC to lot-allocation scope, introduce DISCREPANCY_PENDING, and add movement-carried provenance. Do not patch these independently.</w:t>
      </w:r>
    </w:p>
    <w:p>
      <w:pPr>
        <w:spacing w:after="0"/>
      </w:pPr>
    </w:p>
    <w:p>
      <w:r>
        <w:br w:type="page"/>
      </w:r>
    </w:p>
    <w:p>
      <w:pPr>
        <w:pStyle w:val="Heading2"/>
      </w:pPr>
      <w:r>
        <w:t>Questions E1-E7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stock ever become negative?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Negative stock is never permitted.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physical issue precede MIR approval?</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Physical issue and controlled posting require an approved MIR. Urgency uses the fast approval route and never bypasses approval.</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adjustment types exist?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Only OPENING, COUNT_VARIANCE, DAMAGE, SCRAP, LOSS_WRITE_OFF and CORRECTION_REVERSAL adjustments exist. A generic or unexplained adjustment is forbidden.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approval matrix applies to adjustments?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Approval uses the existing value bands: below 5,000 STORES_MANAGER; 5,000 through 100,000 TECHNICAL_DIRECTOR; above 100,000 MANAGING_DIRECTOR. Serialized identity adjustment at any value requires TECHNICAL_DIRECTOR. Damage or loss write-off requires TECHNICAL_DIRECTOR with ACCOUNTS_MANAGER concurrence. The already-frozen SCRAP write-off route is a specific case requiring TECHNICAL_DIRECTOR and MANAGING_DIRECTOR approval. The recorder or counter cannot approve. Reversal requires at least the authority of the original transaction.</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may backdate, and how far?</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Effective date must be inside an open inventory period and no more than 7 days before entry. Beyond 7 days requires TECHNICAL_DIRECTOR approval. Every backdate records event date, entry time, reason and evidence. Closed periods are never reopened; use a current-period correction referencing the original event. Approver and entrant must differ.</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is the opening-stock ceremony?</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Opening stock is an immutable, fully validated controlled batch. STORES_MANAGER prepares physical quantities, locations, lots and serials; ACCOUNTS_MANAGER confirms accepted valuation; TECHNICAL_DIRECTOR gives final posting authorization. The three actors must be different and a posted batch is never overwritten.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count frequency and ABC/FSN schedule apply?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Approved company-specific ABC/FSN classification controls frequency: A monthly, B quarterly, C half-yearly, critical and non-moving at least quarterly, and an annual wall-to-wall count. Calculation may propose a class but never silently change the approved class or frequency.</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bl>
    <w:p>
      <w:pPr>
        <w:spacing w:after="0"/>
      </w:pPr>
    </w:p>
    <w:p>
      <w:r>
        <w:br w:type="page"/>
      </w:r>
    </w:p>
    <w:p>
      <w:pPr>
        <w:pStyle w:val="Heading2"/>
      </w:pPr>
      <w:r>
        <w:t>Questions E8-E10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counting freeze everything or use a controlled window?</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Freeze by company, warehouse, location and item scope. An urgent issue may break the freeze only with TECHNICAL_DIRECTOR approval. Record the break, reason, approval and exact movement; the affected item/location scope must then be recounted and cannot be certified as a clean count.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E9</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orders recount and approves final variance?</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 xml:space="preserve">An independent employee performs the recount. Final variance follows the E4 approval bands and special write-off controls. The employee who recorded or recounted the quantity cannot approve the resulting variance.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E10</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does scrap sale reach Finance?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Writing stock off into SCRAP and later disposing or selling existing SCRAP are separate governed acts. Moving material into SCRAP requires the already-frozen TECHNICAL_DIRECTOR and MANAGING_DIRECTOR approvals; selling that existing SCRAP requires a separate MANAGING_DIRECTOR disposal approval. Scrap cannot leave before the Accounts invoice exists and payment is received; no credit terms apply. Stores selects the buyer, MANAGING_DIRECTOR approves every disposal regardless of value, and closure preserves quantity/weight, custody, invoice, receipt and dispatch evidence.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 xml:space="preserve">FROZEN - BATCH 4</w:t>
            </w:r>
          </w:p>
        </w:tc>
      </w:tr>
    </w:tbl>
    <w:p>
      <w:pPr>
        <w:spacing w:before="120" w:after="60"/>
      </w:pPr>
      <w:r>
        <w:rPr>
          <w:b/>
        </w:rPr>
        <w:t xml:space="preserve">Confirmed stock-exception elaborations - Batch 4</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Frozen 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Which approval bands govern adjustments?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Below 5,000 STORES_MANAGER; 5,000-100,000 TECHNICAL_DIRECTOR; above 100,000 MANAGING_DIRECTOR. Serialized identity adjustments always require TD; damage/loss write-off requires TD with Accounts concurrence.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backdating controlled?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Open inventory period only; maximum 7 days without the additional TD approval. Preserve physical event date, immutable entry time, reason, evidence and original-event reference for current-period corrections.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Who performs the opening-stock ceremony?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Three separate actors: Stores Manager prepares physical truth, Accounts Manager confirms accepted valuation, and Technical Director authorizes final controlled posting.</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B4-4</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counting scheduled?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Approved company-specific ABC/FSN classification controls the confirmed monthly, quarterly, half-yearly and annual frequencies. Calculations may propose but cannot silently change policy.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Can an urgent issue break a count freeze?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Yes, only with TD approval. Record the exact movement and reason, mark the freeze as broken, and require recount of the affected item/location scope.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B4-6</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is final count variance approved?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Independent recount first; then the E4 value and risk bands. The recorder and every counter are excluded from approval.</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B4-7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How are write-off and scrap disposal separated?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Write-off into SCRAP is not disposal and requires the already-frozen TD and MD approvals. The later disposal requires its own separate MD approval plus an Accounts invoice, cleared payment and separate MD approval before dispatch. Preserve declarer, buyer selector, approver and payment receiver as distinct audited actors.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4</w:t>
            </w:r>
          </w:p>
        </w:tc>
      </w:tr>
    </w:tbl>
    <w:p>
      <w:pPr>
        <w:spacing w:before="120" w:after="60"/>
      </w:pPr>
      <w:r>
        <w:rPr>
          <w:b/>
        </w:rPr>
        <w:t xml:space="preserve">FULL-SCHEMA IMPLEMENTATION GAPS - COUNTS, PERIODS, ADJUSTMENTS AND DISPOSAL</w:t>
      </w:r>
    </w:p>
    <w:p>
      <w:pPr>
        <w:spacing w:before="120" w:after="60"/>
      </w:pPr>
      <w:r>
        <w:t xml:space="preserve">The complete schema requires governed adjustment documents and lines, inventory periods, scoped count freezes, blind count snapshots, independent recounts, opening-stock batches, approval snapshots, freeze-break records and separate scrap-disposal records. Every resulting movement must post through the controlled function; no workflow may update a balance directly.</w:t>
      </w:r>
    </w:p>
    <w:p>
      <w:pPr>
        <w:spacing w:before="120" w:after="60"/>
      </w:pPr>
      <w:r>
        <w:rPr>
          <w:b/>
        </w:rPr>
        <w:t xml:space="preserve">Decisions confirmed in advance - integrate in their question batches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Area</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Confirmed decision</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 xml:space="preserve">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SPARE-1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Spare pricing</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Item master holds the default margin percentage per Item. An offer-line override records actor, old value, new value and reason and never silently changes the Item default.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IN ADVANCE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TOOL-1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Tool identity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Every tool is an individually identified asset. No value threshold permits a tool to become anonymous quantity stock.</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IN ADVANCE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TOOL-2</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Temporary issue duration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Duration is entered in DAYS at issue time and retained on the custody transaction.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IN ADVANCE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 xml:space="preserve">CAL-1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 xml:space="preserve">Calibration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Internal master instruments are calibrated annually. Providers are a master; initial provider is Sansel Calibration Laboratories LLP, Maduravoyal, Chennai. Expiry warns rather than blocks, and issue while expired is recorded. Notification lead time remains open for the tools batch.</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PARTLY FROZEN; LEAD TIME OPEN</w:t>
            </w:r>
          </w:p>
        </w:tc>
      </w:tr>
    </w:tbl>
    <w:p>
      <w:pPr>
        <w:spacing w:after="0"/>
      </w:pPr>
    </w:p>
    <w:p>
      <w:r>
        <w:br w:type="page"/>
      </w:r>
    </w:p>
    <w:p>
      <w:pPr>
        <w:pStyle w:val="Heading2"/>
      </w:pPr>
      <w:r>
        <w:t>Questions V1-V7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FIFO or weighted average, and at what scope?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FIFO strictly, by company and Item within the applicable ownership/value pool. Physical serial identity and provenance are retained, but the serial that leaves does not select its cost layer.</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ADVANCE DECISION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valuation method change?</w:t>
            </w:r>
          </w:p>
        </w:tc>
        <w:tc>
          <w:tcPr>
            <w:tcW w:type="dxa" w:w="5688"/>
            <w:vAlign w:val="center"/>
            <w:tcMar>
              <w:top w:w="70" w:type="dxa"/>
              <w:start w:w="80" w:type="dxa"/>
              <w:bottom w:w="70" w:type="dxa"/>
              <w:end w:w="80" w:type="dxa"/>
            </w:tcMar>
            <w:shd w:fill="EEF5F9"/>
          </w:tcPr>
          <w:p>
            <w:pPr>
              <w:spacing w:after="0" w:line="240" w:lineRule="auto"/>
            </w:pPr>
            <w:r>
              <w:t>A valuation-method change is prospective, effective-dated and approved; it never rewrites historical postings.</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cost components enter inventory value?</w:t>
            </w:r>
          </w:p>
        </w:tc>
        <w:tc>
          <w:tcPr>
            <w:tcW w:type="dxa" w:w="5688"/>
            <w:vAlign w:val="center"/>
            <w:tcMar>
              <w:top w:w="70" w:type="dxa"/>
              <w:start w:w="80" w:type="dxa"/>
              <w:bottom w:w="70" w:type="dxa"/>
              <w:end w:w="80" w:type="dxa"/>
            </w:tcMar>
          </w:tcPr>
          <w:p>
            <w:pPr>
              <w:spacing w:after="0" w:line="240" w:lineRule="auto"/>
            </w:pPr>
            <w:r>
              <w:t>Exclude recoverable GST; include approved nonrecoverable tax, freight-in, duty and insurance. Installation is project cost unless required to make inventory usable.</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value is used before bill acceptance?</w:t>
            </w:r>
          </w:p>
        </w:tc>
        <w:tc>
          <w:tcPr>
            <w:tcW w:type="dxa" w:w="5688"/>
            <w:vAlign w:val="center"/>
            <w:tcMar>
              <w:top w:w="70" w:type="dxa"/>
              <w:start w:w="80" w:type="dxa"/>
              <w:bottom w:w="70" w:type="dxa"/>
              <w:end w:w="80" w:type="dxa"/>
            </w:tcMar>
            <w:shd w:fill="EEF5F9"/>
          </w:tcPr>
          <w:p>
            <w:pPr>
              <w:spacing w:after="0" w:line="240" w:lineRule="auto"/>
            </w:pPr>
            <w:r>
              <w:t>Use the PO value provisionally. An accepted vendor bill must match the PO or be rejected until the PO is revised, so accepted item value equals the approved PO value and there is no purchase-price variance. This does not erase separately approved landed-cost allocations.</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Actual BOM accepted-bill cost or issue valuation?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 xml:space="preserve">Actual BOM uses accepted vendor-bill allocation for the physically fitted component. Inventory issue valuation remains the separate FIFO ledger value; the two are not forced to match.</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 xml:space="preserve">FROZEN - BATCH 2 / ADVANCE CLARIFICATION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are free/warranty receipts valued?</w:t>
            </w:r>
          </w:p>
        </w:tc>
        <w:tc>
          <w:tcPr>
            <w:tcW w:type="dxa" w:w="5688"/>
            <w:vAlign w:val="center"/>
            <w:tcMar>
              <w:top w:w="70" w:type="dxa"/>
              <w:start w:w="80" w:type="dxa"/>
              <w:bottom w:w="70" w:type="dxa"/>
              <w:end w:w="80" w:type="dxa"/>
            </w:tcMar>
            <w:shd w:fill="EEF5F9"/>
          </w:tcPr>
          <w:p>
            <w:pPr>
              <w:spacing w:after="0" w:line="240" w:lineRule="auto"/>
            </w:pPr>
            <w:r>
              <w:t>Use zero procurement cost unless a real accepted liability exists; retain memo/replacement value separately.</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maintains min/max/reorder/safety stock?</w:t>
            </w:r>
          </w:p>
        </w:tc>
        <w:tc>
          <w:tcPr>
            <w:tcW w:type="dxa" w:w="5688"/>
            <w:vAlign w:val="center"/>
            <w:tcMar>
              <w:top w:w="70" w:type="dxa"/>
              <w:start w:w="80" w:type="dxa"/>
              <w:bottom w:w="70" w:type="dxa"/>
              <w:end w:w="80" w:type="dxa"/>
            </w:tcMar>
          </w:tcPr>
          <w:p>
            <w:pPr>
              <w:spacing w:after="0" w:line="240" w:lineRule="auto"/>
            </w:pPr>
            <w:r>
              <w:t>Stores and Purchase prepare min/max/reorder/safety stock; department owner reviews; a designated manager approves the effective version.</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bl>
    <w:p>
      <w:pPr>
        <w:spacing w:before="120" w:after="60"/>
      </w:pPr>
      <w:r>
        <w:rPr>
          <w:b/>
        </w:rPr>
        <w:t xml:space="preserve">Frozen valuation separation - FIFO ledger versus Actual BOM</w:t>
      </w:r>
    </w:p>
    <w:p>
      <w:pPr>
        <w:spacing w:before="120" w:after="60"/>
      </w:pPr>
      <w:r>
        <w:t xml:space="preserve">Inventory accounting consumes the oldest eligible FIFO cost layer for the company, Item and ownership/value pool. Location and physical serial provenance do not select the accounting layer. Actual BOM instead follows the physically fitted component provenance to its accepted vendor-bill allocation. Therefore a serial from a newer receipt may carry a different Actual BOM cost from the older FIFO layer consumed by the inventory ledger. That difference is legitimate: FIFO supports inventory and closing-stock accounting, while accepted-bill provenance supports offer-versus-actual commercial analysis. Neither value is rewritten merely to make the two reports agree.</w:t>
      </w:r>
    </w:p>
    <w:p>
      <w:pPr>
        <w:spacing w:after="0"/>
      </w:pPr>
    </w:p>
    <w:p>
      <w:r>
        <w:br w:type="page"/>
      </w:r>
    </w:p>
    <w:p>
      <w:pPr>
        <w:pStyle w:val="Heading2"/>
      </w:pPr>
      <w:r>
        <w:t>Questions V8-V8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are slow/non-moving/obsolete thresholds?</w:t>
            </w:r>
          </w:p>
        </w:tc>
        <w:tc>
          <w:tcPr>
            <w:tcW w:type="dxa" w:w="5688"/>
            <w:vAlign w:val="center"/>
            <w:tcMar>
              <w:top w:w="70" w:type="dxa"/>
              <w:start w:w="80" w:type="dxa"/>
              <w:bottom w:w="70" w:type="dxa"/>
              <w:end w:w="80" w:type="dxa"/>
            </w:tcMar>
          </w:tcPr>
          <w:p>
            <w:pPr>
              <w:spacing w:after="0" w:line="240" w:lineRule="auto"/>
            </w:pPr>
            <w:r>
              <w:t>Proposed defaults: slow-moving after 90 days, non-moving after 180 days, obsolete only after technical/commercial approval; allow approved item-class overrides.</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bl>
    <w:p>
      <w:pPr>
        <w:spacing w:after="0"/>
      </w:pPr>
    </w:p>
    <w:p>
      <w:r>
        <w:br w:type="page"/>
      </w:r>
    </w:p>
    <w:p>
      <w:pPr>
        <w:pStyle w:val="Heading2"/>
      </w:pPr>
      <w:r>
        <w:t>Questions D1-D7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File types, limits, storage and retention?</w:t>
            </w:r>
          </w:p>
        </w:tc>
        <w:tc>
          <w:tcPr>
            <w:tcW w:type="dxa" w:w="5688"/>
            <w:vAlign w:val="center"/>
            <w:tcMar>
              <w:top w:w="70" w:type="dxa"/>
              <w:start w:w="80" w:type="dxa"/>
              <w:bottom w:w="70" w:type="dxa"/>
              <w:end w:w="80" w:type="dxa"/>
            </w:tcMar>
          </w:tcPr>
          <w:p>
            <w:pPr>
              <w:spacing w:after="0" w:line="240" w:lineRule="auto"/>
            </w:pPr>
            <w:r>
              <w:t>Allow PDF, DOCX, XLSX, CSV, JPG and PNG up to 25 MB by default; block executable and macro-enabled content. Use a versioned retention schedule and retain each record for the longest statutory, tax, contract, warranty/AMC/CAMC, defence/customer, audit or litigation-hold period. Core Service records retain at least 10 years.</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Does replacement overwrite or supersede an attachment?</w:t>
            </w:r>
          </w:p>
        </w:tc>
        <w:tc>
          <w:tcPr>
            <w:tcW w:type="dxa" w:w="5688"/>
            <w:vAlign w:val="center"/>
            <w:tcMar>
              <w:top w:w="70" w:type="dxa"/>
              <w:start w:w="80" w:type="dxa"/>
              <w:bottom w:w="70" w:type="dxa"/>
              <w:end w:w="80" w:type="dxa"/>
            </w:tcMar>
            <w:shd w:fill="EEF5F9"/>
          </w:tcPr>
          <w:p>
            <w:pPr>
              <w:spacing w:after="0" w:line="240" w:lineRule="auto"/>
            </w:pPr>
            <w:r>
              <w:t>An accepted attachment is superseded, never overwritten. Preserve every version, hash, uploader, time, sensitivity and source link.</w:t>
            </w:r>
          </w:p>
        </w:tc>
        <w:tc>
          <w:tcPr>
            <w:tcW w:type="dxa" w:w="936"/>
            <w:vAlign w:val="center"/>
            <w:tcMar>
              <w:top w:w="70" w:type="dxa"/>
              <w:start w:w="80" w:type="dxa"/>
              <w:bottom w:w="70" w:type="dxa"/>
              <w:end w:w="80" w:type="dxa"/>
            </w:tcMar>
            <w:shd w:fill="E2F0D9"/>
          </w:tcPr>
          <w:p>
            <w:pPr>
              <w:spacing w:after="0" w:line="240" w:lineRule="auto"/>
            </w:pPr>
            <w:r>
              <w:t>FROZEN - DOCUMENT CONTROL PRINCIPLE</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attachments are sensitive?</w:t>
            </w:r>
          </w:p>
        </w:tc>
        <w:tc>
          <w:tcPr>
            <w:tcW w:type="dxa" w:w="5688"/>
            <w:vAlign w:val="center"/>
            <w:tcMar>
              <w:top w:w="70" w:type="dxa"/>
              <w:start w:w="80" w:type="dxa"/>
              <w:bottom w:w="70" w:type="dxa"/>
              <w:end w:w="80" w:type="dxa"/>
            </w:tcMar>
          </w:tcPr>
          <w:p>
            <w:pPr>
              <w:spacing w:after="0" w:line="240" w:lineRule="auto"/>
            </w:pPr>
            <w:r>
              <w:t>Restrict bank/KYC, pricing, customer-confidential, inspection/test, HR, legal/NDA and credential/secret classes; log every read and export.</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Must every document have Verified and Approved states?</w:t>
            </w:r>
          </w:p>
        </w:tc>
        <w:tc>
          <w:tcPr>
            <w:tcW w:type="dxa" w:w="5688"/>
            <w:vAlign w:val="center"/>
            <w:tcMar>
              <w:top w:w="70" w:type="dxa"/>
              <w:start w:w="80" w:type="dxa"/>
              <w:bottom w:w="70" w:type="dxa"/>
              <w:end w:w="80" w:type="dxa"/>
            </w:tcMar>
            <w:shd w:fill="EEF5F9"/>
          </w:tcPr>
          <w:p>
            <w:pPr>
              <w:spacing w:after="0" w:line="240" w:lineRule="auto"/>
            </w:pPr>
            <w:r>
              <w:t>No universal Verified/Approved chain exists. Each document uses only the business decisions required by its settled workflow.</w:t>
            </w:r>
          </w:p>
        </w:tc>
        <w:tc>
          <w:tcPr>
            <w:tcW w:type="dxa" w:w="936"/>
            <w:vAlign w:val="center"/>
            <w:tcMar>
              <w:top w:w="70" w:type="dxa"/>
              <w:start w:w="80" w:type="dxa"/>
              <w:bottom w:w="70" w:type="dxa"/>
              <w:end w:w="80" w:type="dxa"/>
            </w:tcMar>
            <w:shd w:fill="E2F0D9"/>
          </w:tcPr>
          <w:p>
            <w:pPr>
              <w:spacing w:after="0" w:line="240" w:lineRule="auto"/>
            </w:pPr>
            <w:r>
              <w:t>FROZEN - BATCH 6</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substitute/delegated approvers allowed?</w:t>
            </w:r>
          </w:p>
        </w:tc>
        <w:tc>
          <w:tcPr>
            <w:tcW w:type="dxa" w:w="5688"/>
            <w:vAlign w:val="center"/>
            <w:tcMar>
              <w:top w:w="70" w:type="dxa"/>
              <w:start w:w="80" w:type="dxa"/>
              <w:bottom w:w="70" w:type="dxa"/>
              <w:end w:w="80" w:type="dxa"/>
            </w:tcMar>
          </w:tcPr>
          <w:p>
            <w:pPr>
              <w:spacing w:after="0" w:line="240" w:lineRule="auto"/>
            </w:pPr>
            <w:r>
              <w:t>Only explicit, effective-dated, time-bound and scope-bound ERP delegation is valid. OIDC provider roles/groups never grant ERP authority. No delegation applies where a frozen rule requires the named role with no fallback.</w:t>
            </w:r>
          </w:p>
        </w:tc>
        <w:tc>
          <w:tcPr>
            <w:tcW w:type="dxa" w:w="936"/>
            <w:vAlign w:val="center"/>
            <w:tcMar>
              <w:top w:w="70" w:type="dxa"/>
              <w:start w:w="80" w:type="dxa"/>
              <w:bottom w:w="70" w:type="dxa"/>
              <w:end w:w="80" w:type="dxa"/>
            </w:tcMar>
            <w:shd w:fill="E2F0D9"/>
          </w:tcPr>
          <w:p>
            <w:pPr>
              <w:spacing w:after="0" w:line="240" w:lineRule="auto"/>
            </w:pPr>
            <w:r>
              <w:t>FROZEN - AUTHORIZATION DECISION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offline/delayed entry required?</w:t>
            </w:r>
          </w:p>
        </w:tc>
        <w:tc>
          <w:tcPr>
            <w:tcW w:type="dxa" w:w="5688"/>
            <w:vAlign w:val="center"/>
            <w:tcMar>
              <w:top w:w="70" w:type="dxa"/>
              <w:start w:w="80" w:type="dxa"/>
              <w:bottom w:w="70" w:type="dxa"/>
              <w:end w:w="80" w:type="dxa"/>
            </w:tcMar>
            <w:shd w:fill="EEF5F9"/>
          </w:tcPr>
          <w:p>
            <w:pPr>
              <w:spacing w:after="0" w:line="240" w:lineRule="auto"/>
            </w:pPr>
            <w:r>
              <w:t>Store physical event time, ERP entry time, reason and actor now. Reserve client event ID, device identity, sync state, conflict state and server resolution ancestry so the deferred offline mobile client can synchronize idempotently without schema replacement.</w:t>
            </w:r>
          </w:p>
        </w:tc>
        <w:tc>
          <w:tcPr>
            <w:tcW w:type="dxa" w:w="936"/>
            <w:vAlign w:val="center"/>
            <w:tcMar>
              <w:top w:w="70" w:type="dxa"/>
              <w:start w:w="80" w:type="dxa"/>
              <w:bottom w:w="70" w:type="dxa"/>
              <w:end w:w="80" w:type="dxa"/>
            </w:tcMar>
            <w:shd w:fill="FFF2CC"/>
          </w:tcPr>
          <w:p>
            <w:pPr>
              <w:spacing w:after="0" w:line="240" w:lineRule="auto"/>
            </w:pPr>
            <w:r>
              <w:t>FROZEN FOR SCHEMA; MOBILE BUILD DEFERRED</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Finance/HR integrations synchronous?</w:t>
            </w:r>
          </w:p>
        </w:tc>
        <w:tc>
          <w:tcPr>
            <w:tcW w:type="dxa" w:w="5688"/>
            <w:vAlign w:val="center"/>
            <w:tcMar>
              <w:top w:w="70" w:type="dxa"/>
              <w:start w:w="80" w:type="dxa"/>
              <w:bottom w:w="70" w:type="dxa"/>
              <w:end w:w="80" w:type="dxa"/>
            </w:tcMar>
          </w:tcPr>
          <w:p>
            <w:pPr>
              <w:spacing w:after="0" w:line="240" w:lineRule="auto"/>
            </w:pPr>
            <w:r>
              <w:t>Use a transactional outbox. Stores commits independently; Finance/HR delivery is asynchronous and idempotent.</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Questions D8-D8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retry and reconciliation controls apply?</w:t>
            </w:r>
          </w:p>
        </w:tc>
        <w:tc>
          <w:tcPr>
            <w:tcW w:type="dxa" w:w="5688"/>
            <w:vAlign w:val="center"/>
            <w:tcMar>
              <w:top w:w="70" w:type="dxa"/>
              <w:start w:w="80" w:type="dxa"/>
              <w:bottom w:w="70" w:type="dxa"/>
              <w:end w:w="80" w:type="dxa"/>
            </w:tcMar>
          </w:tcPr>
          <w:p>
            <w:pPr>
              <w:spacing w:after="0" w:line="240" w:lineRule="auto"/>
            </w:pPr>
            <w:r>
              <w:t>Use idempotency keys, durable attempts, bounded automatic retry, terminal failure queue and an authorized reconciliation action with immutable evidence.</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Questions VP1-VP5</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Evaluation period and frequency?</w:t>
            </w:r>
          </w:p>
        </w:tc>
        <w:tc>
          <w:tcPr>
            <w:tcW w:type="dxa" w:w="5688"/>
            <w:vAlign w:val="center"/>
            <w:tcMar>
              <w:top w:w="70" w:type="dxa"/>
              <w:start w:w="80" w:type="dxa"/>
              <w:bottom w:w="70" w:type="dxa"/>
              <w:end w:w="80" w:type="dxa"/>
            </w:tcMar>
          </w:tcPr>
          <w:p>
            <w:pPr>
              <w:spacing w:after="0" w:line="240" w:lineRule="auto"/>
            </w:pPr>
            <w:r>
              <w:t>Calculate monthly and preserve an immutable period snapshot plus a rolling 12-month view.</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VP2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Metric weights?</w:t>
            </w:r>
          </w:p>
        </w:tc>
        <w:tc>
          <w:tcPr>
            <w:tcW w:type="dxa" w:w="5688"/>
            <w:vAlign w:val="center"/>
            <w:tcMar>
              <w:top w:w="70" w:type="dxa"/>
              <w:start w:w="80" w:type="dxa"/>
              <w:bottom w:w="70" w:type="dxa"/>
              <w:end w:w="80" w:type="dxa"/>
            </w:tcMar>
            <w:shd w:fill="EEF5F9"/>
          </w:tcPr>
          <w:p>
            <w:pPr>
              <w:spacing w:after="0" w:line="240" w:lineRule="auto"/>
            </w:pPr>
            <w:r>
              <w:t>Proposed initial weights: Quality 35%, Delivery 30%, Price 15%, Response 10%, Closure 10%; changes are versioned and approved by Purchase and TD.</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Minimum sample before scoring?</w:t>
            </w:r>
          </w:p>
        </w:tc>
        <w:tc>
          <w:tcPr>
            <w:tcW w:type="dxa" w:w="5688"/>
            <w:vAlign w:val="center"/>
            <w:tcMar>
              <w:top w:w="70" w:type="dxa"/>
              <w:start w:w="80" w:type="dxa"/>
              <w:bottom w:w="70" w:type="dxa"/>
              <w:end w:w="80" w:type="dxa"/>
            </w:tcMar>
          </w:tcPr>
          <w:p>
            <w:pPr>
              <w:spacing w:after="0" w:line="240" w:lineRule="auto"/>
            </w:pPr>
            <w:r>
              <w:t>Publish a score only after 3 completed POs or 5 evaluated lines; otherwise show INSUFFICIENT_SAMPLE.</w:t>
            </w:r>
          </w:p>
        </w:tc>
        <w:tc>
          <w:tcPr>
            <w:tcW w:type="dxa" w:w="936"/>
            <w:vAlign w:val="center"/>
            <w:tcMar>
              <w:top w:w="70" w:type="dxa"/>
              <w:start w:w="80" w:type="dxa"/>
              <w:bottom w:w="70" w:type="dxa"/>
              <w:end w:w="80" w:type="dxa"/>
            </w:tcMar>
            <w:shd w:fill="FFF2CC"/>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VP4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reevaluation or suspension?</w:t>
            </w:r>
          </w:p>
        </w:tc>
        <w:tc>
          <w:tcPr>
            <w:tcW w:type="dxa" w:w="5688"/>
            <w:vAlign w:val="center"/>
            <w:tcMar>
              <w:top w:w="70" w:type="dxa"/>
              <w:start w:w="80" w:type="dxa"/>
              <w:bottom w:w="70" w:type="dxa"/>
              <w:end w:w="80" w:type="dxa"/>
            </w:tcMar>
            <w:shd w:fill="EEF5F9"/>
          </w:tcPr>
          <w:p>
            <w:pPr>
              <w:spacing w:after="0" w:line="240" w:lineRule="auto"/>
            </w:pPr>
            <w:r>
              <w:t>PURCHASE_MANAGER initiates; TECHNICAL_DIRECTOR or MANAGING_DIRECTOR approves suspension and reactivation, with criteria and evidence.</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Shared or company-scoped performance?</w:t>
            </w:r>
          </w:p>
        </w:tc>
        <w:tc>
          <w:tcPr>
            <w:tcW w:type="dxa" w:w="5688"/>
            <w:vAlign w:val="center"/>
            <w:tcMar>
              <w:top w:w="70" w:type="dxa"/>
              <w:start w:w="80" w:type="dxa"/>
              <w:bottom w:w="70" w:type="dxa"/>
              <w:end w:w="80" w:type="dxa"/>
            </w:tcMar>
          </w:tcPr>
          <w:p>
            <w:pPr>
              <w:spacing w:after="0" w:line="240" w:lineRule="auto"/>
            </w:pPr>
            <w:r>
              <w:t>Vendor identity is shared; scorecards are company-scoped; only an authorized management projection consolidates both companies.</w:t>
            </w:r>
          </w:p>
        </w:tc>
        <w:tc>
          <w:tcPr>
            <w:tcW w:type="dxa" w:w="936"/>
            <w:vAlign w:val="center"/>
            <w:tcMar>
              <w:top w:w="70" w:type="dxa"/>
              <w:start w:w="80" w:type="dxa"/>
              <w:bottom w:w="70" w:type="dxa"/>
              <w:end w:w="80" w:type="dxa"/>
            </w:tcMar>
            <w:shd w:fill="E2F0D9"/>
          </w:tcPr>
          <w:p>
            <w:pPr>
              <w:spacing w:after="0" w:line="240" w:lineRule="auto"/>
            </w:pPr>
            <w:r>
              <w:t>PROPOSED - MORNING CONFIRMATION</w:t>
            </w:r>
          </w:p>
        </w:tc>
      </w:tr>
    </w:tbl>
    <w:p>
      <w:pPr>
        <w:spacing w:after="0"/>
      </w:pPr>
    </w:p>
    <w:p>
      <w:r>
        <w:br w:type="page"/>
      </w:r>
    </w:p>
    <w:p>
      <w:pPr>
        <w:pStyle w:val="Heading2"/>
      </w:pPr>
      <w:r>
        <w:t>Batch 6-10 completion and schema consequences</w:t>
      </w:r>
    </w:p>
    <w:p>
      <w:pPr>
        <w:pStyle w:val="IntenseQuote"/>
      </w:pPr>
      <w:r>
        <w:t>Frozen decisions are implementation authority. Paragraphs marked PROPOSED - MORNING CONFIRMATION are coherent schema defaults only and must not be hard-coded as final policy until confirmed.</w:t>
      </w:r>
    </w:p>
    <w:p>
      <w:pPr>
        <w:pStyle w:val="Heading3"/>
      </w:pPr>
      <w:r>
        <w:t>Service and deferred mobile/portal support</w:t>
      </w:r>
    </w:p>
    <w:p>
      <w:pPr>
        <w:pStyle w:val="ListBullet"/>
      </w:pPr>
      <w:r>
        <w:t>Use one permanent service asset/machine identity, typed complaint source, Service Ticket parent, effective entitlement and immutable decision snapshot. Child visits, job cards, tasks, readings, evidence, spare authorization and customer acknowledgement all reference that identity. Reserve client-event, device, sync/conflict and portal-visibility fields now; mobile offline sync and the customer portal remain deferred.</w:t>
      </w:r>
    </w:p>
    <w:p>
      <w:pPr>
        <w:pStyle w:val="Heading3"/>
      </w:pPr>
      <w:r>
        <w:t>Customer property and tools</w:t>
      </w:r>
    </w:p>
    <w:p>
      <w:pPr>
        <w:pStyle w:val="ListBullet"/>
      </w:pPr>
      <w:r>
        <w:t>Accessory evidence is list-and-photo based. Customer-property due extensions preserve the original date and require TD approval. Every tool has an asset identity; custody duration is entered in days. Calibration uses annual certificates and provider master identity; expiry warning evidence travels with the issue.</w:t>
      </w:r>
    </w:p>
    <w:p>
      <w:pPr>
        <w:pStyle w:val="Heading3"/>
      </w:pPr>
      <w:r>
        <w:t>Jobwork, vendor return and RMA</w:t>
      </w:r>
    </w:p>
    <w:p>
      <w:pPr>
        <w:pStyle w:val="ListBullet"/>
      </w:pPr>
      <w:r>
        <w:t>Add effective per-process tolerance with full change history, immutable input/output reconciliation, accepted-loss and recoverable-scrap allocations, vendor explanation and closure decision. RMA and vendor return use typed outcomes, line-level quantities/lots/serials and governed dispatch evidence.</w:t>
      </w:r>
    </w:p>
    <w:p>
      <w:pPr>
        <w:pStyle w:val="Heading3"/>
      </w:pPr>
      <w:r>
        <w:t>Intercompany</w:t>
      </w:r>
    </w:p>
    <w:p>
      <w:pPr>
        <w:pStyle w:val="ListBullet"/>
      </w:pPr>
      <w:r>
        <w:t>Represent one commercial correlation with two company-private document chains: receiving PR/approval/PO/GRN/QC/bill and issuing sale/GST invoice/dispatch. Do not share mutable rows across companies. Privileged reconciliation reads both projections but cannot bypass either company workflow.</w:t>
      </w:r>
    </w:p>
    <w:p>
      <w:pPr>
        <w:pStyle w:val="Heading3"/>
      </w:pPr>
      <w:r>
        <w:t>Valuation and Actual BOM</w:t>
      </w:r>
    </w:p>
    <w:p>
      <w:pPr>
        <w:pStyle w:val="ListBullet"/>
      </w:pPr>
      <w:r>
        <w:t>Inventory valuation is strict FIFO by company, Item and ownership/value pool. Serial provenance does not choose the cost layer. Actual BOM follows physically fitted provenance to accepted vendor-bill allocation. Because an accepted bill must match the PO or the PO must first be revised, there is no purchase-price variance; FIFO-versus-Actual-BOM differences remain legitimate and separately reported.</w:t>
      </w:r>
    </w:p>
    <w:p>
      <w:pPr>
        <w:pStyle w:val="Heading3"/>
      </w:pPr>
      <w:r>
        <w:t>Documents, integration and performance</w:t>
      </w:r>
    </w:p>
    <w:p>
      <w:pPr>
        <w:pStyle w:val="ListBullet"/>
      </w:pPr>
      <w:r>
        <w:t>Use immutable attachment versions, sensitivity/access audit, configurable retention holds, transactional outbox and idempotent reconciliation. Vendor evaluation requires immutable company-period snapshots and an authorized consolidated management view. Final retention periods and scorecard parameters remain morning confirmations.</w:t>
      </w:r>
    </w:p>
    <w:p>
      <w:pPr>
        <w:pStyle w:val="Heading3"/>
      </w:pPr>
      <w:r>
        <w:t>Deferred location extensions</w:t>
      </w:r>
    </w:p>
    <w:p>
      <w:pPr>
        <w:pStyle w:val="ListBullet"/>
      </w:pPr>
      <w:r>
        <w:t>Engineer van, branch and customer/site stock remain deferred. The schema accommodates them through normalized CompanySite, Warehouse/Location and CustodyAssignment dimensions plus optional vehicle/site custody references; no ledger movement stores a free-text location or requires later replacement of its provenance key.</w:t>
      </w:r>
    </w:p>
    <w:p>
      <w:pPr>
        <w:pStyle w:val="Heading3"/>
      </w:pPr>
      <w:r>
        <w:t>Open morning confirmations</w:t>
      </w:r>
    </w:p>
    <w:p>
      <w:pPr>
        <w:pStyle w:val="ListBullet"/>
      </w:pPr>
      <w:r>
        <w:t>Confirm tool custody/loss governance; out-of-tolerance jobwork approver; partial-transfer discrepancy rule; landed-cost/planning/aging policies; attachment retention/sensitivity; transactional integration policy; vendor scorecard frequency, weights, sample threshold and suspension criteria.</w:t>
      </w:r>
    </w:p>
    <w:p>
      <w:pPr>
        <w:pStyle w:val="Heading1"/>
      </w:pPr>
      <w:r>
        <w:t>Appendix B - ERP Change-Control Form</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3168"/>
            <w:vAlign w:val="center"/>
            <w:tcMar>
              <w:top w:w="70" w:type="dxa"/>
              <w:start w:w="80" w:type="dxa"/>
              <w:bottom w:w="70" w:type="dxa"/>
              <w:end w:w="80" w:type="dxa"/>
            </w:tcMar>
            <w:shd w:fill="17365D"/>
          </w:tcPr>
          <w:p>
            <w:pPr>
              <w:spacing w:after="0" w:line="240" w:lineRule="auto"/>
            </w:pPr>
            <w:r/>
            <w:r>
              <w:rPr>
                <w:rFonts w:ascii="Aptos" w:hAnsi="Aptos"/>
                <w:b/>
                <w:color w:val="FFFFFF"/>
                <w:sz w:val="17"/>
              </w:rPr>
              <w:t>Field</w:t>
            </w:r>
          </w:p>
        </w:tc>
        <w:tc>
          <w:tcPr>
            <w:tcW w:type="dxa" w:w="6912"/>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entry</w:t>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Change request number</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Requested business-rule change</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Reason / operational evidence</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Companies / sites affected</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Affected modules</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Data migration impact</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Permission / approval impact</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Accounting / GST / HR impact</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Reports and integrations affected</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New test cases</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Rollback / transition plan</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Approvals</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t>Technical owner / Process owner / Accounts / TD or MD</w:t>
            </w:r>
          </w:p>
        </w:tc>
      </w:tr>
    </w:tbl>
    <w:p>
      <w:pPr>
        <w:spacing w:after="0"/>
      </w:pP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3360"/>
      <w:gridCol w:w="3360"/>
      <w:gridCol w:w="3360"/>
    </w:tblGrid>
    <w:tr>
      <w:tc>
        <w:tcPr>
          <w:tcW w:type="dxa" w:w="3360"/>
          <w:vAlign w:val="center"/>
          <w:tcMar>
            <w:top w:w="70" w:type="dxa"/>
            <w:start w:w="80" w:type="dxa"/>
            <w:bottom w:w="70" w:type="dxa"/>
            <w:end w:w="80" w:type="dxa"/>
          </w:tcMar>
        </w:tcPr>
        <w:p>
          <w:pPr>
            <w:spacing w:after="0" w:line="240" w:lineRule="auto"/>
          </w:pPr>
          <w:r/>
          <w:r>
            <w:rPr>
              <w:rFonts w:ascii="Aptos" w:hAnsi="Aptos"/>
              <w:b w:val="0"/>
              <w:color w:val="666666"/>
              <w:sz w:val="15"/>
            </w:rPr>
            <w:t>Sri Easwari Scientific Solution Pvt. Ltd.</w:t>
          </w:r>
        </w:p>
      </w:tc>
      <w:tc>
        <w:tcPr>
          <w:tcW w:type="dxa" w:w="3360"/>
          <w:vAlign w:val="center"/>
          <w:tcMar>
            <w:top w:w="70" w:type="dxa"/>
            <w:start w:w="80" w:type="dxa"/>
            <w:bottom w:w="70" w:type="dxa"/>
            <w:end w:w="80" w:type="dxa"/>
          </w:tcMar>
        </w:tcPr>
        <w:p>
          <w:pPr>
            <w:spacing w:after="0" w:line="240" w:lineRule="auto"/>
            <w:jc w:val="center"/>
          </w:pPr>
          <w:r/>
          <w:r>
            <w:rPr>
              <w:rFonts w:ascii="Aptos" w:hAnsi="Aptos"/>
              <w:b/>
              <w:color w:val="666666"/>
              <w:sz w:val="15"/>
            </w:rPr>
            <w:t>Controlled Internal Document</w:t>
          </w:r>
        </w:p>
      </w:tc>
      <w:tc>
        <w:tcPr>
          <w:tcW w:type="dxa" w:w="3360"/>
        </w:tcPr>
        <w:p>
          <w:pPr>
            <w:jc w:val="right"/>
          </w:pPr>
          <w:r>
            <w:t xml:space="preserve">Page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F4E78"/>
        <w:sz w:val="16"/>
      </w:rPr>
      <w:t>SESS ERP | STORES FULL-SCHEMA GUIDELINE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b/>
      <w:bCs/>
      <w:color w:val="1F4E78"/>
      <w:sz w:val="25"/>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b/>
      <w:bCs/>
      <w:color w:val="0F6B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 ERP Stores Full-Schema Decision and Implementation Guideline</dc:title>
  <dc:subject>Business rules, governance and implementation baseline for the SESS ERP Stores programme</dc:subject>
  <dc:creator>Sri Easwari Scientific Solution Pvt. Ltd.</dc:creator>
  <cp:keywords>SESS, ERP, Stores, GRN, QC, MIR, BOM, Tools, Custody, Guideline</cp:keywords>
  <dc:description>generated by python-docx</dc:description>
  <cp:lastModifiedBy/>
  <cp:revision>1</cp:revision>
  <dcterms:created xsi:type="dcterms:W3CDTF">2013-12-23T23:15:00Z</dcterms:created>
  <dcterms:modified xsi:type="dcterms:W3CDTF">2013-12-23T23:15:00Z</dcterms:modified>
  <cp:category/>
</cp:coreProperties>
</file>