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5765800</wp:posOffset>
            </wp:positionH>
            <wp:positionV relativeFrom="paragraph">
              <wp:posOffset>43815</wp:posOffset>
            </wp:positionV>
            <wp:extent cx="1040765" cy="1341120"/>
            <wp:effectExtent l="25400" t="25400" r="38735" b="43180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341120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44546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135001350000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5pt;margin-top:20.55pt;height:43.2pt;width:136.6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广东省广州市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  <w:t>奈森设计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eastAsia="zh-CN"/>
        </w:rPr>
        <w:t>奈森设计</w:t>
      </w:r>
      <w:r>
        <w:rPr>
          <w:rFonts w:hint="eastAsia" w:ascii="微软雅黑" w:hAnsi="微软雅黑" w:eastAsia="微软雅黑"/>
          <w:color w:val="173456"/>
        </w:rPr>
        <w:t>市场专员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 xml:space="preserve">2008.9-2012.6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eastAsia="zh-CN"/>
        </w:rPr>
        <w:t>奈森设计</w:t>
      </w:r>
      <w:r>
        <w:rPr>
          <w:rFonts w:hint="eastAsia" w:ascii="微软雅黑" w:hAnsi="微软雅黑" w:eastAsia="微软雅黑"/>
          <w:color w:val="173456"/>
        </w:rPr>
        <w:t xml:space="preserve">科技大学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市场营销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2013.10至今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卓望信息科技有限公司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营运推广主管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工作成果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2012.8-2013.9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广州灵心沙文化活动有限公司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市场推广专员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技能证书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6166E"/>
    <w:rsid w:val="003A4D78"/>
    <w:rsid w:val="003A6FB8"/>
    <w:rsid w:val="003B017D"/>
    <w:rsid w:val="00403C60"/>
    <w:rsid w:val="00405F03"/>
    <w:rsid w:val="004070D5"/>
    <w:rsid w:val="00432BA1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2B95188E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35363-CDE8-4ECF-A4D8-2E8F5F245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171</Characters>
  <Lines>1</Lines>
  <Paragraphs>1</Paragraphs>
  <TotalTime>0</TotalTime>
  <ScaleCrop>false</ScaleCrop>
  <LinksUpToDate>false</LinksUpToDate>
  <CharactersWithSpaces>199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Administrator</cp:lastModifiedBy>
  <dcterms:modified xsi:type="dcterms:W3CDTF">2017-10-22T05:33:36Z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