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5D" w:rsidRDefault="0031406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BI / Department Workspaces</w:t>
      </w:r>
    </w:p>
    <w:p w:rsidR="0037565D" w:rsidRDefault="0037565D">
      <w:pPr>
        <w:rPr>
          <w:rFonts w:ascii="Verdana" w:hAnsi="Verdana"/>
          <w:sz w:val="20"/>
          <w:szCs w:val="20"/>
        </w:rPr>
      </w:pPr>
    </w:p>
    <w:p w:rsidR="00842FD8" w:rsidRDefault="00B63A4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Power BI is an analytics solution that leverages visualized data in order to share business insights within an organization.  The ease with which </w:t>
      </w:r>
      <w:r w:rsidR="004E1855">
        <w:rPr>
          <w:rFonts w:ascii="Verdana" w:hAnsi="Verdana"/>
          <w:sz w:val="20"/>
          <w:szCs w:val="20"/>
        </w:rPr>
        <w:t>teammates can compile significant and meaningful information from raw data sets is creating a strong demand for use within many departments at Insight.</w:t>
      </w:r>
    </w:p>
    <w:p w:rsidR="004E1855" w:rsidRDefault="004E185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most practical way to provide access to and sharing out of information at an enterprise level is </w:t>
      </w:r>
      <w:r w:rsidR="0003750C">
        <w:rPr>
          <w:rFonts w:ascii="Verdana" w:hAnsi="Verdana"/>
          <w:sz w:val="20"/>
          <w:szCs w:val="20"/>
        </w:rPr>
        <w:t xml:space="preserve">through use of Premium licensing.  </w:t>
      </w:r>
    </w:p>
    <w:p w:rsidR="00B63A44" w:rsidRDefault="00595AE6" w:rsidP="00B63A4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With a designated Super</w:t>
      </w:r>
      <w:r w:rsidR="0037565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User in place, d</w:t>
      </w:r>
      <w:r w:rsidR="0003750C">
        <w:rPr>
          <w:rFonts w:ascii="Verdana" w:hAnsi="Verdana"/>
          <w:sz w:val="20"/>
          <w:szCs w:val="20"/>
        </w:rPr>
        <w:t>epartments will be granted a Workspace backed by the Premium Capacity License, thereby</w:t>
      </w:r>
      <w:r>
        <w:rPr>
          <w:rFonts w:ascii="Verdana" w:hAnsi="Verdana"/>
          <w:sz w:val="20"/>
          <w:szCs w:val="20"/>
        </w:rPr>
        <w:t xml:space="preserve"> allowing Dashboards &amp; Reports to be shared out to teammates without individual Pro Licenses being required.</w:t>
      </w:r>
    </w:p>
    <w:p w:rsidR="00595AE6" w:rsidRDefault="00595AE6" w:rsidP="00B63A44">
      <w:pPr>
        <w:rPr>
          <w:rFonts w:ascii="Verdana" w:hAnsi="Verdana"/>
          <w:sz w:val="20"/>
          <w:szCs w:val="20"/>
        </w:rPr>
      </w:pPr>
    </w:p>
    <w:p w:rsidR="00595AE6" w:rsidRDefault="0037565D" w:rsidP="0037565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7565D">
        <w:rPr>
          <w:rFonts w:ascii="Verdana" w:hAnsi="Verdana"/>
          <w:sz w:val="20"/>
          <w:szCs w:val="20"/>
        </w:rPr>
        <w:t>Currently</w:t>
      </w:r>
    </w:p>
    <w:p w:rsidR="00314063" w:rsidRDefault="00314063" w:rsidP="0031406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37565D">
        <w:rPr>
          <w:rFonts w:ascii="Verdana" w:hAnsi="Verdana"/>
          <w:sz w:val="20"/>
          <w:szCs w:val="20"/>
        </w:rPr>
        <w:t>Request comes to BI Team for ability to share out Power BO Reports / Dashboards</w:t>
      </w:r>
    </w:p>
    <w:p w:rsidR="00314063" w:rsidRPr="00314063" w:rsidRDefault="00314063" w:rsidP="00314063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 w:rsidRPr="00314063">
        <w:rPr>
          <w:rFonts w:ascii="Verdana" w:hAnsi="Verdana"/>
          <w:sz w:val="20"/>
          <w:szCs w:val="20"/>
        </w:rPr>
        <w:t>Department Manager or above sponsorship</w:t>
      </w:r>
    </w:p>
    <w:p w:rsidR="00314063" w:rsidRPr="0037565D" w:rsidRDefault="00314063" w:rsidP="00314063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r w:rsidRPr="0037565D">
        <w:rPr>
          <w:rFonts w:ascii="Verdana" w:hAnsi="Verdana"/>
          <w:sz w:val="20"/>
          <w:szCs w:val="20"/>
        </w:rPr>
        <w:t xml:space="preserve">Designated Super User </w:t>
      </w:r>
    </w:p>
    <w:p w:rsidR="008F1A9A" w:rsidRDefault="008F1A9A" w:rsidP="0031406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314063">
        <w:rPr>
          <w:rFonts w:ascii="Verdana" w:hAnsi="Verdana"/>
          <w:sz w:val="20"/>
          <w:szCs w:val="20"/>
        </w:rPr>
        <w:t>BI Team reviews request</w:t>
      </w:r>
    </w:p>
    <w:p w:rsidR="00314063" w:rsidRPr="0037565D" w:rsidRDefault="00314063" w:rsidP="0031406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37565D">
        <w:rPr>
          <w:rFonts w:ascii="Verdana" w:hAnsi="Verdana"/>
          <w:sz w:val="20"/>
          <w:szCs w:val="20"/>
        </w:rPr>
        <w:t>BI Team creates Department Workspace</w:t>
      </w:r>
    </w:p>
    <w:p w:rsidR="008F1A9A" w:rsidRDefault="0037565D" w:rsidP="0037565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7565D">
        <w:rPr>
          <w:rFonts w:ascii="Verdana" w:hAnsi="Verdana"/>
          <w:sz w:val="20"/>
          <w:szCs w:val="20"/>
        </w:rPr>
        <w:t>Future</w:t>
      </w:r>
    </w:p>
    <w:p w:rsidR="00314063" w:rsidRDefault="00314063" w:rsidP="0031406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 Administration Policy</w:t>
      </w:r>
    </w:p>
    <w:p w:rsidR="00314063" w:rsidRDefault="00314063" w:rsidP="0031406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Organize Training for Super Users</w:t>
      </w:r>
    </w:p>
    <w:p w:rsidR="00314063" w:rsidRDefault="00314063" w:rsidP="0031406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User Guide – basic navigation for consumers</w:t>
      </w:r>
    </w:p>
    <w:p w:rsidR="00314063" w:rsidRDefault="00314063" w:rsidP="0031406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Common Data Services (CDS)</w:t>
      </w:r>
    </w:p>
    <w:p w:rsidR="00314063" w:rsidRPr="00314063" w:rsidRDefault="00314063" w:rsidP="00314063">
      <w:pPr>
        <w:pStyle w:val="ListParagraph"/>
        <w:numPr>
          <w:ilvl w:val="2"/>
          <w:numId w:val="2"/>
        </w:numPr>
        <w:rPr>
          <w:rFonts w:ascii="Verdana" w:hAnsi="Verdana"/>
          <w:sz w:val="20"/>
          <w:szCs w:val="20"/>
        </w:rPr>
      </w:pPr>
      <w:hyperlink r:id="rId5" w:history="1">
        <w:r w:rsidRPr="00314063">
          <w:rPr>
            <w:rStyle w:val="Hyperlink"/>
            <w:rFonts w:ascii="Verdana" w:hAnsi="Verdana"/>
            <w:sz w:val="20"/>
            <w:szCs w:val="20"/>
          </w:rPr>
          <w:t>https://powerbi.microsoft.com/en-us/blog/coming-soon-to-power-bi-common-data-service-for-analytics/</w:t>
        </w:r>
      </w:hyperlink>
    </w:p>
    <w:p w:rsidR="0037565D" w:rsidRPr="00104AA7" w:rsidRDefault="0037565D" w:rsidP="008F1A9A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37565D" w:rsidRPr="00104AA7" w:rsidSect="003756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2C1"/>
    <w:multiLevelType w:val="hybridMultilevel"/>
    <w:tmpl w:val="906C1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9CE"/>
    <w:multiLevelType w:val="hybridMultilevel"/>
    <w:tmpl w:val="F5263BBE"/>
    <w:lvl w:ilvl="0" w:tplc="33FE0B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C45561"/>
    <w:multiLevelType w:val="hybridMultilevel"/>
    <w:tmpl w:val="A066E5BC"/>
    <w:lvl w:ilvl="0" w:tplc="5A0047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78BE"/>
    <w:multiLevelType w:val="hybridMultilevel"/>
    <w:tmpl w:val="3E4A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F10F4"/>
    <w:multiLevelType w:val="hybridMultilevel"/>
    <w:tmpl w:val="210E732A"/>
    <w:lvl w:ilvl="0" w:tplc="CBBEF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26EF8"/>
    <w:multiLevelType w:val="hybridMultilevel"/>
    <w:tmpl w:val="42ECB934"/>
    <w:lvl w:ilvl="0" w:tplc="ACA4A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44"/>
    <w:rsid w:val="0003750C"/>
    <w:rsid w:val="00104AA7"/>
    <w:rsid w:val="00314063"/>
    <w:rsid w:val="0037565D"/>
    <w:rsid w:val="004E1855"/>
    <w:rsid w:val="00504154"/>
    <w:rsid w:val="00595AE6"/>
    <w:rsid w:val="00842FD8"/>
    <w:rsid w:val="008F1A9A"/>
    <w:rsid w:val="00AA6482"/>
    <w:rsid w:val="00B63A44"/>
    <w:rsid w:val="00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DC70"/>
  <w15:chartTrackingRefBased/>
  <w15:docId w15:val="{04EFA488-515A-44DC-9107-F3F5D8C4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B63A44"/>
  </w:style>
  <w:style w:type="character" w:styleId="Hyperlink">
    <w:name w:val="Hyperlink"/>
    <w:basedOn w:val="DefaultParagraphFont"/>
    <w:uiPriority w:val="99"/>
    <w:unhideWhenUsed/>
    <w:rsid w:val="00375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werbi.microsoft.com/en-us/blog/coming-soon-to-power-bi-common-data-service-for-analy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Insight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Wiedner</dc:creator>
  <cp:keywords/>
  <dc:description/>
  <cp:lastModifiedBy>Susan Wiedner</cp:lastModifiedBy>
  <cp:revision>2</cp:revision>
  <dcterms:created xsi:type="dcterms:W3CDTF">2018-07-18T15:14:00Z</dcterms:created>
  <dcterms:modified xsi:type="dcterms:W3CDTF">2018-07-18T15:14:00Z</dcterms:modified>
</cp:coreProperties>
</file>