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val="clear" w:fill="1B3A6B"/>
        <w:spacing w:before="200" w:after="160"/>
        <w:rPr/>
      </w:pPr>
      <w:r>
        <w:rPr>
          <w:rFonts w:eastAsia="Arial" w:cs="Arial"/>
          <w:b/>
          <w:bCs/>
          <w:color w:val="FFFFFF"/>
          <w:sz w:val="28"/>
          <w:szCs w:val="28"/>
        </w:rPr>
        <w:t>AI Governance Statement</w:t>
      </w:r>
    </w:p>
    <w:p>
      <w:pPr>
        <w:pStyle w:val="Normal"/>
        <w:spacing w:before="100" w:after="80"/>
        <w:rPr/>
      </w:pPr>
      <w:r>
        <w:rPr/>
      </w:r>
    </w:p>
    <w:tbl>
      <w:tblPr>
        <w:tblW w:w="9360" w:type="dxa"/>
        <w:jc w:val="start"/>
        <w:tblInd w:w="0" w:type="dxa"/>
        <w:tblLayout w:type="fixed"/>
        <w:tblCellMar>
          <w:top w:w="80" w:type="dxa"/>
          <w:start w:w="100" w:type="dxa"/>
          <w:bottom w:w="80" w:type="dxa"/>
          <w:end w:w="100" w:type="dxa"/>
        </w:tblCellMar>
      </w:tblPr>
      <w:tblGrid>
        <w:gridCol w:w="630"/>
        <w:gridCol w:w="8730"/>
      </w:tblGrid>
      <w:tr>
        <w:trPr/>
        <w:tc>
          <w:tcPr>
            <w:tcW w:w="630" w:type="dxa"/>
            <w:tcBorders/>
            <w:shd w:fill="0D7377" w:val="clear"/>
            <w:vAlign w:val="center"/>
          </w:tcPr>
          <w:p>
            <w:pPr>
              <w:pStyle w:val="Normal"/>
              <w:jc w:val="center"/>
              <w:rPr/>
            </w:pPr>
            <w:r>
              <w:rPr>
                <w:rFonts w:eastAsia="Arial" w:cs="Arial"/>
                <w:b/>
                <w:bCs/>
                <w:color w:val="FFFFFF"/>
                <w:sz w:val="18"/>
                <w:szCs w:val="18"/>
              </w:rPr>
              <w:t>PURPOSE</w:t>
            </w:r>
          </w:p>
        </w:tc>
        <w:tc>
          <w:tcPr>
            <w:tcW w:w="8730" w:type="dxa"/>
            <w:tcBorders/>
            <w:shd w:fill="E8F4FD" w:val="clear"/>
            <w:tcMar>
              <w:start w:w="160" w:type="dxa"/>
            </w:tcMar>
          </w:tcPr>
          <w:p>
            <w:pPr>
              <w:pStyle w:val="Normal"/>
              <w:rPr/>
            </w:pPr>
            <w:r>
              <w:rPr>
                <w:rFonts w:eastAsia="Arial" w:cs="Arial"/>
                <w:i/>
                <w:iCs/>
                <w:color w:val="2C3E50"/>
                <w:sz w:val="19"/>
                <w:szCs w:val="19"/>
              </w:rPr>
              <w:t>High-level public commitment to ethical AI usage by Dëkkal.</w:t>
            </w:r>
          </w:p>
        </w:tc>
      </w:tr>
    </w:tbl>
    <w:p>
      <w:pPr>
        <w:pStyle w:val="Normal"/>
        <w:spacing w:before="120" w:after="80"/>
        <w:rPr/>
      </w:pPr>
      <w:r>
        <w:rPr/>
      </w:r>
    </w:p>
    <w:p>
      <w:pPr>
        <w:pStyle w:val="Heading2"/>
        <w:rPr/>
      </w:pPr>
      <w:r>
        <w:rPr>
          <w:rFonts w:eastAsia="Arial" w:cs="Arial" w:ascii="Arial" w:hAnsi="Arial"/>
          <w:b/>
          <w:bCs/>
          <w:color w:val="1B3A6B"/>
          <w:sz w:val="24"/>
          <w:szCs w:val="24"/>
        </w:rPr>
        <w:t>Our Commitment</w:t>
      </w:r>
    </w:p>
    <w:p>
      <w:pPr>
        <w:pStyle w:val="Normal"/>
        <w:spacing w:before="60" w:after="80"/>
        <w:rPr/>
      </w:pPr>
      <w:r>
        <w:rPr>
          <w:rFonts w:eastAsia="Arial" w:cs="Arial"/>
          <w:b w:val="false"/>
          <w:bCs w:val="false"/>
          <w:i w:val="false"/>
          <w:iCs w:val="false"/>
          <w:color w:val="2C3E50"/>
          <w:sz w:val="20"/>
          <w:szCs w:val="20"/>
        </w:rPr>
        <w:t>Dëkkal is committed to developing and deploying artificial intelligence that is transparent, accountable, and fair. Our flood risk scoring system is designed to support — not replace — human judgment in insurance underwriting decisions.</w:t>
      </w:r>
    </w:p>
    <w:p>
      <w:pPr>
        <w:pStyle w:val="Normal"/>
        <w:spacing w:before="80" w:after="80"/>
        <w:rPr/>
      </w:pPr>
      <w:r>
        <w:rPr/>
      </w:r>
    </w:p>
    <w:p>
      <w:pPr>
        <w:pStyle w:val="Heading3"/>
        <w:rPr/>
      </w:pPr>
      <w:r>
        <w:rPr>
          <w:rFonts w:eastAsia="Arial" w:cs="Arial" w:ascii="Arial" w:hAnsi="Arial"/>
          <w:b/>
          <w:bCs/>
          <w:color w:val="0D7377"/>
          <w:sz w:val="22"/>
          <w:szCs w:val="22"/>
        </w:rPr>
        <w:t>Principle 1 — Geophysical Data Only</w:t>
      </w:r>
    </w:p>
    <w:p>
      <w:pPr>
        <w:pStyle w:val="Normal"/>
        <w:spacing w:before="60" w:after="80"/>
        <w:rPr/>
      </w:pPr>
      <w:r>
        <w:rPr>
          <w:rFonts w:eastAsia="Arial" w:cs="Arial"/>
          <w:b w:val="false"/>
          <w:bCs w:val="false"/>
          <w:i w:val="false"/>
          <w:iCs w:val="false"/>
          <w:color w:val="2C3E50"/>
          <w:sz w:val="20"/>
          <w:szCs w:val="20"/>
        </w:rPr>
        <w:t>Our AI model uses exclusively satellite imagery, terrain elevation, rainfall statistics, soil properties, and drainage network data. No personal, demographic, income, or identity data is collected, stored, or processed at any stage.</w:t>
      </w:r>
    </w:p>
    <w:p>
      <w:pPr>
        <w:pStyle w:val="Heading3"/>
        <w:rPr/>
      </w:pPr>
      <w:r>
        <w:rPr>
          <w:rFonts w:eastAsia="Arial" w:cs="Arial" w:ascii="Arial" w:hAnsi="Arial"/>
          <w:b/>
          <w:bCs/>
          <w:color w:val="0D7377"/>
          <w:sz w:val="22"/>
          <w:szCs w:val="22"/>
        </w:rPr>
        <w:t>Principle 2 — Human-in-the-Loop</w:t>
      </w:r>
    </w:p>
    <w:p>
      <w:pPr>
        <w:pStyle w:val="Normal"/>
        <w:spacing w:before="60" w:after="80"/>
        <w:rPr/>
      </w:pPr>
      <w:r>
        <w:rPr>
          <w:rFonts w:eastAsia="Arial" w:cs="Arial"/>
          <w:b w:val="false"/>
          <w:bCs w:val="false"/>
          <w:i w:val="false"/>
          <w:iCs w:val="false"/>
          <w:color w:val="2C3E50"/>
          <w:sz w:val="20"/>
          <w:szCs w:val="20"/>
        </w:rPr>
        <w:t>All scores above 75/100 require mandatory human review before any underwriting decision. No automated approval or denial of insurance coverage is permitted.</w:t>
      </w:r>
    </w:p>
    <w:p>
      <w:pPr>
        <w:pStyle w:val="Heading3"/>
        <w:rPr/>
      </w:pPr>
      <w:r>
        <w:rPr>
          <w:rFonts w:eastAsia="Arial" w:cs="Arial" w:ascii="Arial" w:hAnsi="Arial"/>
          <w:b/>
          <w:bCs/>
          <w:color w:val="0D7377"/>
          <w:sz w:val="22"/>
          <w:szCs w:val="22"/>
        </w:rPr>
        <w:t>Principle 3 — Explainability by Design</w:t>
      </w:r>
    </w:p>
    <w:p>
      <w:pPr>
        <w:pStyle w:val="Normal"/>
        <w:spacing w:before="60" w:after="80"/>
        <w:rPr/>
      </w:pPr>
      <w:r>
        <w:rPr>
          <w:rFonts w:eastAsia="Arial" w:cs="Arial"/>
          <w:b w:val="false"/>
          <w:bCs w:val="false"/>
          <w:i w:val="false"/>
          <w:iCs w:val="false"/>
          <w:color w:val="2C3E50"/>
          <w:sz w:val="20"/>
          <w:szCs w:val="20"/>
        </w:rPr>
        <w:t>Every risk score is accompanied by a minimum of three ranked explanatory factors. No opaque score is ever delivered. Insurers can request a full feature attribution report for any individual score.</w:t>
      </w:r>
    </w:p>
    <w:p>
      <w:pPr>
        <w:pStyle w:val="Heading3"/>
        <w:rPr/>
      </w:pPr>
      <w:r>
        <w:rPr>
          <w:rFonts w:eastAsia="Arial" w:cs="Arial" w:ascii="Arial" w:hAnsi="Arial"/>
          <w:b/>
          <w:bCs/>
          <w:color w:val="0D7377"/>
          <w:sz w:val="22"/>
          <w:szCs w:val="22"/>
        </w:rPr>
        <w:t>Principle 4 — Data Sovereignty</w:t>
      </w:r>
    </w:p>
    <w:p>
      <w:pPr>
        <w:pStyle w:val="Normal"/>
        <w:spacing w:before="60" w:after="80"/>
        <w:rPr/>
      </w:pPr>
      <w:r>
        <w:rPr>
          <w:rFonts w:eastAsia="Arial" w:cs="Arial"/>
          <w:b w:val="false"/>
          <w:bCs w:val="false"/>
          <w:i w:val="false"/>
          <w:iCs w:val="false"/>
          <w:color w:val="2C3E50"/>
          <w:sz w:val="20"/>
          <w:szCs w:val="20"/>
        </w:rPr>
        <w:t>All data is hosted at Sénégal Numérique SA — an ISO 27001 certified sovereign datacenter in Diamniadio, Senegal. No data transfer outside West Africa without explicit contractual consent.</w:t>
      </w:r>
    </w:p>
    <w:p>
      <w:pPr>
        <w:pStyle w:val="Heading3"/>
        <w:rPr/>
      </w:pPr>
      <w:r>
        <w:rPr>
          <w:rFonts w:eastAsia="Arial" w:cs="Arial" w:ascii="Arial" w:hAnsi="Arial"/>
          <w:b/>
          <w:bCs/>
          <w:color w:val="0D7377"/>
          <w:sz w:val="22"/>
          <w:szCs w:val="22"/>
        </w:rPr>
        <w:t>Principle 5 — Continuous Accountability</w:t>
      </w:r>
    </w:p>
    <w:p>
      <w:pPr>
        <w:pStyle w:val="Normal"/>
        <w:spacing w:before="60" w:after="80"/>
        <w:rPr/>
      </w:pPr>
      <w:r>
        <w:rPr>
          <w:rFonts w:eastAsia="Arial" w:cs="Arial"/>
          <w:b w:val="false"/>
          <w:bCs w:val="false"/>
          <w:i w:val="false"/>
          <w:iCs w:val="false"/>
          <w:color w:val="2C3E50"/>
          <w:sz w:val="20"/>
          <w:szCs w:val="20"/>
        </w:rPr>
        <w:t>The model is recalibrated quarterly. Bias audits are conducted every quarter. An external audit is conducted annually. All audit results are available to clients upon request.</w:t>
      </w:r>
    </w:p>
    <w:p>
      <w:pPr>
        <w:pStyle w:val="Normal"/>
        <w:spacing w:before="120" w:after="80"/>
        <w:rPr/>
      </w:pPr>
      <w:r>
        <w:rPr/>
      </w:r>
    </w:p>
    <w:p>
      <w:pPr>
        <w:pStyle w:val="Heading2"/>
        <w:rPr/>
      </w:pPr>
      <w:r>
        <w:rPr>
          <w:rFonts w:eastAsia="Arial" w:cs="Arial" w:ascii="Arial" w:hAnsi="Arial"/>
          <w:b/>
          <w:bCs/>
          <w:color w:val="1B3A6B"/>
          <w:sz w:val="24"/>
          <w:szCs w:val="24"/>
        </w:rPr>
        <w:t>Responsible Officers</w:t>
      </w:r>
    </w:p>
    <w:tbl>
      <w:tblPr>
        <w:tblW w:w="9360" w:type="dxa"/>
        <w:jc w:val="start"/>
        <w:tblInd w:w="0" w:type="dxa"/>
        <w:tblLayout w:type="fixed"/>
        <w:tblCellMar>
          <w:top w:w="80" w:type="dxa"/>
          <w:start w:w="120" w:type="dxa"/>
          <w:bottom w:w="80" w:type="dxa"/>
          <w:end w:w="120" w:type="dxa"/>
        </w:tblCellMar>
      </w:tblPr>
      <w:tblGrid>
        <w:gridCol w:w="2799"/>
        <w:gridCol w:w="2401"/>
        <w:gridCol w:w="4160"/>
      </w:tblGrid>
      <w:tr>
        <w:trPr>
          <w:tblHeader w:val="true"/>
        </w:trPr>
        <w:tc>
          <w:tcPr>
            <w:tcW w:w="2799" w:type="dxa"/>
            <w:tcBorders>
              <w:top w:val="single" w:sz="2" w:space="0" w:color="CCCCCC"/>
              <w:start w:val="single" w:sz="2" w:space="0" w:color="CCCCCC"/>
              <w:bottom w:val="single" w:sz="2" w:space="0" w:color="CCCCCC"/>
              <w:end w:val="single" w:sz="2" w:space="0" w:color="CCCCCC"/>
            </w:tcBorders>
            <w:shd w:fill="1B3A6B" w:val="clear"/>
          </w:tcPr>
          <w:p>
            <w:pPr>
              <w:pStyle w:val="Normal"/>
              <w:rPr/>
            </w:pPr>
            <w:r>
              <w:rPr>
                <w:rFonts w:eastAsia="Arial" w:cs="Arial"/>
                <w:b/>
                <w:bCs/>
                <w:color w:val="FFFFFF"/>
                <w:sz w:val="19"/>
                <w:szCs w:val="19"/>
              </w:rPr>
              <w:t>Role</w:t>
            </w:r>
          </w:p>
        </w:tc>
        <w:tc>
          <w:tcPr>
            <w:tcW w:w="2401" w:type="dxa"/>
            <w:tcBorders>
              <w:top w:val="single" w:sz="2" w:space="0" w:color="CCCCCC"/>
              <w:start w:val="single" w:sz="2" w:space="0" w:color="CCCCCC"/>
              <w:bottom w:val="single" w:sz="2" w:space="0" w:color="CCCCCC"/>
              <w:end w:val="single" w:sz="2" w:space="0" w:color="CCCCCC"/>
            </w:tcBorders>
            <w:shd w:fill="1B3A6B" w:val="clear"/>
          </w:tcPr>
          <w:p>
            <w:pPr>
              <w:pStyle w:val="Normal"/>
              <w:rPr/>
            </w:pPr>
            <w:r>
              <w:rPr>
                <w:rFonts w:eastAsia="Arial" w:cs="Arial"/>
                <w:b/>
                <w:bCs/>
                <w:color w:val="FFFFFF"/>
                <w:sz w:val="19"/>
                <w:szCs w:val="19"/>
              </w:rPr>
              <w:t>Name</w:t>
            </w:r>
          </w:p>
        </w:tc>
        <w:tc>
          <w:tcPr>
            <w:tcW w:w="4160" w:type="dxa"/>
            <w:tcBorders>
              <w:top w:val="single" w:sz="2" w:space="0" w:color="CCCCCC"/>
              <w:start w:val="single" w:sz="2" w:space="0" w:color="CCCCCC"/>
              <w:bottom w:val="single" w:sz="2" w:space="0" w:color="CCCCCC"/>
              <w:end w:val="single" w:sz="2" w:space="0" w:color="CCCCCC"/>
            </w:tcBorders>
            <w:shd w:fill="1B3A6B" w:val="clear"/>
          </w:tcPr>
          <w:p>
            <w:pPr>
              <w:pStyle w:val="Normal"/>
              <w:rPr/>
            </w:pPr>
            <w:r>
              <w:rPr>
                <w:rFonts w:eastAsia="Arial" w:cs="Arial"/>
                <w:b/>
                <w:bCs/>
                <w:color w:val="FFFFFF"/>
                <w:sz w:val="19"/>
                <w:szCs w:val="19"/>
              </w:rPr>
              <w:t>Scope</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2C3E50"/>
                <w:sz w:val="19"/>
                <w:szCs w:val="19"/>
              </w:rPr>
              <w:t>CTO — Responsible Officer for Model Outputs</w:t>
            </w:r>
          </w:p>
        </w:tc>
        <w:tc>
          <w:tcPr>
            <w:tcW w:w="24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2C3E50"/>
                <w:sz w:val="19"/>
                <w:szCs w:val="19"/>
              </w:rPr>
              <w:t>Babacar Ndao</w:t>
            </w:r>
          </w:p>
        </w:tc>
        <w:tc>
          <w:tcPr>
            <w:tcW w:w="41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2C3E50"/>
                <w:sz w:val="19"/>
                <w:szCs w:val="19"/>
              </w:rPr>
              <w:t>Score accuracy, bias monitoring, recalibration, incident response</w:t>
            </w:r>
          </w:p>
        </w:tc>
      </w:tr>
      <w:tr>
        <w:trPr/>
        <w:tc>
          <w:tcPr>
            <w:tcW w:w="2799" w:type="dxa"/>
            <w:tcBorders>
              <w:top w:val="single" w:sz="2" w:space="0" w:color="CCCCCC"/>
              <w:start w:val="single" w:sz="2" w:space="0" w:color="CCCCCC"/>
              <w:bottom w:val="single" w:sz="2" w:space="0" w:color="CCCCCC"/>
              <w:end w:val="single" w:sz="2" w:space="0" w:color="CCCCCC"/>
            </w:tcBorders>
            <w:shd w:fill="F0F7FF" w:val="clear"/>
          </w:tcPr>
          <w:p>
            <w:pPr>
              <w:pStyle w:val="Normal"/>
              <w:rPr/>
            </w:pPr>
            <w:r>
              <w:rPr>
                <w:rFonts w:eastAsia="Arial" w:cs="Arial"/>
                <w:color w:val="2C3E50"/>
                <w:sz w:val="19"/>
                <w:szCs w:val="19"/>
              </w:rPr>
              <w:t>CEO — Overall AI Governance Accountability</w:t>
            </w:r>
          </w:p>
        </w:tc>
        <w:tc>
          <w:tcPr>
            <w:tcW w:w="2401" w:type="dxa"/>
            <w:tcBorders>
              <w:top w:val="single" w:sz="2" w:space="0" w:color="CCCCCC"/>
              <w:start w:val="single" w:sz="2" w:space="0" w:color="CCCCCC"/>
              <w:bottom w:val="single" w:sz="2" w:space="0" w:color="CCCCCC"/>
              <w:end w:val="single" w:sz="2" w:space="0" w:color="CCCCCC"/>
            </w:tcBorders>
            <w:shd w:fill="F0F7FF" w:val="clear"/>
          </w:tcPr>
          <w:p>
            <w:pPr>
              <w:pStyle w:val="Normal"/>
              <w:rPr/>
            </w:pPr>
            <w:r>
              <w:rPr>
                <w:rFonts w:eastAsia="Arial" w:cs="Arial"/>
                <w:color w:val="2C3E50"/>
                <w:sz w:val="19"/>
                <w:szCs w:val="19"/>
              </w:rPr>
              <w:t>Aminata Sall</w:t>
            </w:r>
          </w:p>
        </w:tc>
        <w:tc>
          <w:tcPr>
            <w:tcW w:w="4160" w:type="dxa"/>
            <w:tcBorders>
              <w:top w:val="single" w:sz="2" w:space="0" w:color="CCCCCC"/>
              <w:start w:val="single" w:sz="2" w:space="0" w:color="CCCCCC"/>
              <w:bottom w:val="single" w:sz="2" w:space="0" w:color="CCCCCC"/>
              <w:end w:val="single" w:sz="2" w:space="0" w:color="CCCCCC"/>
            </w:tcBorders>
            <w:shd w:fill="F0F7FF" w:val="clear"/>
          </w:tcPr>
          <w:p>
            <w:pPr>
              <w:pStyle w:val="Normal"/>
              <w:rPr/>
            </w:pPr>
            <w:r>
              <w:rPr>
                <w:rFonts w:eastAsia="Arial" w:cs="Arial"/>
                <w:color w:val="2C3E50"/>
                <w:sz w:val="19"/>
                <w:szCs w:val="19"/>
              </w:rPr>
              <w:t>Regulatory compliance, ethics, CIMA alignment</w:t>
            </w:r>
          </w:p>
        </w:tc>
      </w:tr>
    </w:tbl>
    <w:p>
      <w:pPr>
        <w:pStyle w:val="Normal"/>
        <w:spacing w:before="120" w:after="80"/>
        <w:rPr/>
      </w:pPr>
      <w:r>
        <w:rPr/>
      </w:r>
    </w:p>
    <w:p>
      <w:pPr>
        <w:pStyle w:val="Heading2"/>
        <w:rPr/>
      </w:pPr>
      <w:r>
        <w:rPr>
          <w:rFonts w:eastAsia="Arial" w:cs="Arial" w:ascii="Arial" w:hAnsi="Arial"/>
          <w:b/>
          <w:bCs/>
          <w:color w:val="1B3A6B"/>
          <w:sz w:val="24"/>
          <w:szCs w:val="24"/>
        </w:rPr>
        <w:t>Regulatory Alignment</w:t>
      </w:r>
    </w:p>
    <w:p>
      <w:pPr>
        <w:pStyle w:val="ListParagraph"/>
        <w:numPr>
          <w:ilvl w:val="0"/>
          <w:numId w:val="3"/>
        </w:numPr>
        <w:spacing w:before="50" w:after="50"/>
        <w:rPr/>
      </w:pPr>
      <w:r>
        <w:rPr>
          <w:rFonts w:eastAsia="Arial" w:cs="Arial"/>
          <w:color w:val="2C3E50"/>
          <w:sz w:val="20"/>
          <w:szCs w:val="20"/>
        </w:rPr>
        <w:t>ARISE Framework — Pillars 4 (Data Sovereignty) and 6 (Ethical Governance)</w:t>
      </w:r>
    </w:p>
    <w:p>
      <w:pPr>
        <w:pStyle w:val="ListParagraph"/>
        <w:numPr>
          <w:ilvl w:val="0"/>
          <w:numId w:val="1"/>
        </w:numPr>
        <w:spacing w:before="50" w:after="50"/>
        <w:rPr/>
      </w:pPr>
      <w:r>
        <w:rPr>
          <w:rFonts w:eastAsia="Arial" w:cs="Arial"/>
          <w:color w:val="2C3E50"/>
          <w:sz w:val="20"/>
          <w:szCs w:val="20"/>
        </w:rPr>
        <w:t>Ghana National AI Strategy</w:t>
      </w:r>
    </w:p>
    <w:p>
      <w:pPr>
        <w:pStyle w:val="ListParagraph"/>
        <w:numPr>
          <w:ilvl w:val="0"/>
          <w:numId w:val="1"/>
        </w:numPr>
        <w:spacing w:before="50" w:after="50"/>
        <w:rPr/>
      </w:pPr>
      <w:r>
        <w:rPr>
          <w:rFonts w:eastAsia="Arial" w:cs="Arial"/>
          <w:color w:val="2C3E50"/>
          <w:sz w:val="20"/>
          <w:szCs w:val="20"/>
        </w:rPr>
        <w:t>CIMA Zone insurance regulatory standards</w:t>
      </w:r>
    </w:p>
    <w:p>
      <w:pPr>
        <w:pStyle w:val="ListParagraph"/>
        <w:numPr>
          <w:ilvl w:val="0"/>
          <w:numId w:val="1"/>
        </w:numPr>
        <w:spacing w:before="50" w:after="50"/>
        <w:rPr/>
      </w:pPr>
      <w:r>
        <w:rPr>
          <w:rFonts w:eastAsia="Arial" w:cs="Arial"/>
          <w:color w:val="2C3E50"/>
          <w:sz w:val="20"/>
          <w:szCs w:val="20"/>
        </w:rPr>
        <w:t>Senegalese Data Protection Law (Law 2008-12)</w:t>
      </w:r>
    </w:p>
    <w:p>
      <w:pPr>
        <w:pStyle w:val="ListParagraph"/>
        <w:numPr>
          <w:ilvl w:val="0"/>
          <w:numId w:val="1"/>
        </w:numPr>
        <w:spacing w:before="50" w:after="50"/>
        <w:rPr/>
      </w:pPr>
      <w:r>
        <w:rPr>
          <w:rFonts w:eastAsia="Arial" w:cs="Arial"/>
          <w:color w:val="2C3E50"/>
          <w:sz w:val="20"/>
          <w:szCs w:val="20"/>
        </w:rPr>
        <w:t>GDPR data processing principles</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260" w:right="126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0D7377"/>
      </w:pBdr>
      <w:jc w:val="center"/>
      <w:rPr/>
    </w:pPr>
    <w:r>
      <w:rPr>
        <w:rFonts w:eastAsia="Arial" w:cs="Arial"/>
        <w:b/>
        <w:bCs/>
        <w:color w:val="1B3A6B"/>
        <w:sz w:val="18"/>
        <w:szCs w:val="18"/>
      </w:rPr>
      <w:t>Dëkkal</w:t>
    </w:r>
    <w:r>
      <w:rPr>
        <w:rFonts w:eastAsia="Arial" w:cs="Arial"/>
        <w:color w:val="888888"/>
        <w:sz w:val="16"/>
        <w:szCs w:val="16"/>
      </w:rPr>
      <w:t xml:space="preserve">  |  Public AI Trust Center  |  ARISE Framework  |  April 2026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0D7377"/>
      </w:pBdr>
      <w:jc w:val="center"/>
      <w:rPr/>
    </w:pPr>
    <w:r>
      <w:rPr>
        <w:rFonts w:eastAsia="Arial" w:cs="Arial"/>
        <w:b/>
        <w:bCs/>
        <w:color w:val="1B3A6B"/>
        <w:sz w:val="18"/>
        <w:szCs w:val="18"/>
      </w:rPr>
      <w:t>Dëkkal</w:t>
    </w:r>
    <w:r>
      <w:rPr>
        <w:rFonts w:eastAsia="Arial" w:cs="Arial"/>
        <w:color w:val="888888"/>
        <w:sz w:val="16"/>
        <w:szCs w:val="16"/>
      </w:rPr>
      <w:t xml:space="preserve">  |  Public AI Trust Center  |  ARISE Framework  |  April 2026</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1B3A6B"/>
      </w:pBdr>
      <w:rPr/>
    </w:pPr>
    <w:r>
      <w:rPr>
        <w:rFonts w:eastAsia="Arial" w:cs="Arial"/>
        <w:b/>
        <w:bCs/>
        <w:color w:val="1B3A6B"/>
        <w:sz w:val="20"/>
        <w:szCs w:val="20"/>
      </w:rPr>
      <w:t xml:space="preserve">DËKKAL  </w:t>
    </w:r>
    <w:r>
      <w:rPr>
        <w:rFonts w:eastAsia="Arial" w:cs="Arial"/>
        <w:color w:val="0D7377"/>
        <w:sz w:val="18"/>
        <w:szCs w:val="18"/>
      </w:rPr>
      <w:t>|  AI Governance Statement</w:t>
    </w:r>
    <w:r>
      <w:rPr>
        <w:rFonts w:eastAsia="Arial" w:cs="Arial"/>
        <w:i/>
        <w:iCs/>
        <w:color w:val="999999"/>
        <w:sz w:val="16"/>
        <w:szCs w:val="16"/>
      </w:rPr>
      <w:t xml:space="preserve">          Public AI Trust Pack  |  v1.0  |  April 2026</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1B3A6B"/>
      </w:pBdr>
      <w:rPr/>
    </w:pPr>
    <w:r>
      <w:rPr>
        <w:rFonts w:eastAsia="Arial" w:cs="Arial"/>
        <w:b/>
        <w:bCs/>
        <w:color w:val="1B3A6B"/>
        <w:sz w:val="20"/>
        <w:szCs w:val="20"/>
      </w:rPr>
      <w:t xml:space="preserve">DËKKAL  </w:t>
    </w:r>
    <w:r>
      <w:rPr>
        <w:rFonts w:eastAsia="Arial" w:cs="Arial"/>
        <w:color w:val="0D7377"/>
        <w:sz w:val="18"/>
        <w:szCs w:val="18"/>
      </w:rPr>
      <w:t>|  AI Governance Statement</w:t>
    </w:r>
    <w:r>
      <w:rPr>
        <w:rFonts w:eastAsia="Arial" w:cs="Arial"/>
        <w:i/>
        <w:iCs/>
        <w:color w:val="999999"/>
        <w:sz w:val="16"/>
        <w:szCs w:val="16"/>
      </w:rPr>
      <w:t xml:space="preserve">          Public AI Trust Pack  |  v1.0  |  April 2026</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2C3E50"/>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2C3E50"/>
      <w:kern w:val="0"/>
      <w:sz w:val="20"/>
      <w:szCs w:val="20"/>
      <w:lang w:val="en-US" w:eastAsia="zh-CN" w:bidi="hi-IN"/>
    </w:rPr>
  </w:style>
  <w:style w:type="paragraph" w:styleId="Heading1">
    <w:name w:val="heading 1"/>
    <w:basedOn w:val="Heading"/>
    <w:qFormat/>
    <w:pPr>
      <w:spacing w:before="320" w:after="160"/>
      <w:outlineLvl w:val="0"/>
    </w:pPr>
    <w:rPr>
      <w:rFonts w:ascii="Arial" w:hAnsi="Arial" w:eastAsia="Arial" w:cs="Arial"/>
      <w:b/>
      <w:bCs/>
      <w:color w:val="1B3A6B"/>
      <w:sz w:val="32"/>
      <w:szCs w:val="32"/>
    </w:rPr>
  </w:style>
  <w:style w:type="paragraph" w:styleId="Heading2">
    <w:name w:val="heading 2"/>
    <w:basedOn w:val="Heading"/>
    <w:qFormat/>
    <w:pPr>
      <w:spacing w:before="240" w:after="120"/>
      <w:outlineLvl w:val="1"/>
    </w:pPr>
    <w:rPr>
      <w:rFonts w:ascii="Arial" w:hAnsi="Arial" w:eastAsia="Arial" w:cs="Arial"/>
      <w:b/>
      <w:bCs/>
      <w:color w:val="1B3A6B"/>
      <w:sz w:val="24"/>
      <w:szCs w:val="24"/>
    </w:rPr>
  </w:style>
  <w:style w:type="paragraph" w:styleId="Heading3">
    <w:name w:val="heading 3"/>
    <w:basedOn w:val="Heading"/>
    <w:qFormat/>
    <w:pPr>
      <w:spacing w:before="180" w:after="80"/>
      <w:outlineLvl w:val="2"/>
    </w:pPr>
    <w:rPr>
      <w:rFonts w:ascii="Arial" w:hAnsi="Arial" w:eastAsia="Arial" w:cs="Arial"/>
      <w:b/>
      <w:bCs/>
      <w:color w:val="0D7377"/>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2C3E50"/>
      <w:kern w:val="0"/>
      <w:sz w:val="20"/>
      <w:szCs w:val="20"/>
      <w:lang w:val="en-US" w:eastAsia="zh-CN" w:bidi="hi-IN"/>
    </w:rPr>
  </w:style>
  <w:style w:type="paragraph" w:styleId="ListParagraph">
    <w:name w:val="List Paragraph"/>
    <w:qFormat/>
    <w:pPr>
      <w:widowControl/>
      <w:bidi w:val="0"/>
      <w:spacing w:before="0" w:after="0"/>
      <w:jc w:val="start"/>
    </w:pPr>
    <w:rPr>
      <w:rFonts w:ascii="Arial" w:hAnsi="Arial" w:eastAsia="Arial" w:cs="Arial"/>
      <w:color w:val="2C3E50"/>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LibreOffice/25.8.6.2$Linux_X86_64 LibreOffice_project/a46b460d1686bb49c718d2ef5f88b83ff2dc4981</Application>
  <AppVersion>15.0000</AppVersion>
  <Pages>2</Pages>
  <Words>300</Words>
  <Characters>1812</Characters>
  <CharactersWithSpaces>2106</CharactersWithSpaces>
  <Paragraphs>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2026-04-28T14:41:12Z</dcterms:created>
  <dc:creator>Un-named</dc:creator>
  <dc:description/>
  <dc:language>en-US</dc:language>
  <cp:lastModifiedBy/>
  <dcterms:modified xsi:type="dcterms:W3CDTF">2026-04-28T16:48:37Z</dcterms:modified>
  <cp:revision>2</cp:revision>
  <dc:subject/>
  <dc:title/>
</cp:coreProperties>
</file>