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fill="1B3A6B"/>
        <w:spacing w:before="200" w:after="160"/>
        <w:rPr/>
      </w:pPr>
      <w:r>
        <w:rPr>
          <w:rFonts w:eastAsia="Arial" w:cs="Arial"/>
          <w:b/>
          <w:bCs/>
          <w:color w:val="FFFFFF"/>
          <w:sz w:val="28"/>
          <w:szCs w:val="28"/>
        </w:rPr>
        <w:t>Risk Escalation Map</w:t>
      </w:r>
    </w:p>
    <w:p>
      <w:pPr>
        <w:pStyle w:val="Normal"/>
        <w:spacing w:before="10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630"/>
        <w:gridCol w:w="8730"/>
      </w:tblGrid>
      <w:tr>
        <w:trPr/>
        <w:tc>
          <w:tcPr>
            <w:tcW w:w="630" w:type="dxa"/>
            <w:tcBorders/>
            <w:shd w:fill="0D737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8730" w:type="dxa"/>
            <w:tcBorders/>
            <w:shd w:fill="E8F4FD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2C3E50"/>
                <w:sz w:val="19"/>
                <w:szCs w:val="19"/>
              </w:rPr>
              <w:t>Process for reporting and mitigating algorithmic risks. Defines triggers, escalation hierarchy, and incident response protocol.</w:t>
            </w:r>
          </w:p>
        </w:tc>
      </w:tr>
    </w:tbl>
    <w:p>
      <w:pPr>
        <w:pStyle w:val="Normal"/>
        <w:spacing w:before="12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1. Score Thresholds &amp; Automatic Actions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2000"/>
        <w:gridCol w:w="5360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Score Range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Risk Level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Automatic Action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0–30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Low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Standard underwriting — no escalation required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31–55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Moderate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File review recommended — insurer notified via response flag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56–75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High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Field verification advised — flag raised in API response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76–100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Extreme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MANDATORY human decision — automated processing blocked</w:t>
            </w:r>
          </w:p>
        </w:tc>
      </w:tr>
    </w:tbl>
    <w:p>
      <w:pPr>
        <w:pStyle w:val="Normal"/>
        <w:spacing w:before="12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2. Escalation Triggers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2400"/>
        <w:gridCol w:w="4360"/>
      </w:tblGrid>
      <w:tr>
        <w:trPr>
          <w:tblHeader w:val="true"/>
        </w:trPr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Trigger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Who Detects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Score &gt; 75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API (automatic)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Block automated decision, notify underwriter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Confidence &lt; 0.5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API (automatic)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Add warning flag to response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Geocoding failure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API (automatic)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Return error + address suggestions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False negative reported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Insurer via POST /api/v1/feedback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Open investigation J+2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Model drift (&gt;10% score shift)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CTO monthly review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Trigger emergency recalibration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Data source outage (GEE, CHIRPS)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Prometheus monitoring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Fallback to cached features + low-confidence flag</w:t>
            </w:r>
          </w:p>
        </w:tc>
      </w:tr>
    </w:tbl>
    <w:p>
      <w:pPr>
        <w:pStyle w:val="Normal"/>
        <w:spacing w:before="12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3. Incident Response Protocol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00"/>
        <w:gridCol w:w="5400"/>
        <w:gridCol w:w="2560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Timeline</w:t>
            </w:r>
          </w:p>
        </w:tc>
        <w:tc>
          <w:tcPr>
            <w:tcW w:w="5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Owner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J+0</w:t>
            </w:r>
          </w:p>
        </w:tc>
        <w:tc>
          <w:tcPr>
            <w:tcW w:w="5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Insurer reports incident via API or email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Insurer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J+2</w:t>
            </w:r>
          </w:p>
        </w:tc>
        <w:tc>
          <w:tcPr>
            <w:tcW w:w="5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CTO opens investigation — root cause analysis begins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Babacar Ndao, CTO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J+5</w:t>
            </w:r>
          </w:p>
        </w:tc>
        <w:tc>
          <w:tcPr>
            <w:tcW w:w="5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Preliminary report: model error vs insurer decision error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Babacar Ndao, CTO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J+15</w:t>
            </w:r>
          </w:p>
        </w:tc>
        <w:tc>
          <w:tcPr>
            <w:tcW w:w="5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Final root cause report with supporting satellite data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Babacar Ndao, CTO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J+30</w:t>
            </w:r>
          </w:p>
        </w:tc>
        <w:tc>
          <w:tcPr>
            <w:tcW w:w="5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Corrective patch deployed + recalibration if systemic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Dëkkal Team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J+30</w:t>
            </w:r>
          </w:p>
        </w:tc>
        <w:tc>
          <w:tcPr>
            <w:tcW w:w="5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All clients notified if error is systemic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Aminata Sall, CEO</w:t>
            </w:r>
          </w:p>
        </w:tc>
      </w:tr>
    </w:tbl>
    <w:p>
      <w:pPr>
        <w:pStyle w:val="Normal"/>
        <w:spacing w:before="12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4. Escalation Hierarchy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99"/>
        <w:gridCol w:w="3001"/>
        <w:gridCol w:w="2400"/>
        <w:gridCol w:w="2360"/>
      </w:tblGrid>
      <w:tr>
        <w:trPr>
          <w:tblHeader w:val="true"/>
        </w:trPr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Level</w:t>
            </w:r>
          </w:p>
        </w:tc>
        <w:tc>
          <w:tcPr>
            <w:tcW w:w="3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Trigger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2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Response Time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Level 1 — Automatic</w:t>
            </w:r>
          </w:p>
        </w:tc>
        <w:tc>
          <w:tcPr>
            <w:tcW w:w="3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Score flags, confidence warnings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API</w:t>
            </w:r>
          </w:p>
        </w:tc>
        <w:tc>
          <w:tcPr>
            <w:tcW w:w="2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Immediate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Level 2 — Insurer Analyst</w:t>
            </w:r>
          </w:p>
        </w:tc>
        <w:tc>
          <w:tcPr>
            <w:tcW w:w="3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Scores 56–100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Insurer Risk Analyst</w:t>
            </w:r>
          </w:p>
        </w:tc>
        <w:tc>
          <w:tcPr>
            <w:tcW w:w="2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Same day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Level 3 — Dëkkal CTO</w:t>
            </w:r>
          </w:p>
        </w:tc>
        <w:tc>
          <w:tcPr>
            <w:tcW w:w="3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Systemic errors, model drift, data failures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Babacar Ndao</w:t>
            </w:r>
          </w:p>
        </w:tc>
        <w:tc>
          <w:tcPr>
            <w:tcW w:w="2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&lt; 48 hours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Level 4 — Dëkkal CEO</w:t>
            </w:r>
          </w:p>
        </w:tc>
        <w:tc>
          <w:tcPr>
            <w:tcW w:w="3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Regulatory escalation, CIMA audit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Aminata Sall</w:t>
            </w:r>
          </w:p>
        </w:tc>
        <w:tc>
          <w:tcPr>
            <w:tcW w:w="2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&lt; 72 hours</w:t>
            </w:r>
          </w:p>
        </w:tc>
      </w:tr>
    </w:tbl>
    <w:p>
      <w:pPr>
        <w:pStyle w:val="Normal"/>
        <w:spacing w:before="12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5. Liability Cap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2C3E50"/>
          <w:sz w:val="20"/>
          <w:szCs w:val="20"/>
        </w:rPr>
        <w:t>Dëkkal's financial liability is capped at 12 months of contract value per confirmed scoring error. All final underwriting decisions remain the sole responsibility of the insurer.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260" w:right="126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0D7377"/>
      </w:pBdr>
      <w:jc w:val="center"/>
      <w:rPr/>
    </w:pPr>
    <w:r>
      <w:rPr>
        <w:rFonts w:eastAsia="Arial" w:cs="Arial"/>
        <w:b/>
        <w:bCs/>
        <w:color w:val="1B3A6B"/>
        <w:sz w:val="18"/>
        <w:szCs w:val="18"/>
      </w:rPr>
      <w:t>Dëkkal</w:t>
    </w:r>
    <w:r>
      <w:rPr>
        <w:rFonts w:eastAsia="Arial" w:cs="Arial"/>
        <w:color w:val="888888"/>
        <w:sz w:val="16"/>
        <w:szCs w:val="16"/>
      </w:rPr>
      <w:t xml:space="preserve">  |  Public AI Trust Center  |  ARISE Framework  |  April 2026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0D7377"/>
      </w:pBdr>
      <w:jc w:val="center"/>
      <w:rPr/>
    </w:pPr>
    <w:r>
      <w:rPr>
        <w:rFonts w:eastAsia="Arial" w:cs="Arial"/>
        <w:b/>
        <w:bCs/>
        <w:color w:val="1B3A6B"/>
        <w:sz w:val="18"/>
        <w:szCs w:val="18"/>
      </w:rPr>
      <w:t>Dëkkal</w:t>
    </w:r>
    <w:r>
      <w:rPr>
        <w:rFonts w:eastAsia="Arial" w:cs="Arial"/>
        <w:color w:val="888888"/>
        <w:sz w:val="16"/>
        <w:szCs w:val="16"/>
      </w:rPr>
      <w:t xml:space="preserve">  |  Public AI Trust Center  |  ARISE Framework  |  April 2026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B3A6B"/>
      </w:pBdr>
      <w:rPr/>
    </w:pPr>
    <w:r>
      <w:rPr>
        <w:rFonts w:eastAsia="Arial" w:cs="Arial"/>
        <w:b/>
        <w:bCs/>
        <w:color w:val="1B3A6B"/>
        <w:sz w:val="20"/>
        <w:szCs w:val="20"/>
      </w:rPr>
      <w:t xml:space="preserve">DËKKAL  </w:t>
    </w:r>
    <w:r>
      <w:rPr>
        <w:rFonts w:eastAsia="Arial" w:cs="Arial"/>
        <w:color w:val="0D7377"/>
        <w:sz w:val="18"/>
        <w:szCs w:val="18"/>
      </w:rPr>
      <w:t>|  Risk Escalation Map</w:t>
    </w:r>
    <w:r>
      <w:rPr>
        <w:rFonts w:eastAsia="Arial" w:cs="Arial"/>
        <w:i/>
        <w:iCs/>
        <w:color w:val="999999"/>
        <w:sz w:val="16"/>
        <w:szCs w:val="16"/>
      </w:rPr>
      <w:t xml:space="preserve">          Public AI Trust Pack  |  v1.0  |  April 2026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B3A6B"/>
      </w:pBdr>
      <w:rPr/>
    </w:pPr>
    <w:r>
      <w:rPr>
        <w:rFonts w:eastAsia="Arial" w:cs="Arial"/>
        <w:b/>
        <w:bCs/>
        <w:color w:val="1B3A6B"/>
        <w:sz w:val="20"/>
        <w:szCs w:val="20"/>
      </w:rPr>
      <w:t xml:space="preserve">DËKKAL  </w:t>
    </w:r>
    <w:r>
      <w:rPr>
        <w:rFonts w:eastAsia="Arial" w:cs="Arial"/>
        <w:color w:val="0D7377"/>
        <w:sz w:val="18"/>
        <w:szCs w:val="18"/>
      </w:rPr>
      <w:t>|  Risk Escalation Map</w:t>
    </w:r>
    <w:r>
      <w:rPr>
        <w:rFonts w:eastAsia="Arial" w:cs="Arial"/>
        <w:i/>
        <w:iCs/>
        <w:color w:val="999999"/>
        <w:sz w:val="16"/>
        <w:szCs w:val="16"/>
      </w:rPr>
      <w:t xml:space="preserve">          Public AI Trust Pack  |  v1.0  |  April 2026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2C3E50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2C3E50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spacing w:before="320" w:after="160"/>
      <w:outlineLvl w:val="0"/>
    </w:pPr>
    <w:rPr>
      <w:rFonts w:ascii="Arial" w:hAnsi="Arial" w:eastAsia="Arial" w:cs="Arial"/>
      <w:b/>
      <w:bCs/>
      <w:color w:val="1B3A6B"/>
      <w:sz w:val="32"/>
      <w:szCs w:val="32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1B3A6B"/>
      <w:sz w:val="24"/>
      <w:szCs w:val="24"/>
    </w:rPr>
  </w:style>
  <w:style w:type="paragraph" w:styleId="Heading3">
    <w:name w:val="heading 3"/>
    <w:basedOn w:val="Heading"/>
    <w:qFormat/>
    <w:pPr>
      <w:spacing w:before="180" w:after="80"/>
      <w:outlineLvl w:val="2"/>
    </w:pPr>
    <w:rPr>
      <w:rFonts w:ascii="Arial" w:hAnsi="Arial" w:eastAsia="Arial" w:cs="Arial"/>
      <w:b/>
      <w:bCs/>
      <w:color w:val="0D7377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2C3E50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2C3E50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LibreOffice/25.8.6.2$Linux_X86_64 LibreOffice_project/a46b460d1686bb49c718d2ef5f88b83ff2dc4981</Application>
  <AppVersion>15.0000</AppVersion>
  <Pages>2</Pages>
  <Words>325</Words>
  <Characters>1866</Characters>
  <CharactersWithSpaces>2128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2026-04-28T14:41:12Z</dcterms:created>
  <dc:creator>Un-named</dc:creator>
  <dc:description/>
  <dc:language>en-US</dc:language>
  <cp:lastModifiedBy/>
  <dcterms:modified xsi:type="dcterms:W3CDTF">2026-04-28T16:56:10Z</dcterms:modified>
  <cp:revision>2</cp:revision>
  <dc:subject/>
  <dc:title/>
</cp:coreProperties>
</file>