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B3A6B"/>
        <w:spacing w:before="200" w:after="160"/>
        <w:rPr/>
      </w:pPr>
      <w:r>
        <w:rPr>
          <w:rFonts w:eastAsia="Arial" w:cs="Arial"/>
          <w:b/>
          <w:bCs/>
          <w:color w:val="FFFFFF"/>
          <w:sz w:val="28"/>
          <w:szCs w:val="28"/>
        </w:rPr>
        <w:t>Data Ethics Checklist</w:t>
      </w:r>
    </w:p>
    <w:p>
      <w:pPr>
        <w:pStyle w:val="Normal"/>
        <w:spacing w:before="10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630"/>
        <w:gridCol w:w="8730"/>
      </w:tblGrid>
      <w:tr>
        <w:trPr/>
        <w:tc>
          <w:tcPr>
            <w:tcW w:w="630" w:type="dxa"/>
            <w:tcBorders/>
            <w:shd w:fill="0D737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8730" w:type="dxa"/>
            <w:tcBorders/>
            <w:shd w:fill="E8F4FD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2C3E50"/>
                <w:sz w:val="19"/>
                <w:szCs w:val="19"/>
              </w:rPr>
              <w:t>Internal verification for ethical data sourcing and handling. Score: 23/30 items complete (77%). Remaining 7 items pending first commercial deployment.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Section 1 — Data Collection &amp; Sourcing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99"/>
        <w:gridCol w:w="3201"/>
        <w:gridCol w:w="1400"/>
        <w:gridCol w:w="4160"/>
      </w:tblGrid>
      <w:tr>
        <w:trPr>
          <w:tblHeader w:val="true"/>
        </w:trPr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1.1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All data sources have verified open licenses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Sentinel-1, CHIRPS, SRTM, SoilGrids, ERA5, GPM, OSM — all open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1.2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No personal data collected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Addresses pseudonymized (SHA-256) before storage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1.3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No demographic proxies used as features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Only geophysical variables in model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1.4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Data sources documented in register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See AI Inventory List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1.5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Institutional data used only under formal agreement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⏳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Pending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ANACIM, ONAS partnerships in negotiation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1.6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Training labels documented and auditable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SAR-derived + terrain sources cited</w:t>
            </w:r>
          </w:p>
        </w:tc>
      </w:tr>
    </w:tbl>
    <w:p>
      <w:pPr>
        <w:pStyle w:val="Normal"/>
        <w:spacing w:before="10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Section 2 — Data Storage &amp; Security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99"/>
        <w:gridCol w:w="3201"/>
        <w:gridCol w:w="1400"/>
        <w:gridCol w:w="4160"/>
      </w:tblGrid>
      <w:tr>
        <w:trPr>
          <w:tblHeader w:val="true"/>
        </w:trPr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2.1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Data hosted in sovereign datacenter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Sénégal Numérique SA, Diamniadio (ISO 27001)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2.2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Data encrypted at rest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SHA-256 for addresses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2.3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Data encrypted in transit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TLS on all API endpoints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2.4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Access controls documented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CTO-only access to partner data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2.5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Retention policy defined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API logs: 90 days, scores: 24 months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2.6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No cross-border data transfer without consent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West Africa only</w:t>
            </w:r>
          </w:p>
        </w:tc>
      </w:tr>
    </w:tbl>
    <w:p>
      <w:pPr>
        <w:pStyle w:val="Normal"/>
        <w:spacing w:before="10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Section 3 — Fairness &amp; Bias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99"/>
        <w:gridCol w:w="3201"/>
        <w:gridCol w:w="1400"/>
        <w:gridCol w:w="4160"/>
      </w:tblGrid>
      <w:tr>
        <w:trPr>
          <w:tblHeader w:val="true"/>
        </w:trPr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3.1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Model trained on geophysical data only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No socioeconomic variables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3.2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Fairness audit scheduled quarterly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⏳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Pending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First audit due Q3 2026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3.3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Score distribution reviewed across zones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⏳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Pending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Pending first commercial deployment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3.4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No systematic over-scoring of low-income zones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⏳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Pending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To be verified at first audit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3.5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Bias audit results published for clients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⏳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Pending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Protocol defined, implementation pending</w:t>
            </w:r>
          </w:p>
        </w:tc>
      </w:tr>
    </w:tbl>
    <w:p>
      <w:pPr>
        <w:pStyle w:val="Normal"/>
        <w:spacing w:before="10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Section 4 — Model Transparency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99"/>
        <w:gridCol w:w="3201"/>
        <w:gridCol w:w="1400"/>
        <w:gridCol w:w="4160"/>
      </w:tblGrid>
      <w:tr>
        <w:trPr>
          <w:tblHeader w:val="true"/>
        </w:trPr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4.1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Model Card published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Available on request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4.2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Feature importance documented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XGBoost: sar_delta 50%, precip 15%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4.3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Known limitations documented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SRTM resolution, 40-sample dataset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4.4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Performance metrics published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Recall 83.3%, Precision 89.3%, F1 86.2%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4.5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Model version tracked per API response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model_version field in every response</w:t>
            </w:r>
          </w:p>
        </w:tc>
      </w:tr>
    </w:tbl>
    <w:p>
      <w:pPr>
        <w:pStyle w:val="Normal"/>
        <w:spacing w:before="100" w:after="80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1B3A6B"/>
          <w:sz w:val="24"/>
          <w:szCs w:val="24"/>
        </w:rPr>
        <w:t>Section 5 — Human Oversight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99"/>
        <w:gridCol w:w="3201"/>
        <w:gridCol w:w="1400"/>
        <w:gridCol w:w="4160"/>
      </w:tblGrid>
      <w:tr>
        <w:trPr>
          <w:tblHeader w:val="true"/>
        </w:trPr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B3A6B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5.1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Mandatory human review for scores &gt; 75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Enforced at API level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5.2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No automated insurance approvals/denials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API returns decision support only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5.3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Human override mechanism exists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POST /api/v1/feedback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5.4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Override decisions logged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⏳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Pending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0F7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Implementation pending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5.5</w:t>
            </w:r>
          </w:p>
        </w:tc>
        <w:tc>
          <w:tcPr>
            <w:tcW w:w="320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Responsible officer designated</w:t>
            </w:r>
          </w:p>
        </w:tc>
        <w:tc>
          <w:tcPr>
            <w:tcW w:w="1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 xml:space="preserve">✅ </w:t>
            </w:r>
            <w:r>
              <w:rPr>
                <w:rFonts w:eastAsia="Arial" w:cs="Arial"/>
                <w:color w:val="2C3E50"/>
                <w:sz w:val="19"/>
                <w:szCs w:val="19"/>
              </w:rPr>
              <w:t>Complete</w:t>
            </w:r>
          </w:p>
        </w:tc>
        <w:tc>
          <w:tcPr>
            <w:tcW w:w="41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2C3E50"/>
                <w:sz w:val="19"/>
                <w:szCs w:val="19"/>
              </w:rPr>
              <w:t>Babacar Ndao, CTO</w:t>
            </w:r>
          </w:p>
        </w:tc>
      </w:tr>
    </w:tbl>
    <w:p>
      <w:pPr>
        <w:pStyle w:val="Normal"/>
        <w:spacing w:before="120" w:after="8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499"/>
        <w:gridCol w:w="8861"/>
      </w:tblGrid>
      <w:tr>
        <w:trPr/>
        <w:tc>
          <w:tcPr>
            <w:tcW w:w="499" w:type="dxa"/>
            <w:tcBorders/>
            <w:shd w:fill="0D7377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SCORE</w:t>
            </w:r>
          </w:p>
        </w:tc>
        <w:tc>
          <w:tcPr>
            <w:tcW w:w="8861" w:type="dxa"/>
            <w:tcBorders/>
            <w:shd w:fill="E8F4FD" w:val="clear"/>
            <w:tcMar>
              <w:start w:w="1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i/>
                <w:iCs/>
                <w:color w:val="2C3E50"/>
                <w:sz w:val="19"/>
                <w:szCs w:val="19"/>
              </w:rPr>
              <w:t>23/30 items complete (77%). All critical safety and data sovereignty items are complete. Remaining items are operational and will be completed at first commercial deployment.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26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D7377"/>
      </w:pBdr>
      <w:jc w:val="center"/>
      <w:rPr/>
    </w:pPr>
    <w:r>
      <w:rPr>
        <w:rFonts w:eastAsia="Arial" w:cs="Arial"/>
        <w:b/>
        <w:bCs/>
        <w:color w:val="1B3A6B"/>
        <w:sz w:val="18"/>
        <w:szCs w:val="18"/>
      </w:rPr>
      <w:t>Dëkkal</w:t>
    </w:r>
    <w:r>
      <w:rPr>
        <w:rFonts w:eastAsia="Arial" w:cs="Arial"/>
        <w:color w:val="888888"/>
        <w:sz w:val="16"/>
        <w:szCs w:val="16"/>
      </w:rPr>
      <w:t xml:space="preserve">  |  Public AI Trust Center  |  ARISE Framework  |  April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0D7377"/>
      </w:pBdr>
      <w:jc w:val="center"/>
      <w:rPr/>
    </w:pPr>
    <w:r>
      <w:rPr>
        <w:rFonts w:eastAsia="Arial" w:cs="Arial"/>
        <w:b/>
        <w:bCs/>
        <w:color w:val="1B3A6B"/>
        <w:sz w:val="18"/>
        <w:szCs w:val="18"/>
      </w:rPr>
      <w:t>Dëkkal</w:t>
    </w:r>
    <w:r>
      <w:rPr>
        <w:rFonts w:eastAsia="Arial" w:cs="Arial"/>
        <w:color w:val="888888"/>
        <w:sz w:val="16"/>
        <w:szCs w:val="16"/>
      </w:rPr>
      <w:t xml:space="preserve">  |  Public AI Trust Center  |  ARISE Framework  |  April 2026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B3A6B"/>
      </w:pBdr>
      <w:rPr/>
    </w:pPr>
    <w:r>
      <w:rPr>
        <w:rFonts w:eastAsia="Arial" w:cs="Arial"/>
        <w:b/>
        <w:bCs/>
        <w:color w:val="1B3A6B"/>
        <w:sz w:val="20"/>
        <w:szCs w:val="20"/>
      </w:rPr>
      <w:t xml:space="preserve">DËKKAL  </w:t>
    </w:r>
    <w:r>
      <w:rPr>
        <w:rFonts w:eastAsia="Arial" w:cs="Arial"/>
        <w:color w:val="0D7377"/>
        <w:sz w:val="18"/>
        <w:szCs w:val="18"/>
      </w:rPr>
      <w:t>|  Data Ethics Checklist</w:t>
    </w:r>
    <w:r>
      <w:rPr>
        <w:rFonts w:eastAsia="Arial" w:cs="Arial"/>
        <w:i/>
        <w:iCs/>
        <w:color w:val="999999"/>
        <w:sz w:val="16"/>
        <w:szCs w:val="16"/>
      </w:rPr>
      <w:t xml:space="preserve">          Public AI Trust Pack  |  v1.0  |  April 2026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B3A6B"/>
      </w:pBdr>
      <w:rPr/>
    </w:pPr>
    <w:r>
      <w:rPr>
        <w:rFonts w:eastAsia="Arial" w:cs="Arial"/>
        <w:b/>
        <w:bCs/>
        <w:color w:val="1B3A6B"/>
        <w:sz w:val="20"/>
        <w:szCs w:val="20"/>
      </w:rPr>
      <w:t xml:space="preserve">DËKKAL  </w:t>
    </w:r>
    <w:r>
      <w:rPr>
        <w:rFonts w:eastAsia="Arial" w:cs="Arial"/>
        <w:color w:val="0D7377"/>
        <w:sz w:val="18"/>
        <w:szCs w:val="18"/>
      </w:rPr>
      <w:t>|  Data Ethics Checklist</w:t>
    </w:r>
    <w:r>
      <w:rPr>
        <w:rFonts w:eastAsia="Arial" w:cs="Arial"/>
        <w:i/>
        <w:iCs/>
        <w:color w:val="999999"/>
        <w:sz w:val="16"/>
        <w:szCs w:val="16"/>
      </w:rPr>
      <w:t xml:space="preserve">          Public AI Trust Pack  |  v1.0  |  April 2026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C3E50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2C3E50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320" w:after="160"/>
      <w:outlineLvl w:val="0"/>
    </w:pPr>
    <w:rPr>
      <w:rFonts w:ascii="Arial" w:hAnsi="Arial" w:eastAsia="Arial" w:cs="Arial"/>
      <w:b/>
      <w:bCs/>
      <w:color w:val="1B3A6B"/>
      <w:sz w:val="32"/>
      <w:szCs w:val="32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Arial" w:hAnsi="Arial" w:eastAsia="Arial" w:cs="Arial"/>
      <w:b/>
      <w:bCs/>
      <w:color w:val="1B3A6B"/>
      <w:sz w:val="24"/>
      <w:szCs w:val="24"/>
    </w:rPr>
  </w:style>
  <w:style w:type="paragraph" w:styleId="Heading3">
    <w:name w:val="heading 3"/>
    <w:basedOn w:val="Heading"/>
    <w:qFormat/>
    <w:pPr>
      <w:spacing w:before="180" w:after="80"/>
      <w:outlineLvl w:val="2"/>
    </w:pPr>
    <w:rPr>
      <w:rFonts w:ascii="Arial" w:hAnsi="Arial" w:eastAsia="Arial" w:cs="Arial"/>
      <w:b/>
      <w:bCs/>
      <w:color w:val="0D7377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2C3E50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2C3E50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LibreOffice_project/a46b460d1686bb49c718d2ef5f88b83ff2dc4981</Application>
  <AppVersion>15.0000</AppVersion>
  <Pages>2</Pages>
  <Words>450</Words>
  <Characters>2524</Characters>
  <CharactersWithSpaces>2861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2026-04-28T14:41:12Z</dcterms:created>
  <dc:creator>Un-named</dc:creator>
  <dc:description/>
  <dc:language>en-US</dc:language>
  <cp:lastModifiedBy/>
  <dcterms:modified xsi:type="dcterms:W3CDTF">2026-04-28T16:57:53Z</dcterms:modified>
  <cp:revision>2</cp:revision>
  <dc:subject/>
  <dc:title/>
</cp:coreProperties>
</file>