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B3A6B"/>
        <w:spacing w:before="200" w:after="160"/>
        <w:rPr/>
      </w:pPr>
      <w:r>
        <w:rPr>
          <w:rFonts w:eastAsia="Arial" w:cs="Arial"/>
          <w:b/>
          <w:bCs/>
          <w:color w:val="FFFFFF"/>
          <w:sz w:val="28"/>
          <w:szCs w:val="28"/>
        </w:rPr>
        <w:t>Acceptable Use Policy</w:t>
      </w:r>
    </w:p>
    <w:p>
      <w:pPr>
        <w:pStyle w:val="Normal"/>
        <w:spacing w:before="10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630"/>
        <w:gridCol w:w="8730"/>
      </w:tblGrid>
      <w:tr>
        <w:trPr/>
        <w:tc>
          <w:tcPr>
            <w:tcW w:w="630" w:type="dxa"/>
            <w:tcBorders/>
            <w:shd w:fill="0D737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8730" w:type="dxa"/>
            <w:tcBorders/>
            <w:shd w:fill="E8F4FD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9"/>
                <w:szCs w:val="19"/>
              </w:rPr>
              <w:t>Rules governing interaction with Dëkkal AI features. Binding on all insurer clients and partners.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1. Permitted Uses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Dëkkal's flood risk scoring API may be used exclusively for:</w:t>
      </w:r>
    </w:p>
    <w:p>
      <w:pPr>
        <w:pStyle w:val="ListParagraph"/>
        <w:numPr>
          <w:ilvl w:val="0"/>
          <w:numId w:val="3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Underwriting support for IARD (property &amp; casualty) insurance policies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Portfolio flood exposure analysis by licensed insurers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Risk-based pricing research and actuarial modeling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Regulatory reporting of flood exposure by financial institutions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Academic and non-commercial climate risk research (with written approval)</w:t>
      </w:r>
    </w:p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2. Prohibited Uses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0D7377"/>
          <w:sz w:val="22"/>
          <w:szCs w:val="22"/>
        </w:rPr>
        <w:t>2.1 Discriminatory Use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Using Dëkkal scores to deny insurance coverage based on neighborhood reputation, perceived income level, or any factor unrelated to the physical flood risk of a specific address.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0D7377"/>
          <w:sz w:val="22"/>
          <w:szCs w:val="22"/>
        </w:rPr>
        <w:t>2.2 Automated Decision-Making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Using Dëkkal scores as the sole basis for automated approval or denial of insurance policies without human review — particularly for scores above 55/100.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0D7377"/>
          <w:sz w:val="22"/>
          <w:szCs w:val="22"/>
        </w:rPr>
        <w:t>2.3 Data Resale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Reselling, licensing, or redistributing Dëkkal risk scores or address data to third parties without written authorization from Dëkkal.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0D7377"/>
          <w:sz w:val="22"/>
          <w:szCs w:val="22"/>
        </w:rPr>
        <w:t>2.4 Military or Security Use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Using flood risk or drainage data for military intelligence, population surveillance, or security profiling.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  <w:color w:val="0D7377"/>
          <w:sz w:val="22"/>
          <w:szCs w:val="22"/>
        </w:rPr>
        <w:t>2.5 Reverse Engineering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Attempting to reconstruct Dëkkal's model, training data, or proprietary algorithms through systematic API queries or other means.</w:t>
      </w:r>
    </w:p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3. Insurer Responsibilities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Insurers using Dëkkal's API agree to: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Treat Dëkkal scores as decision support — not as binding determinations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Apply mandatory human review for all scores above 75/100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Document decisions to deny coverage that reference Dëkkal scores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Report confirmed flood events on scored addresses via POST /api/v1/feedback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Not share access credentials with third parties</w:t>
      </w:r>
    </w:p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 Dëkkal's Responsibilities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Dëkkal commits to: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Maintaining API uptime of 99.5% during the rainy season (June to October)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Providing a confidence score and data completeness flag on every response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Notifying clients of model updates at least 14 days in advance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color w:val="2C3E50"/>
          <w:sz w:val="20"/>
          <w:szCs w:val="20"/>
        </w:rPr>
        <w:t>Responding to data quality complaints within 48 hours</w:t>
      </w:r>
    </w:p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5. Enforcement</w:t>
      </w:r>
    </w:p>
    <w:p>
      <w:pPr>
        <w:pStyle w:val="Normal"/>
        <w:spacing w:before="6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2C3E50"/>
          <w:sz w:val="20"/>
          <w:szCs w:val="20"/>
        </w:rPr>
        <w:t>Violations of this policy may result in immediate suspension of API access, termination of the service agreement, or legal action for damages where applicable.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Acceptable Use Policy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Acceptable Use Policy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C3E5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0D7377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2C3E50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LibreOffice_project/a46b460d1686bb49c718d2ef5f88b83ff2dc4981</Application>
  <AppVersion>15.0000</AppVersion>
  <Pages>2</Pages>
  <Words>357</Words>
  <Characters>2047</Characters>
  <CharactersWithSpaces>2375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2026-04-28T14:41:12Z</dcterms:created>
  <dc:creator>Un-named</dc:creator>
  <dc:description/>
  <dc:language>en-US</dc:language>
  <cp:lastModifiedBy/>
  <dcterms:modified xsi:type="dcterms:W3CDTF">2026-04-28T17:00:25Z</dcterms:modified>
  <cp:revision>2</cp:revision>
  <dc:subject/>
  <dc:title/>
</cp:coreProperties>
</file>