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B3A6B"/>
        <w:spacing w:before="200" w:after="160"/>
        <w:rPr/>
      </w:pPr>
      <w:r>
        <w:rPr>
          <w:rFonts w:eastAsia="Arial" w:cs="Arial"/>
          <w:b/>
          <w:bCs/>
          <w:color w:val="FFFFFF"/>
          <w:sz w:val="28"/>
          <w:szCs w:val="28"/>
        </w:rPr>
        <w:t>Code of Ethics</w:t>
      </w:r>
    </w:p>
    <w:p>
      <w:pPr>
        <w:pStyle w:val="Normal"/>
        <w:spacing w:before="100" w:after="80"/>
        <w:rPr/>
      </w:pPr>
      <w:r>
        <w:rPr/>
      </w:r>
    </w:p>
    <w:tbl>
      <w:tblPr>
        <w:tblW w:w="9360" w:type="dxa"/>
        <w:jc w:val="start"/>
        <w:tblInd w:w="0" w:type="dxa"/>
        <w:tblLayout w:type="fixed"/>
        <w:tblCellMar>
          <w:top w:w="80" w:type="dxa"/>
          <w:start w:w="100" w:type="dxa"/>
          <w:bottom w:w="80" w:type="dxa"/>
          <w:end w:w="100" w:type="dxa"/>
        </w:tblCellMar>
      </w:tblPr>
      <w:tblGrid>
        <w:gridCol w:w="630"/>
        <w:gridCol w:w="8730"/>
      </w:tblGrid>
      <w:tr>
        <w:trPr/>
        <w:tc>
          <w:tcPr>
            <w:tcW w:w="630" w:type="dxa"/>
            <w:tcBorders/>
            <w:shd w:fill="0D7377" w:val="clear"/>
            <w:vAlign w:val="center"/>
          </w:tcPr>
          <w:p>
            <w:pPr>
              <w:pStyle w:val="Normal"/>
              <w:jc w:val="center"/>
              <w:rPr/>
            </w:pPr>
            <w:r>
              <w:rPr>
                <w:rFonts w:eastAsia="Arial" w:cs="Arial"/>
                <w:b/>
                <w:bCs/>
                <w:color w:val="FFFFFF"/>
                <w:sz w:val="18"/>
                <w:szCs w:val="18"/>
              </w:rPr>
              <w:t>PURPOSE</w:t>
            </w:r>
          </w:p>
        </w:tc>
        <w:tc>
          <w:tcPr>
            <w:tcW w:w="8730" w:type="dxa"/>
            <w:tcBorders/>
            <w:shd w:fill="E8F4FD" w:val="clear"/>
            <w:tcMar>
              <w:start w:w="160" w:type="dxa"/>
            </w:tcMar>
          </w:tcPr>
          <w:p>
            <w:pPr>
              <w:pStyle w:val="Normal"/>
              <w:rPr/>
            </w:pPr>
            <w:r>
              <w:rPr>
                <w:rFonts w:eastAsia="Arial" w:cs="Arial"/>
                <w:i/>
                <w:iCs/>
                <w:color w:val="2C3E50"/>
                <w:sz w:val="19"/>
                <w:szCs w:val="19"/>
              </w:rPr>
              <w:t>Company-wide standards for responsible AI development at Dëkkal. Binding on all employees, contractors, and partners.</w:t>
            </w:r>
          </w:p>
        </w:tc>
      </w:tr>
    </w:tbl>
    <w:p>
      <w:pPr>
        <w:pStyle w:val="Normal"/>
        <w:spacing w:before="120" w:after="80"/>
        <w:rPr/>
      </w:pPr>
      <w:r>
        <w:rPr/>
      </w:r>
    </w:p>
    <w:p>
      <w:pPr>
        <w:pStyle w:val="Normal"/>
        <w:spacing w:before="60" w:after="80"/>
        <w:rPr/>
      </w:pPr>
      <w:r>
        <w:rPr>
          <w:rFonts w:eastAsia="Arial" w:cs="Arial"/>
          <w:b w:val="false"/>
          <w:bCs w:val="false"/>
          <w:i w:val="false"/>
          <w:iCs w:val="false"/>
          <w:color w:val="2C3E50"/>
          <w:sz w:val="20"/>
          <w:szCs w:val="20"/>
        </w:rPr>
        <w:t>Dëkkal builds AI systems that directly influence insurance decisions affecting families and communities in Dakar, Senegal. We recognize that our technology has real consequences. This Code of Ethics defines the non-negotiable principles that govern how we build, deploy, and maintain our systems.</w:t>
      </w:r>
    </w:p>
    <w:p>
      <w:pPr>
        <w:pStyle w:val="Normal"/>
        <w:spacing w:before="120" w:after="80"/>
        <w:rPr/>
      </w:pPr>
      <w:r>
        <w:rPr/>
      </w:r>
    </w:p>
    <w:p>
      <w:pPr>
        <w:pStyle w:val="Heading2"/>
        <w:rPr/>
      </w:pPr>
      <w:r>
        <w:rPr>
          <w:rFonts w:eastAsia="Arial" w:cs="Arial" w:ascii="Arial" w:hAnsi="Arial"/>
          <w:b/>
          <w:bCs/>
          <w:color w:val="1B3A6B"/>
          <w:sz w:val="24"/>
          <w:szCs w:val="24"/>
        </w:rPr>
        <w:t>Principle 1 — Do No Harm</w:t>
      </w:r>
    </w:p>
    <w:p>
      <w:pPr>
        <w:pStyle w:val="Normal"/>
        <w:spacing w:before="60" w:after="80"/>
        <w:rPr/>
      </w:pPr>
      <w:r>
        <w:rPr>
          <w:rFonts w:eastAsia="Arial" w:cs="Arial"/>
          <w:b w:val="false"/>
          <w:bCs w:val="false"/>
          <w:i w:val="false"/>
          <w:iCs w:val="false"/>
          <w:color w:val="2C3E50"/>
          <w:sz w:val="20"/>
          <w:szCs w:val="20"/>
        </w:rPr>
        <w:t>We will not deploy AI systems that we know to be inaccurate, biased, or harmful to the communities we serve. When we discover a flaw, we fix it before it causes harm. We prioritize recall over precision because missing a real flood risk (false negative) causes more harm than over-scoring a safe address (false positive).</w:t>
      </w:r>
    </w:p>
    <w:p>
      <w:pPr>
        <w:pStyle w:val="Heading2"/>
        <w:rPr/>
      </w:pPr>
      <w:r>
        <w:rPr>
          <w:rFonts w:eastAsia="Arial" w:cs="Arial" w:ascii="Arial" w:hAnsi="Arial"/>
          <w:b/>
          <w:bCs/>
          <w:color w:val="1B3A6B"/>
          <w:sz w:val="24"/>
          <w:szCs w:val="24"/>
        </w:rPr>
        <w:t>Principle 2 — Fairness and Non-Discrimination</w:t>
      </w:r>
    </w:p>
    <w:p>
      <w:pPr>
        <w:pStyle w:val="Normal"/>
        <w:spacing w:before="60" w:after="80"/>
        <w:rPr/>
      </w:pPr>
      <w:r>
        <w:rPr>
          <w:rFonts w:eastAsia="Arial" w:cs="Arial"/>
          <w:b w:val="false"/>
          <w:bCs w:val="false"/>
          <w:i w:val="false"/>
          <w:iCs w:val="false"/>
          <w:color w:val="2C3E50"/>
          <w:sz w:val="20"/>
          <w:szCs w:val="20"/>
        </w:rPr>
        <w:t>Our AI scores physical terrain — not people. We explicitly exclude income, ethnicity, neighborhood reputation, and all demographic proxies from our feature sets. We conduct quarterly fairness audits. If we discover systemic bias, we halt the affected scoring and notify all clients within 48 hours.</w:t>
      </w:r>
    </w:p>
    <w:p>
      <w:pPr>
        <w:pStyle w:val="Heading2"/>
        <w:rPr/>
      </w:pPr>
      <w:r>
        <w:rPr>
          <w:rFonts w:eastAsia="Arial" w:cs="Arial" w:ascii="Arial" w:hAnsi="Arial"/>
          <w:b/>
          <w:bCs/>
          <w:color w:val="1B3A6B"/>
          <w:sz w:val="24"/>
          <w:szCs w:val="24"/>
        </w:rPr>
        <w:t>Principle 3 — Transparency</w:t>
      </w:r>
    </w:p>
    <w:p>
      <w:pPr>
        <w:pStyle w:val="Normal"/>
        <w:spacing w:before="60" w:after="80"/>
        <w:rPr/>
      </w:pPr>
      <w:r>
        <w:rPr>
          <w:rFonts w:eastAsia="Arial" w:cs="Arial"/>
          <w:b w:val="false"/>
          <w:bCs w:val="false"/>
          <w:i w:val="false"/>
          <w:iCs w:val="false"/>
          <w:color w:val="2C3E50"/>
          <w:sz w:val="20"/>
          <w:szCs w:val="20"/>
        </w:rPr>
        <w:t>We publish a full Model Card for every production model. We document our data sources, training methodology, known limitations, and performance metrics. We never claim capabilities our model does not have. We clearly distinguish between deployed features (v1.0) and features in development (LSTM — v2.0).</w:t>
      </w:r>
    </w:p>
    <w:p>
      <w:pPr>
        <w:pStyle w:val="Heading2"/>
        <w:rPr/>
      </w:pPr>
      <w:r>
        <w:rPr>
          <w:rFonts w:eastAsia="Arial" w:cs="Arial" w:ascii="Arial" w:hAnsi="Arial"/>
          <w:b/>
          <w:bCs/>
          <w:color w:val="1B3A6B"/>
          <w:sz w:val="24"/>
          <w:szCs w:val="24"/>
        </w:rPr>
        <w:t>Principle 4 — Human Dignity and Oversight</w:t>
      </w:r>
    </w:p>
    <w:p>
      <w:pPr>
        <w:pStyle w:val="Normal"/>
        <w:spacing w:before="60" w:after="80"/>
        <w:rPr/>
      </w:pPr>
      <w:r>
        <w:rPr>
          <w:rFonts w:eastAsia="Arial" w:cs="Arial"/>
          <w:b w:val="false"/>
          <w:bCs w:val="false"/>
          <w:i w:val="false"/>
          <w:iCs w:val="false"/>
          <w:color w:val="2C3E50"/>
          <w:sz w:val="20"/>
          <w:szCs w:val="20"/>
        </w:rPr>
        <w:t>Our AI is a tool for human decision-makers, not a replacement for them. Scores above 75/100 cannot be processed automatically. We respect the right of any insured party to request a manual review of a risk score affecting their property.</w:t>
      </w:r>
    </w:p>
    <w:p>
      <w:pPr>
        <w:pStyle w:val="Heading2"/>
        <w:rPr/>
      </w:pPr>
      <w:r>
        <w:rPr>
          <w:rFonts w:eastAsia="Arial" w:cs="Arial" w:ascii="Arial" w:hAnsi="Arial"/>
          <w:b/>
          <w:bCs/>
          <w:color w:val="1B3A6B"/>
          <w:sz w:val="24"/>
          <w:szCs w:val="24"/>
        </w:rPr>
        <w:t>Principle 5 — Data Stewardship</w:t>
      </w:r>
    </w:p>
    <w:p>
      <w:pPr>
        <w:pStyle w:val="Normal"/>
        <w:spacing w:before="60" w:after="80"/>
        <w:rPr/>
      </w:pPr>
      <w:r>
        <w:rPr>
          <w:rFonts w:eastAsia="Arial" w:cs="Arial"/>
          <w:b w:val="false"/>
          <w:bCs w:val="false"/>
          <w:i w:val="false"/>
          <w:iCs w:val="false"/>
          <w:color w:val="2C3E50"/>
          <w:sz w:val="20"/>
          <w:szCs w:val="20"/>
        </w:rPr>
        <w:t>We treat the data we handle as a public trust. We collect only what we need. We store it securely in a sovereign datacenter. We delete it when the purpose expires. We never sell, share, or monetize address data or query logs.</w:t>
      </w:r>
    </w:p>
    <w:p>
      <w:pPr>
        <w:pStyle w:val="Heading2"/>
        <w:rPr/>
      </w:pPr>
      <w:r>
        <w:rPr>
          <w:rFonts w:eastAsia="Arial" w:cs="Arial" w:ascii="Arial" w:hAnsi="Arial"/>
          <w:b/>
          <w:bCs/>
          <w:color w:val="1B3A6B"/>
          <w:sz w:val="24"/>
          <w:szCs w:val="24"/>
        </w:rPr>
        <w:t>Principle 6 — Community Benefit</w:t>
      </w:r>
    </w:p>
    <w:p>
      <w:pPr>
        <w:pStyle w:val="Normal"/>
        <w:spacing w:before="60" w:after="80"/>
        <w:rPr/>
      </w:pPr>
      <w:r>
        <w:rPr>
          <w:rFonts w:eastAsia="Arial" w:cs="Arial"/>
          <w:b w:val="false"/>
          <w:bCs w:val="false"/>
          <w:i w:val="false"/>
          <w:iCs w:val="false"/>
          <w:color w:val="2C3E50"/>
          <w:sz w:val="20"/>
          <w:szCs w:val="20"/>
        </w:rPr>
        <w:t>Dëkkal operates where climate risk is severe and insurance penetration is below 3%. We commit to reinvesting a share of revenues into publishing open-data flood risk maps for Dakar local authorities.</w:t>
      </w:r>
    </w:p>
    <w:p>
      <w:pPr>
        <w:pStyle w:val="Heading2"/>
        <w:rPr/>
      </w:pPr>
      <w:r>
        <w:rPr>
          <w:rFonts w:eastAsia="Arial" w:cs="Arial" w:ascii="Arial" w:hAnsi="Arial"/>
          <w:b/>
          <w:bCs/>
          <w:color w:val="1B3A6B"/>
          <w:sz w:val="24"/>
          <w:szCs w:val="24"/>
        </w:rPr>
        <w:t>Principle 7 — Accountability Without Excuses</w:t>
      </w:r>
    </w:p>
    <w:p>
      <w:pPr>
        <w:pStyle w:val="Normal"/>
        <w:spacing w:before="60" w:after="80"/>
        <w:rPr/>
      </w:pPr>
      <w:r>
        <w:rPr>
          <w:rFonts w:eastAsia="Arial" w:cs="Arial"/>
          <w:b w:val="false"/>
          <w:bCs w:val="false"/>
          <w:i w:val="false"/>
          <w:iCs w:val="false"/>
          <w:color w:val="2C3E50"/>
          <w:sz w:val="20"/>
          <w:szCs w:val="20"/>
        </w:rPr>
        <w:t>When our model makes a mistake, we own it. We investigate, we document, we fix, and we communicate. The responsible officer for model outputs — Babacar Ndao, CTO — is named publicly and reachable directly.</w:t>
      </w:r>
    </w:p>
    <w:p>
      <w:pPr>
        <w:pStyle w:val="Heading2"/>
        <w:rPr/>
      </w:pPr>
      <w:r>
        <w:rPr>
          <w:rFonts w:eastAsia="Arial" w:cs="Arial" w:ascii="Arial" w:hAnsi="Arial"/>
          <w:b/>
          <w:bCs/>
          <w:color w:val="1B3A6B"/>
          <w:sz w:val="24"/>
          <w:szCs w:val="24"/>
        </w:rPr>
        <w:t>Principle 8 — Climate Integrity</w:t>
      </w:r>
    </w:p>
    <w:p>
      <w:pPr>
        <w:pStyle w:val="Normal"/>
        <w:spacing w:before="60" w:after="80"/>
        <w:rPr/>
      </w:pPr>
      <w:r>
        <w:rPr>
          <w:rFonts w:eastAsia="Arial" w:cs="Arial"/>
          <w:b w:val="false"/>
          <w:bCs w:val="false"/>
          <w:i w:val="false"/>
          <w:iCs w:val="false"/>
          <w:color w:val="2C3E50"/>
          <w:sz w:val="20"/>
          <w:szCs w:val="20"/>
        </w:rPr>
        <w:t>We will never downplay or misrepresent climate risk data to make our scores more commercially attractive. Our extreme scenario risk component deliberately captures risks that have never occurred historically — because climate change means the past is no longer a reliable guide to the future.</w:t>
      </w:r>
    </w:p>
    <w:p>
      <w:pPr>
        <w:pStyle w:val="Normal"/>
        <w:spacing w:before="120" w:after="80"/>
        <w:rPr/>
      </w:pPr>
      <w:r>
        <w:rPr/>
      </w:r>
    </w:p>
    <w:tbl>
      <w:tblPr>
        <w:tblW w:w="9360" w:type="dxa"/>
        <w:jc w:val="start"/>
        <w:tblInd w:w="0" w:type="dxa"/>
        <w:tblLayout w:type="fixed"/>
        <w:tblCellMar>
          <w:top w:w="80" w:type="dxa"/>
          <w:start w:w="100" w:type="dxa"/>
          <w:bottom w:w="80" w:type="dxa"/>
          <w:end w:w="100" w:type="dxa"/>
        </w:tblCellMar>
      </w:tblPr>
      <w:tblGrid>
        <w:gridCol w:w="540"/>
        <w:gridCol w:w="8820"/>
      </w:tblGrid>
      <w:tr>
        <w:trPr/>
        <w:tc>
          <w:tcPr>
            <w:tcW w:w="540" w:type="dxa"/>
            <w:tcBorders/>
            <w:shd w:fill="0D7377" w:val="clear"/>
            <w:vAlign w:val="center"/>
          </w:tcPr>
          <w:p>
            <w:pPr>
              <w:pStyle w:val="Normal"/>
              <w:jc w:val="center"/>
              <w:rPr>
                <w:rFonts w:ascii="Arial" w:hAnsi="Arial" w:eastAsia="Arial" w:cs="Arial"/>
                <w:b/>
                <w:bCs/>
                <w:color w:val="FFFFFF"/>
                <w:sz w:val="18"/>
                <w:szCs w:val="18"/>
              </w:rPr>
            </w:pPr>
            <w:r>
              <w:rPr>
                <w:rFonts w:eastAsia="Arial" w:cs="Arial"/>
                <w:b/>
                <w:bCs/>
                <w:color w:val="FFFFFF"/>
                <w:sz w:val="18"/>
                <w:szCs w:val="18"/>
              </w:rPr>
              <w:t>ADOPTION</w:t>
            </w:r>
          </w:p>
        </w:tc>
        <w:tc>
          <w:tcPr>
            <w:tcW w:w="8820" w:type="dxa"/>
            <w:tcBorders/>
            <w:shd w:fill="E8F4FD" w:val="clear"/>
            <w:tcMar>
              <w:start w:w="160" w:type="dxa"/>
            </w:tcMar>
          </w:tcPr>
          <w:p>
            <w:pPr>
              <w:pStyle w:val="Normal"/>
              <w:rPr/>
            </w:pPr>
            <w:r>
              <w:rPr>
                <w:rFonts w:eastAsia="Arial" w:cs="Arial"/>
                <w:i/>
                <w:iCs/>
                <w:color w:val="2C3E50"/>
                <w:sz w:val="19"/>
                <w:szCs w:val="19"/>
              </w:rPr>
              <w:t xml:space="preserve">Adopted by Babacar Ndao (CTO), Aminata Sall (CEO) </w:t>
            </w:r>
            <w:r>
              <w:rPr>
                <w:rFonts w:eastAsia="Arial" w:cs="Arial"/>
                <w:i/>
                <w:iCs/>
                <w:color w:val="2C3E50"/>
                <w:sz w:val="19"/>
                <w:szCs w:val="19"/>
              </w:rPr>
              <w:t>and Desmond Coffie (CPO)</w:t>
            </w:r>
            <w:r>
              <w:rPr>
                <w:rFonts w:eastAsia="Arial" w:cs="Arial"/>
                <w:i/>
                <w:iCs/>
                <w:color w:val="2C3E50"/>
                <w:sz w:val="19"/>
                <w:szCs w:val="19"/>
              </w:rPr>
              <w:t xml:space="preserve"> — April 2026. Reviewed annually. Binding on all Dëkkal personnel and partners.</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D7377"/>
      </w:pBdr>
      <w:jc w:val="center"/>
      <w:rPr/>
    </w:pPr>
    <w:r>
      <w:rPr>
        <w:rFonts w:eastAsia="Arial" w:cs="Arial"/>
        <w:b/>
        <w:bCs/>
        <w:color w:val="1B3A6B"/>
        <w:sz w:val="18"/>
        <w:szCs w:val="18"/>
      </w:rPr>
      <w:t>Dëkkal</w:t>
    </w:r>
    <w:r>
      <w:rPr>
        <w:rFonts w:eastAsia="Arial" w:cs="Arial"/>
        <w:color w:val="888888"/>
        <w:sz w:val="16"/>
        <w:szCs w:val="16"/>
      </w:rPr>
      <w:t xml:space="preserve">  |  Public AI Trust Center  |  ARISE Framework  |  April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D7377"/>
      </w:pBdr>
      <w:jc w:val="center"/>
      <w:rPr/>
    </w:pPr>
    <w:r>
      <w:rPr>
        <w:rFonts w:eastAsia="Arial" w:cs="Arial"/>
        <w:b/>
        <w:bCs/>
        <w:color w:val="1B3A6B"/>
        <w:sz w:val="18"/>
        <w:szCs w:val="18"/>
      </w:rPr>
      <w:t>Dëkkal</w:t>
    </w:r>
    <w:r>
      <w:rPr>
        <w:rFonts w:eastAsia="Arial" w:cs="Arial"/>
        <w:color w:val="888888"/>
        <w:sz w:val="16"/>
        <w:szCs w:val="16"/>
      </w:rPr>
      <w:t xml:space="preserve">  |  Public AI Trust Center  |  ARISE Framework  |  April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B3A6B"/>
      </w:pBdr>
      <w:rPr/>
    </w:pPr>
    <w:r>
      <w:rPr>
        <w:rFonts w:eastAsia="Arial" w:cs="Arial"/>
        <w:b/>
        <w:bCs/>
        <w:color w:val="1B3A6B"/>
        <w:sz w:val="20"/>
        <w:szCs w:val="20"/>
      </w:rPr>
      <w:t xml:space="preserve">DËKKAL  </w:t>
    </w:r>
    <w:r>
      <w:rPr>
        <w:rFonts w:eastAsia="Arial" w:cs="Arial"/>
        <w:color w:val="0D7377"/>
        <w:sz w:val="18"/>
        <w:szCs w:val="18"/>
      </w:rPr>
      <w:t>|  Code of Ethics</w:t>
    </w:r>
    <w:r>
      <w:rPr>
        <w:rFonts w:eastAsia="Arial" w:cs="Arial"/>
        <w:i/>
        <w:iCs/>
        <w:color w:val="999999"/>
        <w:sz w:val="16"/>
        <w:szCs w:val="16"/>
      </w:rPr>
      <w:t xml:space="preserve">          Public AI Trust Pack  |  v1.0  |  April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B3A6B"/>
      </w:pBdr>
      <w:rPr/>
    </w:pPr>
    <w:r>
      <w:rPr>
        <w:rFonts w:eastAsia="Arial" w:cs="Arial"/>
        <w:b/>
        <w:bCs/>
        <w:color w:val="1B3A6B"/>
        <w:sz w:val="20"/>
        <w:szCs w:val="20"/>
      </w:rPr>
      <w:t xml:space="preserve">DËKKAL  </w:t>
    </w:r>
    <w:r>
      <w:rPr>
        <w:rFonts w:eastAsia="Arial" w:cs="Arial"/>
        <w:color w:val="0D7377"/>
        <w:sz w:val="18"/>
        <w:szCs w:val="18"/>
      </w:rPr>
      <w:t>|  Code of Ethics</w:t>
    </w:r>
    <w:r>
      <w:rPr>
        <w:rFonts w:eastAsia="Arial" w:cs="Arial"/>
        <w:i/>
        <w:iCs/>
        <w:color w:val="999999"/>
        <w:sz w:val="16"/>
        <w:szCs w:val="16"/>
      </w:rPr>
      <w:t xml:space="preserve">          Public AI Trust Pack  |  v1.0  |  April 2026</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3E50"/>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C3E50"/>
      <w:kern w:val="0"/>
      <w:sz w:val="20"/>
      <w:szCs w:val="20"/>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B3A6B"/>
      <w:sz w:val="32"/>
      <w:szCs w:val="32"/>
    </w:rPr>
  </w:style>
  <w:style w:type="paragraph" w:styleId="Heading2">
    <w:name w:val="heading 2"/>
    <w:basedOn w:val="Heading"/>
    <w:qFormat/>
    <w:pPr>
      <w:spacing w:before="240" w:after="120"/>
      <w:outlineLvl w:val="1"/>
    </w:pPr>
    <w:rPr>
      <w:rFonts w:ascii="Arial" w:hAnsi="Arial" w:eastAsia="Arial" w:cs="Arial"/>
      <w:b/>
      <w:bCs/>
      <w:color w:val="1B3A6B"/>
      <w:sz w:val="24"/>
      <w:szCs w:val="24"/>
    </w:rPr>
  </w:style>
  <w:style w:type="paragraph" w:styleId="Heading3">
    <w:name w:val="heading 3"/>
    <w:basedOn w:val="Heading"/>
    <w:qFormat/>
    <w:pPr>
      <w:spacing w:before="180" w:after="80"/>
      <w:outlineLvl w:val="2"/>
    </w:pPr>
    <w:rPr>
      <w:rFonts w:ascii="Arial" w:hAnsi="Arial" w:eastAsia="Arial" w:cs="Arial"/>
      <w:b/>
      <w:bCs/>
      <w:color w:val="0D7377"/>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C3E50"/>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2C3E50"/>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LibreOffice_project/a46b460d1686bb49c718d2ef5f88b83ff2dc4981</Application>
  <AppVersion>15.0000</AppVersion>
  <Pages>2</Pages>
  <Words>480</Words>
  <Characters>2604</Characters>
  <CharactersWithSpaces>3095</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2026-04-28T14:41:13Z</dcterms:created>
  <dc:creator>Un-named</dc:creator>
  <dc:description/>
  <dc:language>en-US</dc:language>
  <cp:lastModifiedBy/>
  <dcterms:modified xsi:type="dcterms:W3CDTF">2026-04-28T17:05:53Z</dcterms:modified>
  <cp:revision>2</cp:revision>
  <dc:subject/>
  <dc:title/>
</cp:coreProperties>
</file>