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B3A6B"/>
        <w:spacing w:before="200" w:after="160"/>
        <w:rPr/>
      </w:pPr>
      <w:r>
        <w:rPr>
          <w:rFonts w:eastAsia="Arial" w:cs="Arial"/>
          <w:b/>
          <w:bCs/>
          <w:color w:val="FFFFFF"/>
          <w:sz w:val="28"/>
          <w:szCs w:val="28"/>
        </w:rPr>
        <w:t>Algorithmic Accountability Guideline</w:t>
      </w:r>
    </w:p>
    <w:p>
      <w:pPr>
        <w:pStyle w:val="Normal"/>
        <w:spacing w:before="10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630"/>
        <w:gridCol w:w="8730"/>
      </w:tblGrid>
      <w:tr>
        <w:trPr/>
        <w:tc>
          <w:tcPr>
            <w:tcW w:w="630" w:type="dxa"/>
            <w:tcBorders/>
            <w:shd w:fill="0D737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8730" w:type="dxa"/>
            <w:tcBorders/>
            <w:shd w:fill="E8F4FD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9"/>
                <w:szCs w:val="19"/>
              </w:rPr>
              <w:t>Public declaration of model logic, API dependencies, and data sovereignty. ARISE Framework — Pillars 4 &amp; 6. Procurement Ready.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1. System Description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System Name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Dëkkal Flood Risk Scoring Engine v1.0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Type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XGBoost Gradient Boosting Classifier (Statistical Layer)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Purpose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Deliver address-level flood risk scores (0-100) to IARD insurers in Dakar, Senegal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Output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Risk score + risk level + 3 explanatory factors + confidence interval + decision support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Coverage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Dakar urban zone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Responsible Officer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Babacar Ndao, CTO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2. Model Logic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The scoring engine uses a three-component weighted aggregation: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1200"/>
        <w:gridCol w:w="57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Historical Risk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25%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Sentinel-1 SAR water detection delta — satellite-confirmed flood signals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Structural Vulnerability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35%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SRTM elevation, slope, clay fraction (SoilGrids), ERA5 soil moisture, OSM drainage proximity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Extreme Scenario Risk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40%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CHIRPS + GPM P99 rainfall vs drainage capacity proxy (25mm/day) — forward-looking climate risk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3. Third-Party API Dependencies</w:t>
      </w:r>
    </w:p>
    <w:tbl>
      <w:tblPr>
        <w:tblW w:w="95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001"/>
        <w:gridCol w:w="2799"/>
        <w:gridCol w:w="23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Data Sovereignty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Google Earth Engine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Google LLC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Feature extraction (SAR, DEM, CHIRPS, ERA5, SoilGrids, GPM)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Processed on GEE servers — not stored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Sentinel-1 SAR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ESA / Copernicus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Flood detection imagery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 — CC BY SA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CHIRPS Daily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UCSB / USAID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Precipitation time series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 license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ERA5-Land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ECMWF / Copernicus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Soil moisture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Copernicus licence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SoilGrids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ISRIC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Soil clay/sand properties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CC BY 4.0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GPM IMERG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NASA EarthData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Extreme rainfall P99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 license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Nominatim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OpenStreetMap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Address geocoding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ODbL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Sénégal Numérique SA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Senegalese State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Data hosting</w:t>
            </w:r>
          </w:p>
        </w:tc>
        <w:tc>
          <w:tcPr>
            <w:tcW w:w="2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ISO 27001 certified — sovereign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 Performance Metrics (LOO-CV on 40-sample dataset)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1999"/>
        <w:gridCol w:w="33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Accuracy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80.0%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—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Baseline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Precision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89.3%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&gt;75%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Achieved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Recall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83.3%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&gt;80%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Achieved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F1-Score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86.2%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&gt;77%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Achieved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Training samples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40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Target: 200+ (v1.1)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In progress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5. Known Limitations</w:t>
      </w:r>
    </w:p>
    <w:p>
      <w:pPr>
        <w:pStyle w:val="ListParagraph"/>
        <w:numPr>
          <w:ilvl w:val="0"/>
          <w:numId w:val="3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Training dataset: 40 samples — XGBoost performance will improve with more samples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SRTM 30m resolution: limited address-level discrimination in flat urban zones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LSTM temporal layer: in development for v2.0 — not deployed in v1.0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Coverage: Dakar urban zone only — no other Senegalese cities yet</w:t>
      </w:r>
    </w:p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6. Data Sovereignty Statement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All Dëkkal data assets are hosted exclusively at Sénégal Numérique SA, Diamniadio, Senegal — ISO 27001 certified. No personal data or client query data is transferred outside West Africa.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Algorithmic Accountability Guideline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Algorithmic Accountability Guideline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3E5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0D7377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2C3E50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LibreOffice/25.8.6.2$Linux_X86_64 LibreOffice_project/a46b460d1686bb49c718d2ef5f88b83ff2dc4981</Application>
  <AppVersion>15.0000</AppVersion>
  <Pages>2</Pages>
  <Words>372</Words>
  <Characters>2213</Characters>
  <CharactersWithSpaces>2510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2026-04-28T14:41:13Z</dcterms:created>
  <dc:creator>Un-named</dc:creator>
  <dc:description/>
  <dc:language>en-US</dc:language>
  <cp:lastModifiedBy/>
  <dcterms:modified xsi:type="dcterms:W3CDTF">2026-04-28T17:10:34Z</dcterms:modified>
  <cp:revision>2</cp:revision>
  <dc:subject/>
  <dc:title/>
</cp:coreProperties>
</file>