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B3A6B"/>
        <w:spacing w:before="200" w:after="160"/>
        <w:rPr/>
      </w:pPr>
      <w:r>
        <w:rPr>
          <w:rFonts w:eastAsia="Arial" w:cs="Arial"/>
          <w:b/>
          <w:bCs/>
          <w:color w:val="FFFFFF"/>
          <w:sz w:val="28"/>
          <w:szCs w:val="28"/>
        </w:rPr>
        <w:t>Customer Disclosure Statement</w:t>
      </w:r>
    </w:p>
    <w:p>
      <w:pPr>
        <w:pStyle w:val="Normal"/>
        <w:spacing w:before="100" w:after="80"/>
        <w:rPr/>
      </w:pPr>
      <w:r>
        <w:rPr/>
      </w:r>
    </w:p>
    <w:tbl>
      <w:tblPr>
        <w:tblW w:w="9360" w:type="dxa"/>
        <w:jc w:val="start"/>
        <w:tblInd w:w="0" w:type="dxa"/>
        <w:tblLayout w:type="fixed"/>
        <w:tblCellMar>
          <w:top w:w="80" w:type="dxa"/>
          <w:start w:w="100" w:type="dxa"/>
          <w:bottom w:w="80" w:type="dxa"/>
          <w:end w:w="100" w:type="dxa"/>
        </w:tblCellMar>
      </w:tblPr>
      <w:tblGrid>
        <w:gridCol w:w="630"/>
        <w:gridCol w:w="8730"/>
      </w:tblGrid>
      <w:tr>
        <w:trPr/>
        <w:tc>
          <w:tcPr>
            <w:tcW w:w="630" w:type="dxa"/>
            <w:tcBorders/>
            <w:shd w:fill="0D7377" w:val="clear"/>
            <w:vAlign w:val="center"/>
          </w:tcPr>
          <w:p>
            <w:pPr>
              <w:pStyle w:val="Normal"/>
              <w:jc w:val="center"/>
              <w:rPr/>
            </w:pPr>
            <w:r>
              <w:rPr>
                <w:rFonts w:eastAsia="Arial" w:cs="Arial"/>
                <w:b/>
                <w:bCs/>
                <w:color w:val="FFFFFF"/>
                <w:sz w:val="18"/>
                <w:szCs w:val="18"/>
              </w:rPr>
              <w:t>PURPOSE</w:t>
            </w:r>
          </w:p>
        </w:tc>
        <w:tc>
          <w:tcPr>
            <w:tcW w:w="8730" w:type="dxa"/>
            <w:tcBorders/>
            <w:shd w:fill="E8F4FD" w:val="clear"/>
            <w:tcMar>
              <w:start w:w="160" w:type="dxa"/>
            </w:tcMar>
          </w:tcPr>
          <w:p>
            <w:pPr>
              <w:pStyle w:val="Normal"/>
              <w:rPr/>
            </w:pPr>
            <w:r>
              <w:rPr>
                <w:rFonts w:eastAsia="Arial" w:cs="Arial"/>
                <w:i/>
                <w:iCs/>
                <w:color w:val="2C3E50"/>
                <w:sz w:val="19"/>
                <w:szCs w:val="19"/>
              </w:rPr>
              <w:t>Onboarding copy explaining AI interaction and human fallbacks. B2B/Insurer-facing. Must include fallback and bias control statements.</w:t>
            </w:r>
          </w:p>
        </w:tc>
      </w:tr>
    </w:tbl>
    <w:p>
      <w:pPr>
        <w:pStyle w:val="Normal"/>
        <w:spacing w:before="120" w:after="80"/>
        <w:rPr/>
      </w:pPr>
      <w:r>
        <w:rPr/>
      </w:r>
    </w:p>
    <w:p>
      <w:pPr>
        <w:pStyle w:val="Heading2"/>
        <w:rPr/>
      </w:pPr>
      <w:r>
        <w:rPr>
          <w:rFonts w:eastAsia="Arial" w:cs="Arial" w:ascii="Arial" w:hAnsi="Arial"/>
          <w:b/>
          <w:bCs/>
          <w:color w:val="1B3A6B"/>
          <w:sz w:val="24"/>
          <w:szCs w:val="24"/>
        </w:rPr>
        <w:t>AI Interaction Notice</w:t>
      </w:r>
    </w:p>
    <w:p>
      <w:pPr>
        <w:pStyle w:val="Normal"/>
        <w:shd w:val="clear" w:fill="E8F4FD"/>
        <w:spacing w:before="80" w:after="80"/>
        <w:rPr/>
      </w:pPr>
      <w:r>
        <w:rPr>
          <w:rFonts w:eastAsia="Arial" w:cs="Arial"/>
          <w:i/>
          <w:iCs/>
          <w:color w:val="2C3E50"/>
          <w:sz w:val="20"/>
          <w:szCs w:val="20"/>
        </w:rPr>
        <w:t>"The risk scores you receive on this platform are generated by Dëkkal's AI model, not by a human underwriter. The model analyses satellite imagery, terrain elevation, soil properties, rainfall statistics, and drainage network data to produce a flood risk score for each property address. You are interacting with an automated system."</w:t>
      </w:r>
    </w:p>
    <w:p>
      <w:pPr>
        <w:pStyle w:val="Normal"/>
        <w:spacing w:before="120" w:after="80"/>
        <w:rPr/>
      </w:pPr>
      <w:r>
        <w:rPr/>
      </w:r>
    </w:p>
    <w:p>
      <w:pPr>
        <w:pStyle w:val="Heading2"/>
        <w:rPr/>
      </w:pPr>
      <w:r>
        <w:rPr>
          <w:rFonts w:eastAsia="Arial" w:cs="Arial" w:ascii="Arial" w:hAnsi="Arial"/>
          <w:b/>
          <w:bCs/>
          <w:color w:val="1B3A6B"/>
          <w:sz w:val="24"/>
          <w:szCs w:val="24"/>
        </w:rPr>
        <w:t>What the AI Does</w:t>
      </w:r>
    </w:p>
    <w:p>
      <w:pPr>
        <w:pStyle w:val="Normal"/>
        <w:spacing w:before="60" w:after="80"/>
        <w:rPr/>
      </w:pPr>
      <w:r>
        <w:rPr>
          <w:rFonts w:eastAsia="Arial" w:cs="Arial"/>
          <w:b w:val="false"/>
          <w:bCs w:val="false"/>
          <w:i w:val="false"/>
          <w:iCs w:val="false"/>
          <w:color w:val="2C3E50"/>
          <w:sz w:val="20"/>
          <w:szCs w:val="20"/>
        </w:rPr>
        <w:t>Dëkkal's AI engine scores flood risk on a scale from 0 to 100 for any address in Dakar, Senegal. Every score includes:</w:t>
      </w:r>
    </w:p>
    <w:p>
      <w:pPr>
        <w:pStyle w:val="ListParagraph"/>
        <w:numPr>
          <w:ilvl w:val="0"/>
          <w:numId w:val="3"/>
        </w:numPr>
        <w:spacing w:before="50" w:after="50"/>
        <w:rPr/>
      </w:pPr>
      <w:r>
        <w:rPr>
          <w:rFonts w:eastAsia="Arial" w:cs="Arial"/>
          <w:color w:val="2C3E50"/>
          <w:sz w:val="20"/>
          <w:szCs w:val="20"/>
        </w:rPr>
        <w:t>A risk level (Low / Moderate / High / Extreme)</w:t>
      </w:r>
    </w:p>
    <w:p>
      <w:pPr>
        <w:pStyle w:val="ListParagraph"/>
        <w:numPr>
          <w:ilvl w:val="0"/>
          <w:numId w:val="1"/>
        </w:numPr>
        <w:spacing w:before="50" w:after="50"/>
        <w:rPr/>
      </w:pPr>
      <w:r>
        <w:rPr>
          <w:rFonts w:eastAsia="Arial" w:cs="Arial"/>
          <w:color w:val="2C3E50"/>
          <w:sz w:val="20"/>
          <w:szCs w:val="20"/>
        </w:rPr>
        <w:t>Three ranked explanatory factors showing why the score is what it is</w:t>
      </w:r>
    </w:p>
    <w:p>
      <w:pPr>
        <w:pStyle w:val="ListParagraph"/>
        <w:numPr>
          <w:ilvl w:val="0"/>
          <w:numId w:val="1"/>
        </w:numPr>
        <w:spacing w:before="50" w:after="50"/>
        <w:rPr/>
      </w:pPr>
      <w:r>
        <w:rPr>
          <w:rFonts w:eastAsia="Arial" w:cs="Arial"/>
          <w:color w:val="2C3E50"/>
          <w:sz w:val="20"/>
          <w:szCs w:val="20"/>
        </w:rPr>
        <w:t>A confidence interval indicating data completeness</w:t>
      </w:r>
    </w:p>
    <w:p>
      <w:pPr>
        <w:pStyle w:val="ListParagraph"/>
        <w:numPr>
          <w:ilvl w:val="0"/>
          <w:numId w:val="1"/>
        </w:numPr>
        <w:spacing w:before="50" w:after="50"/>
        <w:rPr/>
      </w:pPr>
      <w:r>
        <w:rPr>
          <w:rFonts w:eastAsia="Arial" w:cs="Arial"/>
          <w:color w:val="2C3E50"/>
          <w:sz w:val="20"/>
          <w:szCs w:val="20"/>
        </w:rPr>
        <w:t>A recommended underwriting action</w:t>
      </w:r>
    </w:p>
    <w:p>
      <w:pPr>
        <w:pStyle w:val="Normal"/>
        <w:spacing w:before="100" w:after="80"/>
        <w:rPr/>
      </w:pPr>
      <w:r>
        <w:rPr/>
      </w:r>
    </w:p>
    <w:p>
      <w:pPr>
        <w:pStyle w:val="Heading2"/>
        <w:rPr/>
      </w:pPr>
      <w:r>
        <w:rPr>
          <w:rFonts w:eastAsia="Arial" w:cs="Arial" w:ascii="Arial" w:hAnsi="Arial"/>
          <w:b/>
          <w:bCs/>
          <w:color w:val="1B3A6B"/>
          <w:sz w:val="24"/>
          <w:szCs w:val="24"/>
        </w:rPr>
        <w:t>What the AI Does NOT Do</w:t>
      </w:r>
    </w:p>
    <w:p>
      <w:pPr>
        <w:pStyle w:val="ListParagraph"/>
        <w:numPr>
          <w:ilvl w:val="0"/>
          <w:numId w:val="1"/>
        </w:numPr>
        <w:spacing w:before="50" w:after="50"/>
        <w:rPr/>
      </w:pPr>
      <w:r>
        <w:rPr>
          <w:rFonts w:eastAsia="Arial" w:cs="Arial"/>
          <w:color w:val="2C3E50"/>
          <w:sz w:val="20"/>
          <w:szCs w:val="20"/>
        </w:rPr>
        <w:t>It does not approve or deny insurance policies</w:t>
      </w:r>
    </w:p>
    <w:p>
      <w:pPr>
        <w:pStyle w:val="ListParagraph"/>
        <w:numPr>
          <w:ilvl w:val="0"/>
          <w:numId w:val="1"/>
        </w:numPr>
        <w:spacing w:before="50" w:after="50"/>
        <w:rPr/>
      </w:pPr>
      <w:r>
        <w:rPr>
          <w:rFonts w:eastAsia="Arial" w:cs="Arial"/>
          <w:color w:val="2C3E50"/>
          <w:sz w:val="20"/>
          <w:szCs w:val="20"/>
        </w:rPr>
        <w:t>It does not use customer names, income levels, or neighborhood reputation</w:t>
      </w:r>
    </w:p>
    <w:p>
      <w:pPr>
        <w:pStyle w:val="ListParagraph"/>
        <w:numPr>
          <w:ilvl w:val="0"/>
          <w:numId w:val="1"/>
        </w:numPr>
        <w:spacing w:before="50" w:after="50"/>
        <w:rPr/>
      </w:pPr>
      <w:r>
        <w:rPr>
          <w:rFonts w:eastAsia="Arial" w:cs="Arial"/>
          <w:color w:val="2C3E50"/>
          <w:sz w:val="20"/>
          <w:szCs w:val="20"/>
        </w:rPr>
        <w:t>It does not make final underwriting decisions</w:t>
      </w:r>
    </w:p>
    <w:p>
      <w:pPr>
        <w:pStyle w:val="ListParagraph"/>
        <w:numPr>
          <w:ilvl w:val="0"/>
          <w:numId w:val="1"/>
        </w:numPr>
        <w:spacing w:before="50" w:after="50"/>
        <w:rPr/>
      </w:pPr>
      <w:r>
        <w:rPr>
          <w:rFonts w:eastAsia="Arial" w:cs="Arial"/>
          <w:color w:val="2C3E50"/>
          <w:sz w:val="20"/>
          <w:szCs w:val="20"/>
        </w:rPr>
        <w:t>It does not predict specific flood dates or times</w:t>
      </w:r>
    </w:p>
    <w:p>
      <w:pPr>
        <w:pStyle w:val="Normal"/>
        <w:spacing w:before="120" w:after="80"/>
        <w:rPr/>
      </w:pPr>
      <w:r>
        <w:rPr/>
      </w:r>
    </w:p>
    <w:p>
      <w:pPr>
        <w:pStyle w:val="Heading2"/>
        <w:rPr/>
      </w:pPr>
      <w:r>
        <w:rPr>
          <w:rFonts w:eastAsia="Arial" w:cs="Arial" w:ascii="Arial" w:hAnsi="Arial"/>
          <w:b/>
          <w:bCs/>
          <w:color w:val="1B3A6B"/>
          <w:sz w:val="24"/>
          <w:szCs w:val="24"/>
        </w:rPr>
        <w:t>Human Fallback</w:t>
      </w:r>
    </w:p>
    <w:p>
      <w:pPr>
        <w:pStyle w:val="Normal"/>
        <w:shd w:val="clear" w:fill="E8F4FD"/>
        <w:spacing w:before="80" w:after="80"/>
        <w:rPr/>
      </w:pPr>
      <w:r>
        <w:rPr>
          <w:rFonts w:eastAsia="Arial" w:cs="Arial"/>
          <w:i/>
          <w:iCs/>
          <w:color w:val="2C3E50"/>
          <w:sz w:val="20"/>
          <w:szCs w:val="20"/>
        </w:rPr>
        <w:t>"You have the right to request a manual review of any risk score produced by this platform. Human reviews are completed within 5 business days. Manual review outcomes supersede automated scores."</w:t>
      </w:r>
    </w:p>
    <w:p>
      <w:pPr>
        <w:pStyle w:val="Normal"/>
        <w:spacing w:before="80" w:after="80"/>
        <w:rPr/>
      </w:pPr>
      <w:r>
        <w:rPr/>
      </w:r>
    </w:p>
    <w:p>
      <w:pPr>
        <w:pStyle w:val="Normal"/>
        <w:spacing w:before="60" w:after="80"/>
        <w:rPr/>
      </w:pPr>
      <w:r>
        <w:rPr>
          <w:rFonts w:eastAsia="Arial" w:cs="Arial"/>
          <w:b/>
          <w:bCs/>
          <w:i w:val="false"/>
          <w:iCs w:val="false"/>
          <w:color w:val="2C3E50"/>
          <w:sz w:val="20"/>
          <w:szCs w:val="20"/>
        </w:rPr>
        <w:t>Mandatory human review is automatically triggered for all scores above 75/100. These scores are flagged in the API response with action: mandatory_human_decision.</w:t>
      </w:r>
    </w:p>
    <w:p>
      <w:pPr>
        <w:pStyle w:val="Normal"/>
        <w:spacing w:before="120" w:after="80"/>
        <w:rPr/>
      </w:pPr>
      <w:r>
        <w:rPr/>
      </w:r>
    </w:p>
    <w:p>
      <w:pPr>
        <w:pStyle w:val="Heading2"/>
        <w:rPr/>
      </w:pPr>
      <w:r>
        <w:rPr>
          <w:rFonts w:eastAsia="Arial" w:cs="Arial" w:ascii="Arial" w:hAnsi="Arial"/>
          <w:b/>
          <w:bCs/>
          <w:color w:val="1B3A6B"/>
          <w:sz w:val="24"/>
          <w:szCs w:val="24"/>
        </w:rPr>
        <w:t>Plain Language Statement</w:t>
      </w:r>
    </w:p>
    <w:p>
      <w:pPr>
        <w:pStyle w:val="Normal"/>
        <w:shd w:val="clear" w:fill="E8F4FD"/>
        <w:spacing w:before="80" w:after="80"/>
        <w:rPr/>
      </w:pPr>
      <w:r>
        <w:rPr>
          <w:rFonts w:eastAsia="Arial" w:cs="Arial"/>
          <w:i/>
          <w:iCs/>
          <w:color w:val="2C3E50"/>
          <w:sz w:val="20"/>
          <w:szCs w:val="20"/>
        </w:rPr>
        <w:t>"Dëkkal uses data about land, water, and weather — not about people. We do not use your customers' names, incomes, or neighbourhoods to set risk scores. Our scores are based only on where a building sits and how water moves around it."</w:t>
      </w:r>
    </w:p>
    <w:p>
      <w:pPr>
        <w:pStyle w:val="Normal"/>
        <w:spacing w:before="120" w:after="80"/>
        <w:rPr/>
      </w:pPr>
      <w:r>
        <w:rPr/>
      </w:r>
    </w:p>
    <w:p>
      <w:pPr>
        <w:pStyle w:val="Heading2"/>
        <w:rPr/>
      </w:pPr>
      <w:r>
        <w:rPr>
          <w:rFonts w:eastAsia="Arial" w:cs="Arial" w:ascii="Arial" w:hAnsi="Arial"/>
          <w:b/>
          <w:bCs/>
          <w:color w:val="1B3A6B"/>
          <w:sz w:val="24"/>
          <w:szCs w:val="24"/>
        </w:rPr>
        <w:t>Bias Control Statement</w:t>
      </w:r>
    </w:p>
    <w:p>
      <w:pPr>
        <w:pStyle w:val="Normal"/>
        <w:spacing w:before="60" w:after="80"/>
        <w:rPr/>
      </w:pPr>
      <w:r>
        <w:rPr>
          <w:rFonts w:eastAsia="Arial" w:cs="Arial"/>
          <w:b w:val="false"/>
          <w:bCs w:val="false"/>
          <w:i w:val="false"/>
          <w:iCs w:val="false"/>
          <w:color w:val="2C3E50"/>
          <w:sz w:val="20"/>
          <w:szCs w:val="20"/>
        </w:rPr>
        <w:t>Our model contains no demographic proxies. Risk scores reflect physical flood exposure — elevation, slope, drainage access, soil type, and rainfall extremes. We conduct quarterly audits to verify that scores do not systematically disadvantage any geographic or socioeconomic group.</w:t>
      </w:r>
    </w:p>
    <w:p>
      <w:pPr>
        <w:pStyle w:val="Normal"/>
        <w:spacing w:before="120" w:after="80"/>
        <w:rPr/>
      </w:pPr>
      <w:r>
        <w:rPr/>
      </w:r>
    </w:p>
    <w:p>
      <w:pPr>
        <w:pStyle w:val="Heading2"/>
        <w:rPr/>
      </w:pPr>
      <w:r>
        <w:rPr>
          <w:rFonts w:eastAsia="Arial" w:cs="Arial" w:ascii="Arial" w:hAnsi="Arial"/>
          <w:b/>
          <w:bCs/>
          <w:color w:val="1B3A6B"/>
          <w:sz w:val="24"/>
          <w:szCs w:val="24"/>
        </w:rPr>
        <w:t>Data Privacy Statement</w:t>
      </w:r>
    </w:p>
    <w:p>
      <w:pPr>
        <w:pStyle w:val="Normal"/>
        <w:shd w:val="clear" w:fill="E8F4FD"/>
        <w:spacing w:before="80" w:after="80"/>
        <w:rPr/>
      </w:pPr>
      <w:r>
        <w:rPr>
          <w:rFonts w:eastAsia="Arial" w:cs="Arial"/>
          <w:i/>
          <w:iCs/>
          <w:color w:val="2C3E50"/>
          <w:sz w:val="20"/>
          <w:szCs w:val="20"/>
        </w:rPr>
        <w:t>"Dëkkal does not sell, share, or licence the property addresses or query data submitted by insurers to any third party. Address data is used solely to compute the risk score requested."</w:t>
      </w:r>
    </w:p>
    <w:p>
      <w:pPr>
        <w:pStyle w:val="Normal"/>
        <w:spacing w:before="120" w:after="80"/>
        <w:rPr/>
      </w:pPr>
      <w:r>
        <w:rPr/>
      </w:r>
    </w:p>
    <w:p>
      <w:pPr>
        <w:pStyle w:val="Heading2"/>
        <w:rPr/>
      </w:pPr>
      <w:r>
        <w:rPr>
          <w:rFonts w:eastAsia="Arial" w:cs="Arial" w:ascii="Arial" w:hAnsi="Arial"/>
          <w:b/>
          <w:bCs/>
          <w:color w:val="1B3A6B"/>
          <w:sz w:val="24"/>
          <w:szCs w:val="24"/>
        </w:rPr>
        <w:t>Your Rights as a Client</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19"/>
                <w:szCs w:val="19"/>
              </w:rPr>
              <w:t>Right</w:t>
            </w:r>
          </w:p>
        </w:tc>
        <w:tc>
          <w:tcPr>
            <w:tcW w:w="6961"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19"/>
                <w:szCs w:val="19"/>
              </w:rPr>
              <w:t>Description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Right to explanation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Request a full feature attribution report for any score</w:t>
            </w:r>
          </w:p>
        </w:tc>
      </w:tr>
      <w:tr>
        <w:trPr/>
        <w:tc>
          <w:tcPr>
            <w:tcW w:w="2399"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Right to override</w:t>
            </w:r>
          </w:p>
        </w:tc>
        <w:tc>
          <w:tcPr>
            <w:tcW w:w="6961"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Request manual human review of any score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Right to audit</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Request Model Card, Bias Audit Report, and Data Sources Register — produced within 48 hours</w:t>
            </w:r>
          </w:p>
        </w:tc>
      </w:tr>
      <w:tr>
        <w:trPr/>
        <w:tc>
          <w:tcPr>
            <w:tcW w:w="2399"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Right to erasure</w:t>
            </w:r>
          </w:p>
        </w:tc>
        <w:tc>
          <w:tcPr>
            <w:tcW w:w="6961"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Request deletion of your query logs at any time</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D7377"/>
      </w:pBdr>
      <w:jc w:val="center"/>
      <w:rPr/>
    </w:pPr>
    <w:r>
      <w:rPr>
        <w:rFonts w:eastAsia="Arial" w:cs="Arial"/>
        <w:b/>
        <w:bCs/>
        <w:color w:val="1B3A6B"/>
        <w:sz w:val="18"/>
        <w:szCs w:val="18"/>
      </w:rPr>
      <w:t>Dëkkal</w:t>
    </w:r>
    <w:r>
      <w:rPr>
        <w:rFonts w:eastAsia="Arial" w:cs="Arial"/>
        <w:color w:val="888888"/>
        <w:sz w:val="16"/>
        <w:szCs w:val="16"/>
      </w:rPr>
      <w:t xml:space="preserve">  |  Public AI Trust Center  |  ARISE Framework  |  April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D7377"/>
      </w:pBdr>
      <w:jc w:val="center"/>
      <w:rPr/>
    </w:pPr>
    <w:r>
      <w:rPr>
        <w:rFonts w:eastAsia="Arial" w:cs="Arial"/>
        <w:b/>
        <w:bCs/>
        <w:color w:val="1B3A6B"/>
        <w:sz w:val="18"/>
        <w:szCs w:val="18"/>
      </w:rPr>
      <w:t>Dëkkal</w:t>
    </w:r>
    <w:r>
      <w:rPr>
        <w:rFonts w:eastAsia="Arial" w:cs="Arial"/>
        <w:color w:val="888888"/>
        <w:sz w:val="16"/>
        <w:szCs w:val="16"/>
      </w:rPr>
      <w:t xml:space="preserve">  |  Public AI Trust Center  |  ARISE Framework  |  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B3A6B"/>
      </w:pBdr>
      <w:rPr/>
    </w:pPr>
    <w:r>
      <w:rPr>
        <w:rFonts w:eastAsia="Arial" w:cs="Arial"/>
        <w:b/>
        <w:bCs/>
        <w:color w:val="1B3A6B"/>
        <w:sz w:val="20"/>
        <w:szCs w:val="20"/>
      </w:rPr>
      <w:t xml:space="preserve">DËKKAL  </w:t>
    </w:r>
    <w:r>
      <w:rPr>
        <w:rFonts w:eastAsia="Arial" w:cs="Arial"/>
        <w:color w:val="0D7377"/>
        <w:sz w:val="18"/>
        <w:szCs w:val="18"/>
      </w:rPr>
      <w:t>|  Customer Disclosure Statement</w:t>
    </w:r>
    <w:r>
      <w:rPr>
        <w:rFonts w:eastAsia="Arial" w:cs="Arial"/>
        <w:i/>
        <w:iCs/>
        <w:color w:val="999999"/>
        <w:sz w:val="16"/>
        <w:szCs w:val="16"/>
      </w:rPr>
      <w:t xml:space="preserve">          Public AI Trust Pack  |  v1.0  |  April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B3A6B"/>
      </w:pBdr>
      <w:rPr/>
    </w:pPr>
    <w:r>
      <w:rPr>
        <w:rFonts w:eastAsia="Arial" w:cs="Arial"/>
        <w:b/>
        <w:bCs/>
        <w:color w:val="1B3A6B"/>
        <w:sz w:val="20"/>
        <w:szCs w:val="20"/>
      </w:rPr>
      <w:t xml:space="preserve">DËKKAL  </w:t>
    </w:r>
    <w:r>
      <w:rPr>
        <w:rFonts w:eastAsia="Arial" w:cs="Arial"/>
        <w:color w:val="0D7377"/>
        <w:sz w:val="18"/>
        <w:szCs w:val="18"/>
      </w:rPr>
      <w:t>|  Customer Disclosure Statement</w:t>
    </w:r>
    <w:r>
      <w:rPr>
        <w:rFonts w:eastAsia="Arial" w:cs="Arial"/>
        <w:i/>
        <w:iCs/>
        <w:color w:val="999999"/>
        <w:sz w:val="16"/>
        <w:szCs w:val="16"/>
      </w:rPr>
      <w:t xml:space="preserve">          Public AI Trust Pack  |  v1.0  |  April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3E50"/>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3E50"/>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B3A6B"/>
      <w:sz w:val="32"/>
      <w:szCs w:val="32"/>
    </w:rPr>
  </w:style>
  <w:style w:type="paragraph" w:styleId="Heading2">
    <w:name w:val="heading 2"/>
    <w:basedOn w:val="Heading"/>
    <w:qFormat/>
    <w:pPr>
      <w:spacing w:before="240" w:after="120"/>
      <w:outlineLvl w:val="1"/>
    </w:pPr>
    <w:rPr>
      <w:rFonts w:ascii="Arial" w:hAnsi="Arial" w:eastAsia="Arial" w:cs="Arial"/>
      <w:b/>
      <w:bCs/>
      <w:color w:val="1B3A6B"/>
      <w:sz w:val="24"/>
      <w:szCs w:val="24"/>
    </w:rPr>
  </w:style>
  <w:style w:type="paragraph" w:styleId="Heading3">
    <w:name w:val="heading 3"/>
    <w:basedOn w:val="Heading"/>
    <w:qFormat/>
    <w:pPr>
      <w:spacing w:before="180" w:after="80"/>
      <w:outlineLvl w:val="2"/>
    </w:pPr>
    <w:rPr>
      <w:rFonts w:ascii="Arial" w:hAnsi="Arial" w:eastAsia="Arial" w:cs="Arial"/>
      <w:b/>
      <w:bCs/>
      <w:color w:val="0D7377"/>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3E50"/>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3E50"/>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2</Pages>
  <Words>439</Words>
  <Characters>2323</Characters>
  <CharactersWithSpaces>2740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2026-04-28T14:41:13Z</dcterms:created>
  <dc:creator>Un-named</dc:creator>
  <dc:description/>
  <dc:language>en-US</dc:language>
  <cp:lastModifiedBy/>
  <dcterms:modified xsi:type="dcterms:W3CDTF">2026-04-28T17:12:30Z</dcterms:modified>
  <cp:revision>2</cp:revision>
  <dc:subject/>
  <dc:title/>
</cp:coreProperties>
</file>