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EE358" w14:textId="40BA0CE2" w:rsidR="00BE0564" w:rsidRPr="002027F4" w:rsidRDefault="00BE0564" w:rsidP="002027F4">
      <w:pPr>
        <w:pStyle w:val="Title"/>
      </w:pPr>
      <w:r w:rsidRPr="002027F4">
        <w:t xml:space="preserve">Review of Clustering methods </w:t>
      </w:r>
      <w:r w:rsidR="002027F4" w:rsidRPr="002027F4">
        <w:t>&amp;</w:t>
      </w:r>
      <w:r w:rsidRPr="002027F4">
        <w:t xml:space="preserve"> results for the GEP</w:t>
      </w:r>
    </w:p>
    <w:p w14:paraId="6E973B2B" w14:textId="7350627A" w:rsidR="00CF5A4B" w:rsidRPr="00AB7083" w:rsidRDefault="00CF5A4B" w:rsidP="00A1349E">
      <w:pPr>
        <w:pStyle w:val="Heading1"/>
      </w:pPr>
      <w:r w:rsidRPr="00AB7083">
        <w:t>Overview</w:t>
      </w:r>
    </w:p>
    <w:p w14:paraId="056BDD9A" w14:textId="3E9A9680" w:rsidR="0086036C" w:rsidRPr="00AB7083" w:rsidRDefault="0086036C"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 xml:space="preserve">This brief provides an overview of the findings </w:t>
      </w:r>
      <w:r w:rsidR="00AA6E47">
        <w:rPr>
          <w:rFonts w:ascii="Palatino Linotype" w:hAnsi="Palatino Linotype"/>
          <w:sz w:val="20"/>
          <w:szCs w:val="20"/>
        </w:rPr>
        <w:t xml:space="preserve">regarding </w:t>
      </w:r>
      <w:r w:rsidRPr="00AB7083">
        <w:rPr>
          <w:rFonts w:ascii="Palatino Linotype" w:hAnsi="Palatino Linotype"/>
          <w:sz w:val="20"/>
          <w:szCs w:val="20"/>
        </w:rPr>
        <w:t xml:space="preserve">the methods used to generate population clusters (or settlements) for the GEP. The research activity focused on existing </w:t>
      </w:r>
      <w:r w:rsidR="00AA6E47">
        <w:rPr>
          <w:rFonts w:ascii="Palatino Linotype" w:hAnsi="Palatino Linotype"/>
          <w:sz w:val="20"/>
          <w:szCs w:val="20"/>
        </w:rPr>
        <w:t xml:space="preserve">and/or newly developed (explorative) </w:t>
      </w:r>
      <w:r w:rsidRPr="00AB7083">
        <w:rPr>
          <w:rFonts w:ascii="Palatino Linotype" w:hAnsi="Palatino Linotype"/>
          <w:sz w:val="20"/>
          <w:szCs w:val="20"/>
        </w:rPr>
        <w:t xml:space="preserve">methods and their performance in terms of a) visual representation and b) quantitative accuracy. </w:t>
      </w:r>
    </w:p>
    <w:p w14:paraId="154CA595" w14:textId="73B2D63D" w:rsidR="0086036C" w:rsidRPr="00AB7083" w:rsidRDefault="0086036C"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 xml:space="preserve">The district of Kisoro (Uganda) was used </w:t>
      </w:r>
      <w:r w:rsidR="00FB2D92" w:rsidRPr="00AB7083">
        <w:rPr>
          <w:rFonts w:ascii="Palatino Linotype" w:hAnsi="Palatino Linotype"/>
          <w:sz w:val="20"/>
          <w:szCs w:val="20"/>
        </w:rPr>
        <w:t xml:space="preserve">as </w:t>
      </w:r>
      <w:r w:rsidRPr="00AB7083">
        <w:rPr>
          <w:rFonts w:ascii="Palatino Linotype" w:hAnsi="Palatino Linotype"/>
          <w:sz w:val="20"/>
          <w:szCs w:val="20"/>
        </w:rPr>
        <w:t xml:space="preserve">reference </w:t>
      </w:r>
      <w:r w:rsidR="00FB2D92" w:rsidRPr="00AB7083">
        <w:rPr>
          <w:rFonts w:ascii="Palatino Linotype" w:hAnsi="Palatino Linotype"/>
          <w:sz w:val="20"/>
          <w:szCs w:val="20"/>
        </w:rPr>
        <w:t>for</w:t>
      </w:r>
      <w:r w:rsidRPr="00AB7083">
        <w:rPr>
          <w:rFonts w:ascii="Palatino Linotype" w:hAnsi="Palatino Linotype"/>
          <w:sz w:val="20"/>
          <w:szCs w:val="20"/>
        </w:rPr>
        <w:t xml:space="preserve"> this comparison. There were six methods that were studied; they are presented in brief below. </w:t>
      </w:r>
    </w:p>
    <w:p w14:paraId="3098639C" w14:textId="646A80F4" w:rsidR="0086036C" w:rsidRPr="00AB7083" w:rsidRDefault="0086036C" w:rsidP="00A1349E">
      <w:pPr>
        <w:pStyle w:val="ListParagraph"/>
        <w:numPr>
          <w:ilvl w:val="0"/>
          <w:numId w:val="1"/>
        </w:numPr>
        <w:spacing w:after="120" w:line="312" w:lineRule="auto"/>
        <w:contextualSpacing w:val="0"/>
        <w:jc w:val="both"/>
        <w:rPr>
          <w:rFonts w:ascii="Palatino Linotype" w:hAnsi="Palatino Linotype"/>
          <w:sz w:val="20"/>
          <w:szCs w:val="20"/>
        </w:rPr>
      </w:pPr>
      <w:r w:rsidRPr="00AB7083">
        <w:rPr>
          <w:rFonts w:ascii="Palatino Linotype" w:hAnsi="Palatino Linotype"/>
          <w:b/>
          <w:bCs/>
          <w:sz w:val="20"/>
          <w:szCs w:val="20"/>
        </w:rPr>
        <w:t>Method 1 (GEP)</w:t>
      </w:r>
      <w:r w:rsidR="00FB2D92" w:rsidRPr="00AB7083">
        <w:rPr>
          <w:rFonts w:ascii="Palatino Linotype" w:hAnsi="Palatino Linotype"/>
          <w:sz w:val="20"/>
          <w:szCs w:val="20"/>
        </w:rPr>
        <w:t>.</w:t>
      </w:r>
      <w:r w:rsidRPr="00AB7083">
        <w:rPr>
          <w:rFonts w:ascii="Palatino Linotype" w:hAnsi="Palatino Linotype"/>
          <w:sz w:val="20"/>
          <w:szCs w:val="20"/>
        </w:rPr>
        <w:t xml:space="preserve">  This method has been developed by KTH as part of the GEP analysis in 2019. It is based on processing </w:t>
      </w:r>
      <w:r w:rsidR="00FB2D92" w:rsidRPr="00AB7083">
        <w:rPr>
          <w:rFonts w:ascii="Palatino Linotype" w:hAnsi="Palatino Linotype"/>
          <w:sz w:val="20"/>
          <w:szCs w:val="20"/>
        </w:rPr>
        <w:t xml:space="preserve">(resampling, polygonization, buffering, dissolving) </w:t>
      </w:r>
      <w:r w:rsidRPr="00AB7083">
        <w:rPr>
          <w:rFonts w:ascii="Palatino Linotype" w:hAnsi="Palatino Linotype"/>
          <w:sz w:val="20"/>
          <w:szCs w:val="20"/>
        </w:rPr>
        <w:t>of HRSL data</w:t>
      </w:r>
      <w:r w:rsidR="00FB2D92" w:rsidRPr="00AB7083">
        <w:rPr>
          <w:rFonts w:ascii="Palatino Linotype" w:hAnsi="Palatino Linotype"/>
          <w:sz w:val="20"/>
          <w:szCs w:val="20"/>
        </w:rPr>
        <w:t xml:space="preserve">. Detailed description of the method is available in </w:t>
      </w:r>
      <w:hyperlink r:id="rId8" w:history="1">
        <w:r w:rsidR="00FB2D92" w:rsidRPr="00AB7083">
          <w:rPr>
            <w:rStyle w:val="Hyperlink"/>
            <w:rFonts w:ascii="Palatino Linotype" w:hAnsi="Palatino Linotype"/>
            <w:sz w:val="20"/>
            <w:szCs w:val="20"/>
          </w:rPr>
          <w:t>this publication</w:t>
        </w:r>
      </w:hyperlink>
      <w:r w:rsidR="00FB2D92" w:rsidRPr="00AB7083">
        <w:rPr>
          <w:rFonts w:ascii="Palatino Linotype" w:hAnsi="Palatino Linotype"/>
          <w:sz w:val="20"/>
          <w:szCs w:val="20"/>
        </w:rPr>
        <w:t xml:space="preserve">. </w:t>
      </w:r>
    </w:p>
    <w:p w14:paraId="64E20826" w14:textId="50BC04D9" w:rsidR="00FB2D92" w:rsidRPr="00AB7083" w:rsidRDefault="00FB2D92" w:rsidP="00A1349E">
      <w:pPr>
        <w:pStyle w:val="ListParagraph"/>
        <w:numPr>
          <w:ilvl w:val="0"/>
          <w:numId w:val="1"/>
        </w:numPr>
        <w:spacing w:after="120" w:line="312" w:lineRule="auto"/>
        <w:contextualSpacing w:val="0"/>
        <w:jc w:val="both"/>
        <w:rPr>
          <w:rFonts w:ascii="Palatino Linotype" w:hAnsi="Palatino Linotype"/>
          <w:sz w:val="20"/>
          <w:szCs w:val="20"/>
        </w:rPr>
      </w:pPr>
      <w:r w:rsidRPr="00AB7083">
        <w:rPr>
          <w:rFonts w:ascii="Palatino Linotype" w:hAnsi="Palatino Linotype"/>
          <w:b/>
          <w:bCs/>
          <w:sz w:val="20"/>
          <w:szCs w:val="20"/>
        </w:rPr>
        <w:t>Method 2 (KTH MEN)</w:t>
      </w:r>
      <w:r w:rsidRPr="00AB7083">
        <w:rPr>
          <w:rFonts w:ascii="Palatino Linotype" w:hAnsi="Palatino Linotype"/>
          <w:sz w:val="20"/>
          <w:szCs w:val="20"/>
        </w:rPr>
        <w:t xml:space="preserve">. This is an updated version of the above method. It is still based on processing of HRSL data but with minor differences in step order. In addition, this method is available in the form of a </w:t>
      </w:r>
      <w:hyperlink r:id="rId9" w:history="1">
        <w:proofErr w:type="spellStart"/>
        <w:r w:rsidRPr="00AB7083">
          <w:rPr>
            <w:rStyle w:val="Hyperlink"/>
            <w:rFonts w:ascii="Palatino Linotype" w:hAnsi="Palatino Linotype"/>
            <w:sz w:val="20"/>
            <w:szCs w:val="20"/>
          </w:rPr>
          <w:t>ipynb</w:t>
        </w:r>
        <w:proofErr w:type="spellEnd"/>
        <w:r w:rsidRPr="00AB7083">
          <w:rPr>
            <w:rStyle w:val="Hyperlink"/>
            <w:rFonts w:ascii="Palatino Linotype" w:hAnsi="Palatino Linotype"/>
            <w:sz w:val="20"/>
            <w:szCs w:val="20"/>
          </w:rPr>
          <w:t xml:space="preserve"> pipeline</w:t>
        </w:r>
      </w:hyperlink>
      <w:r w:rsidRPr="00AB7083">
        <w:rPr>
          <w:rFonts w:ascii="Palatino Linotype" w:hAnsi="Palatino Linotype"/>
          <w:sz w:val="20"/>
          <w:szCs w:val="20"/>
        </w:rPr>
        <w:t xml:space="preserve">, which makes it easier to replicate and/or customize. The output result also includes urbanization (urban or rural) and electrification status (electrified or not-electrified) characterization of settlements (clusters). </w:t>
      </w:r>
    </w:p>
    <w:p w14:paraId="6121A49D" w14:textId="707F3A1A" w:rsidR="0086422C" w:rsidRPr="00AB7083" w:rsidRDefault="0086422C" w:rsidP="00A1349E">
      <w:pPr>
        <w:pStyle w:val="ListParagraph"/>
        <w:numPr>
          <w:ilvl w:val="0"/>
          <w:numId w:val="1"/>
        </w:numPr>
        <w:spacing w:after="120" w:line="312" w:lineRule="auto"/>
        <w:contextualSpacing w:val="0"/>
        <w:jc w:val="both"/>
        <w:rPr>
          <w:rFonts w:ascii="Palatino Linotype" w:hAnsi="Palatino Linotype"/>
          <w:sz w:val="20"/>
          <w:szCs w:val="20"/>
        </w:rPr>
      </w:pPr>
      <w:r w:rsidRPr="00AB7083">
        <w:rPr>
          <w:rFonts w:ascii="Palatino Linotype" w:hAnsi="Palatino Linotype"/>
          <w:b/>
          <w:bCs/>
          <w:sz w:val="20"/>
          <w:szCs w:val="20"/>
        </w:rPr>
        <w:t>Method 3 (KTH MEN Buff)</w:t>
      </w:r>
      <w:r w:rsidRPr="00AB7083">
        <w:rPr>
          <w:rFonts w:ascii="Palatino Linotype" w:hAnsi="Palatino Linotype"/>
          <w:sz w:val="20"/>
          <w:szCs w:val="20"/>
        </w:rPr>
        <w:t xml:space="preserve">. </w:t>
      </w:r>
      <w:r w:rsidR="00CF5A4B" w:rsidRPr="00AB7083">
        <w:rPr>
          <w:rFonts w:ascii="Palatino Linotype" w:hAnsi="Palatino Linotype"/>
          <w:sz w:val="20"/>
          <w:szCs w:val="20"/>
        </w:rPr>
        <w:t xml:space="preserve">An </w:t>
      </w:r>
      <w:hyperlink r:id="rId10" w:history="1">
        <w:r w:rsidR="00CF5A4B" w:rsidRPr="00AB7083">
          <w:rPr>
            <w:rStyle w:val="Hyperlink"/>
            <w:rFonts w:ascii="Palatino Linotype" w:hAnsi="Palatino Linotype"/>
            <w:sz w:val="20"/>
            <w:szCs w:val="20"/>
          </w:rPr>
          <w:t>updated version</w:t>
        </w:r>
      </w:hyperlink>
      <w:r w:rsidR="00CF5A4B" w:rsidRPr="00AB7083">
        <w:rPr>
          <w:rFonts w:ascii="Palatino Linotype" w:hAnsi="Palatino Linotype"/>
          <w:sz w:val="20"/>
          <w:szCs w:val="20"/>
        </w:rPr>
        <w:t xml:space="preserve"> of the above </w:t>
      </w:r>
      <w:proofErr w:type="spellStart"/>
      <w:r w:rsidR="00CF5A4B" w:rsidRPr="00AB7083">
        <w:rPr>
          <w:rFonts w:ascii="Palatino Linotype" w:hAnsi="Palatino Linotype"/>
          <w:sz w:val="20"/>
          <w:szCs w:val="20"/>
        </w:rPr>
        <w:t>ipynb</w:t>
      </w:r>
      <w:proofErr w:type="spellEnd"/>
      <w:r w:rsidR="00CF5A4B" w:rsidRPr="00AB7083">
        <w:rPr>
          <w:rFonts w:ascii="Palatino Linotype" w:hAnsi="Palatino Linotype"/>
          <w:sz w:val="20"/>
          <w:szCs w:val="20"/>
        </w:rPr>
        <w:t xml:space="preserve"> that allows </w:t>
      </w:r>
      <w:r w:rsidRPr="00AB7083">
        <w:rPr>
          <w:rFonts w:ascii="Palatino Linotype" w:hAnsi="Palatino Linotype"/>
          <w:sz w:val="20"/>
          <w:szCs w:val="20"/>
        </w:rPr>
        <w:t xml:space="preserve">additional </w:t>
      </w:r>
      <w:r w:rsidR="00CF5A4B" w:rsidRPr="00AB7083">
        <w:rPr>
          <w:rFonts w:ascii="Palatino Linotype" w:hAnsi="Palatino Linotype"/>
          <w:sz w:val="20"/>
          <w:szCs w:val="20"/>
        </w:rPr>
        <w:t xml:space="preserve">custom </w:t>
      </w:r>
      <w:r w:rsidRPr="00AB7083">
        <w:rPr>
          <w:rFonts w:ascii="Palatino Linotype" w:hAnsi="Palatino Linotype"/>
          <w:sz w:val="20"/>
          <w:szCs w:val="20"/>
        </w:rPr>
        <w:t xml:space="preserve">buffer assumptions when it comes to dissolving polygons (or clusters). Allowing higher buffer can lead to lower number of clusters to be generated. </w:t>
      </w:r>
    </w:p>
    <w:p w14:paraId="7E7E13A9" w14:textId="76493200" w:rsidR="0086422C" w:rsidRPr="00AB7083" w:rsidRDefault="0086422C" w:rsidP="00A1349E">
      <w:pPr>
        <w:pStyle w:val="ListParagraph"/>
        <w:numPr>
          <w:ilvl w:val="0"/>
          <w:numId w:val="1"/>
        </w:numPr>
        <w:spacing w:after="120" w:line="312" w:lineRule="auto"/>
        <w:contextualSpacing w:val="0"/>
        <w:jc w:val="both"/>
        <w:rPr>
          <w:rFonts w:ascii="Palatino Linotype" w:hAnsi="Palatino Linotype"/>
          <w:sz w:val="20"/>
          <w:szCs w:val="20"/>
        </w:rPr>
      </w:pPr>
      <w:r w:rsidRPr="00AB7083">
        <w:rPr>
          <w:rFonts w:ascii="Palatino Linotype" w:hAnsi="Palatino Linotype"/>
          <w:b/>
          <w:bCs/>
          <w:sz w:val="20"/>
          <w:szCs w:val="20"/>
        </w:rPr>
        <w:t xml:space="preserve">Method 4 (CA </w:t>
      </w:r>
      <w:proofErr w:type="spellStart"/>
      <w:r w:rsidRPr="00AB7083">
        <w:rPr>
          <w:rFonts w:ascii="Palatino Linotype" w:hAnsi="Palatino Linotype"/>
          <w:b/>
          <w:bCs/>
          <w:sz w:val="20"/>
          <w:szCs w:val="20"/>
        </w:rPr>
        <w:t>Qgis</w:t>
      </w:r>
      <w:proofErr w:type="spellEnd"/>
      <w:r w:rsidRPr="00AB7083">
        <w:rPr>
          <w:rFonts w:ascii="Palatino Linotype" w:hAnsi="Palatino Linotype"/>
          <w:b/>
          <w:bCs/>
          <w:sz w:val="20"/>
          <w:szCs w:val="20"/>
        </w:rPr>
        <w:t>)</w:t>
      </w:r>
      <w:r w:rsidRPr="00AB7083">
        <w:rPr>
          <w:rFonts w:ascii="Palatino Linotype" w:hAnsi="Palatino Linotype"/>
          <w:sz w:val="20"/>
          <w:szCs w:val="20"/>
        </w:rPr>
        <w:t xml:space="preserve">. This method is developed by Christopher Arderne in </w:t>
      </w:r>
      <w:proofErr w:type="spellStart"/>
      <w:r w:rsidRPr="00AB7083">
        <w:rPr>
          <w:rFonts w:ascii="Palatino Linotype" w:hAnsi="Palatino Linotype"/>
          <w:sz w:val="20"/>
          <w:szCs w:val="20"/>
        </w:rPr>
        <w:t>Qgis</w:t>
      </w:r>
      <w:proofErr w:type="spellEnd"/>
      <w:r w:rsidRPr="00AB7083">
        <w:rPr>
          <w:rFonts w:ascii="Palatino Linotype" w:hAnsi="Palatino Linotype"/>
          <w:sz w:val="20"/>
          <w:szCs w:val="20"/>
        </w:rPr>
        <w:t xml:space="preserve">. It seems like a combination of the above. Similarly, it is based on HRSL. It is a </w:t>
      </w:r>
      <w:proofErr w:type="spellStart"/>
      <w:r w:rsidRPr="00AB7083">
        <w:rPr>
          <w:rFonts w:ascii="Palatino Linotype" w:hAnsi="Palatino Linotype"/>
          <w:sz w:val="20"/>
          <w:szCs w:val="20"/>
        </w:rPr>
        <w:t>Qgis</w:t>
      </w:r>
      <w:proofErr w:type="spellEnd"/>
      <w:r w:rsidRPr="00AB7083">
        <w:rPr>
          <w:rFonts w:ascii="Palatino Linotype" w:hAnsi="Palatino Linotype"/>
          <w:sz w:val="20"/>
          <w:szCs w:val="20"/>
        </w:rPr>
        <w:t xml:space="preserve"> command-based pipeline (similar to Method 1) that includes several steps (</w:t>
      </w:r>
      <w:proofErr w:type="spellStart"/>
      <w:r w:rsidRPr="00AB7083">
        <w:rPr>
          <w:rFonts w:ascii="Palatino Linotype" w:hAnsi="Palatino Linotype"/>
          <w:sz w:val="20"/>
          <w:szCs w:val="20"/>
        </w:rPr>
        <w:t>polygonize</w:t>
      </w:r>
      <w:proofErr w:type="spellEnd"/>
      <w:r w:rsidRPr="00AB7083">
        <w:rPr>
          <w:rFonts w:ascii="Palatino Linotype" w:hAnsi="Palatino Linotype"/>
          <w:sz w:val="20"/>
          <w:szCs w:val="20"/>
        </w:rPr>
        <w:t xml:space="preserve">, fix, drop with area&lt;12500, buffer 0.005deg, fix, dissolve, multipart to single) when processing (similar to methods 2 &amp; 3). This was developed by Chris in response to the investigation over the issue of extremely high densities in GEP cluster results. </w:t>
      </w:r>
    </w:p>
    <w:p w14:paraId="3B751566" w14:textId="676D9321" w:rsidR="0086422C" w:rsidRPr="00AB7083" w:rsidRDefault="0086422C" w:rsidP="00A1349E">
      <w:pPr>
        <w:pStyle w:val="ListParagraph"/>
        <w:numPr>
          <w:ilvl w:val="0"/>
          <w:numId w:val="1"/>
        </w:numPr>
        <w:spacing w:after="120" w:line="312" w:lineRule="auto"/>
        <w:contextualSpacing w:val="0"/>
        <w:jc w:val="both"/>
        <w:rPr>
          <w:rFonts w:ascii="Palatino Linotype" w:hAnsi="Palatino Linotype"/>
          <w:sz w:val="20"/>
          <w:szCs w:val="20"/>
        </w:rPr>
      </w:pPr>
      <w:r w:rsidRPr="00AB7083">
        <w:rPr>
          <w:rFonts w:ascii="Palatino Linotype" w:hAnsi="Palatino Linotype"/>
          <w:b/>
          <w:bCs/>
          <w:sz w:val="20"/>
          <w:szCs w:val="20"/>
        </w:rPr>
        <w:t>Method 5 (CA cluster)</w:t>
      </w:r>
      <w:r w:rsidRPr="00AB7083">
        <w:rPr>
          <w:rFonts w:ascii="Palatino Linotype" w:hAnsi="Palatino Linotype"/>
          <w:sz w:val="20"/>
          <w:szCs w:val="20"/>
        </w:rPr>
        <w:t>.</w:t>
      </w:r>
      <w:r w:rsidRPr="00AB7083">
        <w:rPr>
          <w:rFonts w:ascii="Palatino Linotype" w:hAnsi="Palatino Linotype"/>
          <w:b/>
          <w:bCs/>
          <w:sz w:val="20"/>
          <w:szCs w:val="20"/>
        </w:rPr>
        <w:t xml:space="preserve"> </w:t>
      </w:r>
      <w:r w:rsidRPr="00AB7083">
        <w:rPr>
          <w:rFonts w:ascii="Palatino Linotype" w:hAnsi="Palatino Linotype"/>
          <w:sz w:val="20"/>
          <w:szCs w:val="20"/>
        </w:rPr>
        <w:t xml:space="preserve"> This is a method developed by Christopher Arderne</w:t>
      </w:r>
      <w:r w:rsidR="007A0FC9" w:rsidRPr="00AB7083">
        <w:rPr>
          <w:rFonts w:ascii="Palatino Linotype" w:hAnsi="Palatino Linotype"/>
          <w:sz w:val="20"/>
          <w:szCs w:val="20"/>
        </w:rPr>
        <w:t xml:space="preserve">; it used clustering </w:t>
      </w:r>
      <w:hyperlink r:id="rId11" w:history="1">
        <w:r w:rsidR="007A0FC9" w:rsidRPr="00AB7083">
          <w:rPr>
            <w:rStyle w:val="Hyperlink"/>
            <w:rFonts w:ascii="Palatino Linotype" w:hAnsi="Palatino Linotype"/>
            <w:sz w:val="20"/>
            <w:szCs w:val="20"/>
          </w:rPr>
          <w:t>algorithm(s) in python</w:t>
        </w:r>
      </w:hyperlink>
      <w:r w:rsidR="007A0FC9" w:rsidRPr="00AB7083">
        <w:rPr>
          <w:rFonts w:ascii="Palatino Linotype" w:hAnsi="Palatino Linotype"/>
          <w:sz w:val="20"/>
          <w:szCs w:val="20"/>
        </w:rPr>
        <w:t xml:space="preserve"> to classify HRSL population into groups based in distance; it then calculates a convex hull around them.  </w:t>
      </w:r>
    </w:p>
    <w:p w14:paraId="71B24C73" w14:textId="49687A4F" w:rsidR="007A0FC9" w:rsidRPr="00AB7083" w:rsidRDefault="007A0FC9" w:rsidP="00A1349E">
      <w:pPr>
        <w:pStyle w:val="ListParagraph"/>
        <w:numPr>
          <w:ilvl w:val="0"/>
          <w:numId w:val="1"/>
        </w:numPr>
        <w:spacing w:after="120" w:line="312" w:lineRule="auto"/>
        <w:contextualSpacing w:val="0"/>
        <w:jc w:val="both"/>
        <w:rPr>
          <w:rFonts w:ascii="Palatino Linotype" w:hAnsi="Palatino Linotype"/>
          <w:sz w:val="20"/>
          <w:szCs w:val="20"/>
        </w:rPr>
      </w:pPr>
      <w:r w:rsidRPr="00AB7083">
        <w:rPr>
          <w:rFonts w:ascii="Palatino Linotype" w:hAnsi="Palatino Linotype"/>
          <w:b/>
          <w:bCs/>
          <w:sz w:val="20"/>
          <w:szCs w:val="20"/>
        </w:rPr>
        <w:t>Method 6 (DBSCAN)</w:t>
      </w:r>
      <w:r w:rsidRPr="00AB7083">
        <w:rPr>
          <w:rFonts w:ascii="Palatino Linotype" w:hAnsi="Palatino Linotype"/>
          <w:sz w:val="20"/>
          <w:szCs w:val="20"/>
        </w:rPr>
        <w:t xml:space="preserve">. This method was developed </w:t>
      </w:r>
      <w:r w:rsidR="00FD106E" w:rsidRPr="00AB7083">
        <w:rPr>
          <w:rFonts w:ascii="Palatino Linotype" w:hAnsi="Palatino Linotype"/>
          <w:sz w:val="20"/>
          <w:szCs w:val="20"/>
        </w:rPr>
        <w:t xml:space="preserve">as a </w:t>
      </w:r>
      <w:hyperlink r:id="rId12" w:history="1">
        <w:proofErr w:type="spellStart"/>
        <w:r w:rsidR="00FD106E" w:rsidRPr="00AB7083">
          <w:rPr>
            <w:rStyle w:val="Hyperlink"/>
            <w:rFonts w:ascii="Palatino Linotype" w:hAnsi="Palatino Linotype"/>
            <w:sz w:val="20"/>
            <w:szCs w:val="20"/>
          </w:rPr>
          <w:t>ipynb</w:t>
        </w:r>
        <w:proofErr w:type="spellEnd"/>
        <w:r w:rsidR="00FD106E" w:rsidRPr="00AB7083">
          <w:rPr>
            <w:rStyle w:val="Hyperlink"/>
            <w:rFonts w:ascii="Palatino Linotype" w:hAnsi="Palatino Linotype"/>
            <w:sz w:val="20"/>
            <w:szCs w:val="20"/>
          </w:rPr>
          <w:t xml:space="preserve"> pipeline</w:t>
        </w:r>
      </w:hyperlink>
      <w:r w:rsidR="00FD106E" w:rsidRPr="00AB7083">
        <w:rPr>
          <w:rFonts w:ascii="Palatino Linotype" w:hAnsi="Palatino Linotype"/>
          <w:sz w:val="20"/>
          <w:szCs w:val="20"/>
        </w:rPr>
        <w:t xml:space="preserve"> </w:t>
      </w:r>
      <w:r w:rsidRPr="00AB7083">
        <w:rPr>
          <w:rFonts w:ascii="Palatino Linotype" w:hAnsi="Palatino Linotype"/>
          <w:sz w:val="20"/>
          <w:szCs w:val="20"/>
        </w:rPr>
        <w:t xml:space="preserve">by Alexandros Korkovelos; it uses DBSCAN clustering algorithm to assign buildings (from building footprint dataset) into clusters based in two criteria a) minimum number of building per cluster and b) max distance between buildings. The code calculates then concave polygons surrounding buildings that fall into the same cluster. Building that are not fall into a cluster </w:t>
      </w:r>
      <w:r w:rsidR="00AA6E47">
        <w:rPr>
          <w:rFonts w:ascii="Palatino Linotype" w:hAnsi="Palatino Linotype"/>
          <w:sz w:val="20"/>
          <w:szCs w:val="20"/>
        </w:rPr>
        <w:t>are extracted in</w:t>
      </w:r>
      <w:r w:rsidRPr="00AB7083">
        <w:rPr>
          <w:rFonts w:ascii="Palatino Linotype" w:hAnsi="Palatino Linotype"/>
          <w:sz w:val="20"/>
          <w:szCs w:val="20"/>
        </w:rPr>
        <w:t xml:space="preserve"> a separate point layer. </w:t>
      </w:r>
    </w:p>
    <w:p w14:paraId="69B1EA06" w14:textId="77777777" w:rsidR="00AA6E47" w:rsidRDefault="00CF5A4B"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lastRenderedPageBreak/>
        <w:t xml:space="preserve">Methods 1-4 are quite similar in principle. Differences between them occur due to minor modifications of processing order, cleaning and or different assumption of input parameters. </w:t>
      </w:r>
    </w:p>
    <w:p w14:paraId="7748AC4A" w14:textId="48290BAE" w:rsidR="00CF5A4B" w:rsidRPr="00AB7083" w:rsidRDefault="00CF5A4B"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Methods 5-6 differ from the previous as they deploy un-supervised learning to deduct clusters. Nevertheless, they are quite similar between them in terms of functionality but employ different input data and/or polygon processing algorithms (convex/concave), which might affect total area of the clusters.</w:t>
      </w:r>
    </w:p>
    <w:p w14:paraId="6706C9B0" w14:textId="18A44C1F" w:rsidR="00983C38" w:rsidRPr="00AB7083" w:rsidRDefault="00983C38"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 xml:space="preserve">Evaluating how “visually representative” the resulted clusters are in comparison to real settlements is </w:t>
      </w:r>
      <w:r w:rsidR="00AA6E47">
        <w:rPr>
          <w:rFonts w:ascii="Palatino Linotype" w:hAnsi="Palatino Linotype"/>
          <w:sz w:val="20"/>
          <w:szCs w:val="20"/>
        </w:rPr>
        <w:t xml:space="preserve">a </w:t>
      </w:r>
      <w:r w:rsidRPr="00AB7083">
        <w:rPr>
          <w:rFonts w:ascii="Palatino Linotype" w:hAnsi="Palatino Linotype"/>
          <w:sz w:val="20"/>
          <w:szCs w:val="20"/>
        </w:rPr>
        <w:t>rather challenging</w:t>
      </w:r>
      <w:r w:rsidR="00AA6E47">
        <w:rPr>
          <w:rFonts w:ascii="Palatino Linotype" w:hAnsi="Palatino Linotype"/>
          <w:sz w:val="20"/>
          <w:szCs w:val="20"/>
        </w:rPr>
        <w:t xml:space="preserve"> task</w:t>
      </w:r>
      <w:r w:rsidRPr="00AB7083">
        <w:rPr>
          <w:rFonts w:ascii="Palatino Linotype" w:hAnsi="Palatino Linotype"/>
          <w:sz w:val="20"/>
          <w:szCs w:val="20"/>
        </w:rPr>
        <w:t xml:space="preserve">. The most updated - and perhaps - accurate dataset in terms of capturing build-up are is the </w:t>
      </w:r>
      <w:hyperlink r:id="rId13" w:history="1">
        <w:r w:rsidRPr="00A1349E">
          <w:rPr>
            <w:rStyle w:val="Hyperlink"/>
            <w:rFonts w:ascii="Palatino Linotype" w:hAnsi="Palatino Linotype"/>
            <w:sz w:val="20"/>
            <w:szCs w:val="20"/>
          </w:rPr>
          <w:t>building footprint dataset</w:t>
        </w:r>
      </w:hyperlink>
      <w:r w:rsidRPr="00AB7083">
        <w:rPr>
          <w:rFonts w:ascii="Palatino Linotype" w:hAnsi="Palatino Linotype"/>
          <w:sz w:val="20"/>
          <w:szCs w:val="20"/>
        </w:rPr>
        <w:t xml:space="preserve">. For the case of Kisoro, this consists of 62483 building features as shown in Figure </w:t>
      </w:r>
      <w:r w:rsidR="00A1349E">
        <w:rPr>
          <w:rFonts w:ascii="Palatino Linotype" w:hAnsi="Palatino Linotype"/>
          <w:sz w:val="20"/>
          <w:szCs w:val="20"/>
        </w:rPr>
        <w:t>1</w:t>
      </w:r>
      <w:r w:rsidRPr="00AB7083">
        <w:rPr>
          <w:rFonts w:ascii="Palatino Linotype" w:hAnsi="Palatino Linotype"/>
          <w:sz w:val="20"/>
          <w:szCs w:val="20"/>
        </w:rPr>
        <w:t xml:space="preserve">. Therefore, this was used as a reference for visual inspection of the generated clusters. </w:t>
      </w:r>
    </w:p>
    <w:p w14:paraId="1348D7B6" w14:textId="77777777" w:rsidR="00A1349E" w:rsidRDefault="00983C38" w:rsidP="00A1349E">
      <w:pPr>
        <w:keepNext/>
        <w:spacing w:after="120" w:line="312" w:lineRule="auto"/>
        <w:jc w:val="both"/>
      </w:pPr>
      <w:r w:rsidRPr="00AB7083">
        <w:rPr>
          <w:rFonts w:ascii="Palatino Linotype" w:hAnsi="Palatino Linotype"/>
          <w:noProof/>
          <w:sz w:val="20"/>
          <w:szCs w:val="20"/>
        </w:rPr>
        <w:drawing>
          <wp:inline distT="0" distB="0" distL="0" distR="0" wp14:anchorId="2B7BE8BB" wp14:editId="2E4765C8">
            <wp:extent cx="5913029" cy="50122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43" cy="5036012"/>
                    </a:xfrm>
                    <a:prstGeom prst="rect">
                      <a:avLst/>
                    </a:prstGeom>
                    <a:noFill/>
                    <a:ln>
                      <a:noFill/>
                    </a:ln>
                  </pic:spPr>
                </pic:pic>
              </a:graphicData>
            </a:graphic>
          </wp:inline>
        </w:drawing>
      </w:r>
    </w:p>
    <w:p w14:paraId="6C881723" w14:textId="588E9AE7" w:rsidR="00A1349E" w:rsidRDefault="00A1349E" w:rsidP="00A1349E">
      <w:pPr>
        <w:pStyle w:val="Caption"/>
        <w:spacing w:after="120" w:line="312" w:lineRule="auto"/>
        <w:jc w:val="both"/>
      </w:pPr>
      <w:r>
        <w:t xml:space="preserve">Figure </w:t>
      </w:r>
      <w:fldSimple w:instr=" SEQ Figure \* ARABIC ">
        <w:r w:rsidR="00006096">
          <w:rPr>
            <w:noProof/>
          </w:rPr>
          <w:t>1</w:t>
        </w:r>
      </w:fldSimple>
      <w:r>
        <w:t xml:space="preserve">. Building footprint in Kisoro district, Uganda. Data retrieved from </w:t>
      </w:r>
      <w:r w:rsidRPr="00854C66">
        <w:t xml:space="preserve">Microsoft’s </w:t>
      </w:r>
      <w:hyperlink r:id="rId15" w:history="1">
        <w:r w:rsidRPr="00A1349E">
          <w:rPr>
            <w:rStyle w:val="Hyperlink"/>
          </w:rPr>
          <w:t>AI for Humanitarian Action program</w:t>
        </w:r>
      </w:hyperlink>
      <w:r>
        <w:t>.</w:t>
      </w:r>
    </w:p>
    <w:p w14:paraId="0293B96E" w14:textId="783D5C1E" w:rsidR="00A1349E" w:rsidRDefault="00A1349E" w:rsidP="00A1349E">
      <w:pPr>
        <w:spacing w:after="120" w:line="312" w:lineRule="auto"/>
      </w:pPr>
    </w:p>
    <w:p w14:paraId="43836394" w14:textId="77777777" w:rsidR="00A1349E" w:rsidRPr="00A1349E" w:rsidRDefault="00A1349E" w:rsidP="00A1349E">
      <w:pPr>
        <w:spacing w:after="120" w:line="312" w:lineRule="auto"/>
      </w:pPr>
    </w:p>
    <w:p w14:paraId="4B5B9EAE" w14:textId="30035038" w:rsidR="00CF5A4B" w:rsidRPr="00AB7083" w:rsidRDefault="00E80E70" w:rsidP="00A1349E">
      <w:pPr>
        <w:pStyle w:val="Heading1"/>
        <w:spacing w:after="120" w:line="312" w:lineRule="auto"/>
      </w:pPr>
      <w:r w:rsidRPr="00AB7083">
        <w:lastRenderedPageBreak/>
        <w:t>Findings</w:t>
      </w:r>
    </w:p>
    <w:p w14:paraId="0A293B61" w14:textId="1340EB0B" w:rsidR="00012BEE" w:rsidRPr="00AB7083" w:rsidRDefault="004451E3" w:rsidP="00A1349E">
      <w:pPr>
        <w:pStyle w:val="Heading2"/>
        <w:spacing w:after="120" w:line="312" w:lineRule="auto"/>
      </w:pPr>
      <w:r w:rsidRPr="00AB7083">
        <w:t xml:space="preserve">Qualitative evaluation - </w:t>
      </w:r>
      <w:r w:rsidR="00012BEE" w:rsidRPr="00AB7083">
        <w:t>Visual inspection</w:t>
      </w:r>
    </w:p>
    <w:p w14:paraId="6E98851A" w14:textId="3E849C1C" w:rsidR="00983C38" w:rsidRPr="00AB7083" w:rsidRDefault="00983C38" w:rsidP="00A1349E">
      <w:pPr>
        <w:pStyle w:val="Heading3"/>
        <w:spacing w:after="120" w:line="312" w:lineRule="auto"/>
      </w:pPr>
      <w:r w:rsidRPr="00AB7083">
        <w:t>Method 1</w:t>
      </w:r>
    </w:p>
    <w:p w14:paraId="1403ECB1" w14:textId="77777777" w:rsidR="00A1349E" w:rsidRDefault="00983C38"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 xml:space="preserve">In terms of visual inspection, method 1 seems to be performing relatively well. As seen in Figure </w:t>
      </w:r>
      <w:r w:rsidR="00A1349E">
        <w:rPr>
          <w:rFonts w:ascii="Palatino Linotype" w:hAnsi="Palatino Linotype"/>
          <w:sz w:val="20"/>
          <w:szCs w:val="20"/>
        </w:rPr>
        <w:t>2</w:t>
      </w:r>
      <w:r w:rsidRPr="00AB7083">
        <w:rPr>
          <w:rFonts w:ascii="Palatino Linotype" w:hAnsi="Palatino Linotype"/>
          <w:sz w:val="20"/>
          <w:szCs w:val="20"/>
        </w:rPr>
        <w:t>, the main buil</w:t>
      </w:r>
      <w:r w:rsidR="00A1349E">
        <w:rPr>
          <w:rFonts w:ascii="Palatino Linotype" w:hAnsi="Palatino Linotype"/>
          <w:sz w:val="20"/>
          <w:szCs w:val="20"/>
        </w:rPr>
        <w:t>t</w:t>
      </w:r>
      <w:r w:rsidRPr="00AB7083">
        <w:rPr>
          <w:rFonts w:ascii="Palatino Linotype" w:hAnsi="Palatino Linotype"/>
          <w:sz w:val="20"/>
          <w:szCs w:val="20"/>
        </w:rPr>
        <w:t>-up areas are captured, although there are some areas (especially in urban centres</w:t>
      </w:r>
      <w:r w:rsidR="00012BEE" w:rsidRPr="00AB7083">
        <w:rPr>
          <w:rFonts w:ascii="Palatino Linotype" w:hAnsi="Palatino Linotype"/>
          <w:sz w:val="20"/>
          <w:szCs w:val="20"/>
        </w:rPr>
        <w:t xml:space="preserve"> – see encircled area in Figure </w:t>
      </w:r>
      <w:r w:rsidR="00A1349E">
        <w:rPr>
          <w:rFonts w:ascii="Palatino Linotype" w:hAnsi="Palatino Linotype"/>
          <w:sz w:val="20"/>
          <w:szCs w:val="20"/>
        </w:rPr>
        <w:t>2</w:t>
      </w:r>
      <w:r w:rsidRPr="00AB7083">
        <w:rPr>
          <w:rFonts w:ascii="Palatino Linotype" w:hAnsi="Palatino Linotype"/>
          <w:sz w:val="20"/>
          <w:szCs w:val="20"/>
        </w:rPr>
        <w:t xml:space="preserve">) that get enclosed in the cluster even if there are no buildings in that location. This might lead to increased area for the cluster, which in turn might </w:t>
      </w:r>
      <w:proofErr w:type="gramStart"/>
      <w:r w:rsidRPr="00AB7083">
        <w:rPr>
          <w:rFonts w:ascii="Palatino Linotype" w:hAnsi="Palatino Linotype"/>
          <w:sz w:val="20"/>
          <w:szCs w:val="20"/>
        </w:rPr>
        <w:t>have an effect on</w:t>
      </w:r>
      <w:proofErr w:type="gramEnd"/>
      <w:r w:rsidRPr="00AB7083">
        <w:rPr>
          <w:rFonts w:ascii="Palatino Linotype" w:hAnsi="Palatino Linotype"/>
          <w:sz w:val="20"/>
          <w:szCs w:val="20"/>
        </w:rPr>
        <w:t xml:space="preserve"> the results of the electrification analysis (area is used to calculate MV extension costs).</w:t>
      </w:r>
      <w:r w:rsidR="00012BEE" w:rsidRPr="00AB7083">
        <w:rPr>
          <w:rFonts w:ascii="Palatino Linotype" w:hAnsi="Palatino Linotype"/>
          <w:sz w:val="20"/>
          <w:szCs w:val="20"/>
        </w:rPr>
        <w:t xml:space="preserve"> </w:t>
      </w:r>
    </w:p>
    <w:p w14:paraId="655DA5D3" w14:textId="2F6D6D39" w:rsidR="00983C38" w:rsidRPr="00AB7083" w:rsidRDefault="00A1349E" w:rsidP="00A1349E">
      <w:pPr>
        <w:spacing w:after="120" w:line="312" w:lineRule="auto"/>
        <w:jc w:val="both"/>
        <w:rPr>
          <w:rFonts w:ascii="Palatino Linotype" w:hAnsi="Palatino Linotype"/>
          <w:sz w:val="20"/>
          <w:szCs w:val="20"/>
        </w:rPr>
      </w:pPr>
      <w:r w:rsidRPr="00A1349E">
        <w:rPr>
          <w:rFonts w:ascii="Palatino Linotype" w:hAnsi="Palatino Linotype"/>
          <w:b/>
          <w:bCs/>
          <w:sz w:val="20"/>
          <w:szCs w:val="20"/>
        </w:rPr>
        <w:t>Note!</w:t>
      </w:r>
      <w:r>
        <w:rPr>
          <w:rFonts w:ascii="Palatino Linotype" w:hAnsi="Palatino Linotype"/>
          <w:sz w:val="20"/>
          <w:szCs w:val="20"/>
        </w:rPr>
        <w:t xml:space="preserve"> </w:t>
      </w:r>
      <w:r w:rsidR="006317C4" w:rsidRPr="00AB7083">
        <w:rPr>
          <w:rFonts w:ascii="Palatino Linotype" w:hAnsi="Palatino Linotype"/>
          <w:sz w:val="20"/>
          <w:szCs w:val="20"/>
        </w:rPr>
        <w:t xml:space="preserve">It should be highlighted here that the resulted clusters in this method do indicate some discrepancy in terms of the administrative boundary around the district (no clusters in the mid-southwest part of the province). This might be explained from the source of administrative layer, which in this assignment was derived from GADM, while method 1 (GEP results) were based on World Bank administrative boundaries. </w:t>
      </w:r>
    </w:p>
    <w:p w14:paraId="4130C18A" w14:textId="77777777" w:rsidR="00A1349E" w:rsidRDefault="00983C38" w:rsidP="00A1349E">
      <w:pPr>
        <w:keepNext/>
        <w:spacing w:after="120" w:line="312" w:lineRule="auto"/>
        <w:jc w:val="center"/>
      </w:pPr>
      <w:r w:rsidRPr="00AB7083">
        <w:rPr>
          <w:rFonts w:ascii="Palatino Linotype" w:hAnsi="Palatino Linotype"/>
          <w:noProof/>
          <w:sz w:val="20"/>
          <w:szCs w:val="20"/>
        </w:rPr>
        <w:drawing>
          <wp:inline distT="0" distB="0" distL="0" distR="0" wp14:anchorId="028BFF14" wp14:editId="6939097D">
            <wp:extent cx="5061402" cy="43357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5656" cy="4382256"/>
                    </a:xfrm>
                    <a:prstGeom prst="rect">
                      <a:avLst/>
                    </a:prstGeom>
                    <a:noFill/>
                    <a:ln>
                      <a:noFill/>
                    </a:ln>
                  </pic:spPr>
                </pic:pic>
              </a:graphicData>
            </a:graphic>
          </wp:inline>
        </w:drawing>
      </w:r>
    </w:p>
    <w:p w14:paraId="6940AF01" w14:textId="50486520" w:rsidR="00983C38" w:rsidRPr="00AB7083" w:rsidRDefault="00A1349E" w:rsidP="00A1349E">
      <w:pPr>
        <w:pStyle w:val="Caption"/>
        <w:jc w:val="center"/>
        <w:rPr>
          <w:rFonts w:ascii="Palatino Linotype" w:hAnsi="Palatino Linotype"/>
          <w:sz w:val="20"/>
          <w:szCs w:val="20"/>
        </w:rPr>
      </w:pPr>
      <w:r>
        <w:t xml:space="preserve">Figure </w:t>
      </w:r>
      <w:fldSimple w:instr=" SEQ Figure \* ARABIC ">
        <w:r w:rsidR="00006096">
          <w:rPr>
            <w:noProof/>
          </w:rPr>
          <w:t>2</w:t>
        </w:r>
      </w:fldSimple>
      <w:r>
        <w:t xml:space="preserve">. Generated cluster using method 1 (GEP). These clusters are currently used </w:t>
      </w:r>
      <w:r w:rsidR="00A3661E">
        <w:t xml:space="preserve">in (and thus retrieved from) </w:t>
      </w:r>
      <w:r>
        <w:t xml:space="preserve">the </w:t>
      </w:r>
      <w:hyperlink r:id="rId17" w:history="1">
        <w:r w:rsidRPr="00A3661E">
          <w:rPr>
            <w:rStyle w:val="Hyperlink"/>
          </w:rPr>
          <w:t>GEP Explorer</w:t>
        </w:r>
      </w:hyperlink>
      <w:r>
        <w:t>.</w:t>
      </w:r>
    </w:p>
    <w:p w14:paraId="4C296861" w14:textId="5228B003" w:rsidR="00012BEE" w:rsidRPr="00AB7083" w:rsidRDefault="00012BEE" w:rsidP="00A1349E">
      <w:pPr>
        <w:pStyle w:val="Heading3"/>
      </w:pPr>
      <w:r w:rsidRPr="00AB7083">
        <w:lastRenderedPageBreak/>
        <w:t>Method 2</w:t>
      </w:r>
    </w:p>
    <w:p w14:paraId="285778EC" w14:textId="72868C74" w:rsidR="006317C4" w:rsidRPr="00AB7083" w:rsidRDefault="00A1349E" w:rsidP="00A1349E">
      <w:pPr>
        <w:spacing w:after="120" w:line="312" w:lineRule="auto"/>
        <w:jc w:val="both"/>
        <w:rPr>
          <w:rFonts w:ascii="Palatino Linotype" w:hAnsi="Palatino Linotype"/>
          <w:sz w:val="20"/>
          <w:szCs w:val="20"/>
        </w:rPr>
      </w:pPr>
      <w:r>
        <w:rPr>
          <w:rFonts w:ascii="Palatino Linotype" w:hAnsi="Palatino Linotype"/>
          <w:sz w:val="20"/>
          <w:szCs w:val="20"/>
        </w:rPr>
        <w:t>I</w:t>
      </w:r>
      <w:r w:rsidR="006317C4" w:rsidRPr="00AB7083">
        <w:rPr>
          <w:rFonts w:ascii="Palatino Linotype" w:hAnsi="Palatino Linotype"/>
          <w:sz w:val="20"/>
          <w:szCs w:val="20"/>
        </w:rPr>
        <w:t>n terms of visual representation</w:t>
      </w:r>
      <w:r w:rsidR="00A3661E">
        <w:rPr>
          <w:rFonts w:ascii="Palatino Linotype" w:hAnsi="Palatino Linotype"/>
          <w:sz w:val="20"/>
          <w:szCs w:val="20"/>
        </w:rPr>
        <w:t xml:space="preserve">, </w:t>
      </w:r>
      <w:r w:rsidR="006317C4" w:rsidRPr="00AB7083">
        <w:rPr>
          <w:rFonts w:ascii="Palatino Linotype" w:hAnsi="Palatino Linotype"/>
          <w:sz w:val="20"/>
          <w:szCs w:val="20"/>
        </w:rPr>
        <w:t>clusters</w:t>
      </w:r>
      <w:r>
        <w:rPr>
          <w:rFonts w:ascii="Palatino Linotype" w:hAnsi="Palatino Linotype"/>
          <w:sz w:val="20"/>
          <w:szCs w:val="20"/>
        </w:rPr>
        <w:t xml:space="preserve"> </w:t>
      </w:r>
      <w:r w:rsidR="00A3661E">
        <w:rPr>
          <w:rFonts w:ascii="Palatino Linotype" w:hAnsi="Palatino Linotype"/>
          <w:sz w:val="20"/>
          <w:szCs w:val="20"/>
        </w:rPr>
        <w:t xml:space="preserve">deriving from </w:t>
      </w:r>
      <w:r>
        <w:rPr>
          <w:rFonts w:ascii="Palatino Linotype" w:hAnsi="Palatino Linotype"/>
          <w:sz w:val="20"/>
          <w:szCs w:val="20"/>
        </w:rPr>
        <w:t>m</w:t>
      </w:r>
      <w:r w:rsidRPr="00AB7083">
        <w:rPr>
          <w:rFonts w:ascii="Palatino Linotype" w:hAnsi="Palatino Linotype"/>
          <w:sz w:val="20"/>
          <w:szCs w:val="20"/>
        </w:rPr>
        <w:t xml:space="preserve">ethod 2 seems </w:t>
      </w:r>
      <w:r>
        <w:rPr>
          <w:rFonts w:ascii="Palatino Linotype" w:hAnsi="Palatino Linotype"/>
          <w:sz w:val="20"/>
          <w:szCs w:val="20"/>
        </w:rPr>
        <w:t xml:space="preserve">to yield </w:t>
      </w:r>
      <w:proofErr w:type="gramStart"/>
      <w:r>
        <w:rPr>
          <w:rFonts w:ascii="Palatino Linotype" w:hAnsi="Palatino Linotype"/>
          <w:sz w:val="20"/>
          <w:szCs w:val="20"/>
        </w:rPr>
        <w:t>very similar</w:t>
      </w:r>
      <w:proofErr w:type="gramEnd"/>
      <w:r>
        <w:rPr>
          <w:rFonts w:ascii="Palatino Linotype" w:hAnsi="Palatino Linotype"/>
          <w:sz w:val="20"/>
          <w:szCs w:val="20"/>
        </w:rPr>
        <w:t xml:space="preserve"> results to method 1</w:t>
      </w:r>
      <w:r w:rsidR="006317C4" w:rsidRPr="00AB7083">
        <w:rPr>
          <w:rFonts w:ascii="Palatino Linotype" w:hAnsi="Palatino Linotype"/>
          <w:sz w:val="20"/>
          <w:szCs w:val="20"/>
        </w:rPr>
        <w:t xml:space="preserve"> </w:t>
      </w:r>
      <w:r>
        <w:rPr>
          <w:rFonts w:ascii="Palatino Linotype" w:hAnsi="Palatino Linotype"/>
          <w:sz w:val="20"/>
          <w:szCs w:val="20"/>
        </w:rPr>
        <w:t xml:space="preserve">(see </w:t>
      </w:r>
      <w:r w:rsidR="006317C4" w:rsidRPr="00AB7083">
        <w:rPr>
          <w:rFonts w:ascii="Palatino Linotype" w:hAnsi="Palatino Linotype"/>
          <w:sz w:val="20"/>
          <w:szCs w:val="20"/>
        </w:rPr>
        <w:t xml:space="preserve">Figure </w:t>
      </w:r>
      <w:r>
        <w:rPr>
          <w:rFonts w:ascii="Palatino Linotype" w:hAnsi="Palatino Linotype"/>
          <w:sz w:val="20"/>
          <w:szCs w:val="20"/>
        </w:rPr>
        <w:t>3</w:t>
      </w:r>
      <w:r w:rsidR="006317C4" w:rsidRPr="00AB7083">
        <w:rPr>
          <w:rFonts w:ascii="Palatino Linotype" w:hAnsi="Palatino Linotype"/>
          <w:sz w:val="20"/>
          <w:szCs w:val="20"/>
        </w:rPr>
        <w:t xml:space="preserve">). That is, overall performance looks relatively good, however, it seems to overestimate clusters especially in dense, urban areas. This might lead to similar area/density issues described earlier. </w:t>
      </w:r>
    </w:p>
    <w:p w14:paraId="46A7780C" w14:textId="77777777" w:rsidR="00A1349E" w:rsidRDefault="006317C4" w:rsidP="00A1349E">
      <w:pPr>
        <w:keepNext/>
        <w:spacing w:after="120" w:line="312" w:lineRule="auto"/>
        <w:jc w:val="center"/>
      </w:pPr>
      <w:r w:rsidRPr="00AB7083">
        <w:rPr>
          <w:rFonts w:ascii="Palatino Linotype" w:hAnsi="Palatino Linotype"/>
          <w:noProof/>
          <w:sz w:val="20"/>
          <w:szCs w:val="20"/>
        </w:rPr>
        <w:drawing>
          <wp:inline distT="0" distB="0" distL="0" distR="0" wp14:anchorId="696114C3" wp14:editId="6195F0DA">
            <wp:extent cx="5247455" cy="415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3767" cy="4181638"/>
                    </a:xfrm>
                    <a:prstGeom prst="rect">
                      <a:avLst/>
                    </a:prstGeom>
                    <a:noFill/>
                    <a:ln>
                      <a:noFill/>
                    </a:ln>
                  </pic:spPr>
                </pic:pic>
              </a:graphicData>
            </a:graphic>
          </wp:inline>
        </w:drawing>
      </w:r>
    </w:p>
    <w:p w14:paraId="43DBDBFA" w14:textId="4255B3B9" w:rsidR="006317C4" w:rsidRPr="00AB7083" w:rsidRDefault="00A1349E" w:rsidP="00A1349E">
      <w:pPr>
        <w:pStyle w:val="Caption"/>
        <w:jc w:val="center"/>
        <w:rPr>
          <w:rFonts w:ascii="Palatino Linotype" w:hAnsi="Palatino Linotype"/>
          <w:sz w:val="20"/>
          <w:szCs w:val="20"/>
        </w:rPr>
      </w:pPr>
      <w:r>
        <w:t xml:space="preserve">Figure </w:t>
      </w:r>
      <w:fldSimple w:instr=" SEQ Figure \* ARABIC ">
        <w:r w:rsidR="00006096">
          <w:rPr>
            <w:noProof/>
          </w:rPr>
          <w:t>3</w:t>
        </w:r>
      </w:fldSimple>
      <w:r>
        <w:t xml:space="preserve">. </w:t>
      </w:r>
      <w:r w:rsidRPr="0098632B">
        <w:t xml:space="preserve">Generated cluster using </w:t>
      </w:r>
      <w:r w:rsidR="00A3661E">
        <w:t xml:space="preserve">the update “clustering” method developed by KTH (KTH MEN). The clusters were retrieved from the </w:t>
      </w:r>
      <w:hyperlink r:id="rId19" w:history="1">
        <w:r w:rsidR="00A3661E" w:rsidRPr="00A3661E">
          <w:rPr>
            <w:rStyle w:val="Hyperlink"/>
          </w:rPr>
          <w:t>Mendeley open database</w:t>
        </w:r>
      </w:hyperlink>
      <w:r w:rsidRPr="0098632B">
        <w:t>.</w:t>
      </w:r>
    </w:p>
    <w:p w14:paraId="3EC6C1C9" w14:textId="77777777" w:rsidR="006317C4" w:rsidRPr="00AB7083" w:rsidRDefault="006317C4" w:rsidP="00A1349E">
      <w:pPr>
        <w:pStyle w:val="Heading3"/>
      </w:pPr>
      <w:r w:rsidRPr="00AB7083">
        <w:t>Method 3</w:t>
      </w:r>
    </w:p>
    <w:p w14:paraId="64EAA614" w14:textId="60439EAB" w:rsidR="00012BEE" w:rsidRPr="00AB7083" w:rsidRDefault="006317C4"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 xml:space="preserve">Method 3 seems to be outperforming the previous two methods in terms of </w:t>
      </w:r>
      <w:r w:rsidR="00A3661E">
        <w:rPr>
          <w:rFonts w:ascii="Palatino Linotype" w:hAnsi="Palatino Linotype"/>
          <w:sz w:val="20"/>
          <w:szCs w:val="20"/>
        </w:rPr>
        <w:t>“</w:t>
      </w:r>
      <w:r w:rsidRPr="00AB7083">
        <w:rPr>
          <w:rFonts w:ascii="Palatino Linotype" w:hAnsi="Palatino Linotype"/>
          <w:sz w:val="20"/>
          <w:szCs w:val="20"/>
        </w:rPr>
        <w:t>visual accuracy</w:t>
      </w:r>
      <w:r w:rsidR="00A3661E">
        <w:rPr>
          <w:rFonts w:ascii="Palatino Linotype" w:hAnsi="Palatino Linotype"/>
          <w:sz w:val="20"/>
          <w:szCs w:val="20"/>
        </w:rPr>
        <w:t>”</w:t>
      </w:r>
      <w:r w:rsidRPr="00AB7083">
        <w:rPr>
          <w:rFonts w:ascii="Palatino Linotype" w:hAnsi="Palatino Linotype"/>
          <w:sz w:val="20"/>
          <w:szCs w:val="20"/>
        </w:rPr>
        <w:t xml:space="preserve">. As seen in Figure </w:t>
      </w:r>
      <w:r w:rsidR="00A3661E">
        <w:rPr>
          <w:rFonts w:ascii="Palatino Linotype" w:hAnsi="Palatino Linotype"/>
          <w:sz w:val="20"/>
          <w:szCs w:val="20"/>
        </w:rPr>
        <w:t>4</w:t>
      </w:r>
      <w:r w:rsidRPr="00AB7083">
        <w:rPr>
          <w:rFonts w:ascii="Palatino Linotype" w:hAnsi="Palatino Linotype"/>
          <w:sz w:val="20"/>
          <w:szCs w:val="20"/>
        </w:rPr>
        <w:t xml:space="preserve">, the resulted clusters seem to cover more accurately the built-up area </w:t>
      </w:r>
      <w:r w:rsidR="00DB71A4" w:rsidRPr="00AB7083">
        <w:rPr>
          <w:rFonts w:ascii="Palatino Linotype" w:hAnsi="Palatino Linotype"/>
          <w:sz w:val="20"/>
          <w:szCs w:val="20"/>
        </w:rPr>
        <w:t xml:space="preserve">in the province and do a better job in cutting out non-built area in urban centres (in contrast to the previous two methods). </w:t>
      </w:r>
    </w:p>
    <w:p w14:paraId="48E847E9" w14:textId="77777777" w:rsidR="00A3661E" w:rsidRDefault="00DB71A4" w:rsidP="00A3661E">
      <w:pPr>
        <w:keepNext/>
        <w:spacing w:after="120" w:line="312" w:lineRule="auto"/>
        <w:jc w:val="center"/>
      </w:pPr>
      <w:r w:rsidRPr="00AB7083">
        <w:rPr>
          <w:rFonts w:ascii="Palatino Linotype" w:hAnsi="Palatino Linotype"/>
          <w:noProof/>
          <w:sz w:val="20"/>
          <w:szCs w:val="20"/>
        </w:rPr>
        <w:lastRenderedPageBreak/>
        <w:drawing>
          <wp:inline distT="0" distB="0" distL="0" distR="0" wp14:anchorId="2AF5CE1F" wp14:editId="250B10E3">
            <wp:extent cx="5209798" cy="4046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5692" cy="4058564"/>
                    </a:xfrm>
                    <a:prstGeom prst="rect">
                      <a:avLst/>
                    </a:prstGeom>
                    <a:noFill/>
                    <a:ln>
                      <a:noFill/>
                    </a:ln>
                  </pic:spPr>
                </pic:pic>
              </a:graphicData>
            </a:graphic>
          </wp:inline>
        </w:drawing>
      </w:r>
    </w:p>
    <w:p w14:paraId="7A21F75E" w14:textId="43BE0D0F" w:rsidR="00DB71A4" w:rsidRPr="00AB7083" w:rsidRDefault="00A3661E" w:rsidP="00A3661E">
      <w:pPr>
        <w:pStyle w:val="Caption"/>
        <w:jc w:val="center"/>
        <w:rPr>
          <w:rFonts w:ascii="Palatino Linotype" w:hAnsi="Palatino Linotype"/>
          <w:sz w:val="20"/>
          <w:szCs w:val="20"/>
        </w:rPr>
      </w:pPr>
      <w:r>
        <w:t xml:space="preserve">Figure </w:t>
      </w:r>
      <w:fldSimple w:instr=" SEQ Figure \* ARABIC ">
        <w:r w:rsidR="00006096">
          <w:rPr>
            <w:noProof/>
          </w:rPr>
          <w:t>4</w:t>
        </w:r>
      </w:fldSimple>
      <w:r>
        <w:t xml:space="preserve">. </w:t>
      </w:r>
      <w:r w:rsidRPr="00396094">
        <w:t>Generated cluster using the update “clustering” method developed by KTH</w:t>
      </w:r>
      <w:r>
        <w:t xml:space="preserve">, with an additional added buffer/dissolve step (KTH MEN Buff). </w:t>
      </w:r>
      <w:r w:rsidRPr="00396094">
        <w:t xml:space="preserve">The clusters were </w:t>
      </w:r>
      <w:r>
        <w:t>generated from scratch.</w:t>
      </w:r>
    </w:p>
    <w:p w14:paraId="1E07E258" w14:textId="3F7055DD" w:rsidR="00DB71A4" w:rsidRPr="00AB7083" w:rsidRDefault="00DB71A4" w:rsidP="00A1349E">
      <w:pPr>
        <w:pStyle w:val="Heading3"/>
      </w:pPr>
      <w:r w:rsidRPr="00AB7083">
        <w:t>Method 4</w:t>
      </w:r>
    </w:p>
    <w:p w14:paraId="14ABA8C2" w14:textId="77777777" w:rsidR="00A3661E" w:rsidRDefault="00DB71A4"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 xml:space="preserve">In terms of visual representation, this method indicates poor performance in comparison to the previous </w:t>
      </w:r>
      <w:r w:rsidR="00A3661E">
        <w:rPr>
          <w:rFonts w:ascii="Palatino Linotype" w:hAnsi="Palatino Linotype"/>
          <w:sz w:val="20"/>
          <w:szCs w:val="20"/>
        </w:rPr>
        <w:t>ones.</w:t>
      </w:r>
      <w:r w:rsidRPr="00AB7083">
        <w:rPr>
          <w:rFonts w:ascii="Palatino Linotype" w:hAnsi="Palatino Linotype"/>
          <w:sz w:val="20"/>
          <w:szCs w:val="20"/>
        </w:rPr>
        <w:t xml:space="preserve"> Big portion of the built-up area (thus population) is not captured in the clusters. That is due to the cut-out limit in the HRSL set in the </w:t>
      </w:r>
      <w:proofErr w:type="spellStart"/>
      <w:r w:rsidRPr="00AB7083">
        <w:rPr>
          <w:rFonts w:ascii="Palatino Linotype" w:hAnsi="Palatino Linotype"/>
          <w:sz w:val="20"/>
          <w:szCs w:val="20"/>
        </w:rPr>
        <w:t>Qgis</w:t>
      </w:r>
      <w:proofErr w:type="spellEnd"/>
      <w:r w:rsidRPr="00AB7083">
        <w:rPr>
          <w:rFonts w:ascii="Palatino Linotype" w:hAnsi="Palatino Linotype"/>
          <w:sz w:val="20"/>
          <w:szCs w:val="20"/>
        </w:rPr>
        <w:t xml:space="preserve"> pipeline, which excludes many areas in the clustering process. In addition, this method leads to a few </w:t>
      </w:r>
      <w:r w:rsidR="004F6DA5" w:rsidRPr="00AB7083">
        <w:rPr>
          <w:rFonts w:ascii="Palatino Linotype" w:hAnsi="Palatino Linotype"/>
          <w:sz w:val="20"/>
          <w:szCs w:val="20"/>
        </w:rPr>
        <w:t>big</w:t>
      </w:r>
      <w:r w:rsidRPr="00AB7083">
        <w:rPr>
          <w:rFonts w:ascii="Palatino Linotype" w:hAnsi="Palatino Linotype"/>
          <w:sz w:val="20"/>
          <w:szCs w:val="20"/>
        </w:rPr>
        <w:t xml:space="preserve"> clusters (see </w:t>
      </w:r>
      <w:r w:rsidR="004F6DA5" w:rsidRPr="00AB7083">
        <w:rPr>
          <w:rFonts w:ascii="Palatino Linotype" w:hAnsi="Palatino Linotype"/>
          <w:sz w:val="20"/>
          <w:szCs w:val="20"/>
        </w:rPr>
        <w:t xml:space="preserve">Figure </w:t>
      </w:r>
      <w:r w:rsidR="00A3661E">
        <w:rPr>
          <w:rFonts w:ascii="Palatino Linotype" w:hAnsi="Palatino Linotype"/>
          <w:sz w:val="20"/>
          <w:szCs w:val="20"/>
        </w:rPr>
        <w:t>5</w:t>
      </w:r>
      <w:r w:rsidR="004F6DA5" w:rsidRPr="00AB7083">
        <w:rPr>
          <w:rFonts w:ascii="Palatino Linotype" w:hAnsi="Palatino Linotype"/>
          <w:sz w:val="20"/>
          <w:szCs w:val="20"/>
        </w:rPr>
        <w:t xml:space="preserve">), which will act as one entity in the following </w:t>
      </w:r>
      <w:proofErr w:type="spellStart"/>
      <w:r w:rsidR="004F6DA5" w:rsidRPr="00AB7083">
        <w:rPr>
          <w:rFonts w:ascii="Palatino Linotype" w:hAnsi="Palatino Linotype"/>
          <w:sz w:val="20"/>
          <w:szCs w:val="20"/>
        </w:rPr>
        <w:t>OnSSET</w:t>
      </w:r>
      <w:proofErr w:type="spellEnd"/>
      <w:r w:rsidR="004F6DA5" w:rsidRPr="00AB7083">
        <w:rPr>
          <w:rFonts w:ascii="Palatino Linotype" w:hAnsi="Palatino Linotype"/>
          <w:sz w:val="20"/>
          <w:szCs w:val="20"/>
        </w:rPr>
        <w:t xml:space="preserve"> analysis. Finally, the process of buffering in this method leads to enclosing non-built up area in the clusters. </w:t>
      </w:r>
    </w:p>
    <w:p w14:paraId="539ADDD8" w14:textId="5EA1A6A7" w:rsidR="00DB71A4" w:rsidRPr="00AB7083" w:rsidRDefault="004F6DA5"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All the above will have an impact on population density/area and effectively on the results of the electrification analysis. It should be highlighted however, that poor results shall be primarily be linked to rough assumption</w:t>
      </w:r>
      <w:r w:rsidR="00A3661E">
        <w:rPr>
          <w:rFonts w:ascii="Palatino Linotype" w:hAnsi="Palatino Linotype"/>
          <w:sz w:val="20"/>
          <w:szCs w:val="20"/>
        </w:rPr>
        <w:t>s (or non-proper calibration of those)</w:t>
      </w:r>
      <w:r w:rsidRPr="00AB7083">
        <w:rPr>
          <w:rFonts w:ascii="Palatino Linotype" w:hAnsi="Palatino Linotype"/>
          <w:sz w:val="20"/>
          <w:szCs w:val="20"/>
        </w:rPr>
        <w:t xml:space="preserve"> in the method and not to the pipeline itself. That is, with proper calibration this method might lead to better results. Nevertheless, excluding pixels from the HRSL (which is the defining characteristic of this method) seems to be causing a lot of visual distortion, which is something that we need to consider carefully before deploying</w:t>
      </w:r>
      <w:r w:rsidR="00A3661E">
        <w:rPr>
          <w:rFonts w:ascii="Palatino Linotype" w:hAnsi="Palatino Linotype"/>
          <w:sz w:val="20"/>
          <w:szCs w:val="20"/>
        </w:rPr>
        <w:t xml:space="preserve"> the method.</w:t>
      </w:r>
      <w:r w:rsidRPr="00AB7083">
        <w:rPr>
          <w:rFonts w:ascii="Palatino Linotype" w:hAnsi="Palatino Linotype"/>
          <w:sz w:val="20"/>
          <w:szCs w:val="20"/>
        </w:rPr>
        <w:t xml:space="preserve"> </w:t>
      </w:r>
    </w:p>
    <w:p w14:paraId="03C7ECC6" w14:textId="77777777" w:rsidR="00A3661E" w:rsidRDefault="004F6DA5" w:rsidP="00A3661E">
      <w:pPr>
        <w:keepNext/>
        <w:spacing w:after="120" w:line="312" w:lineRule="auto"/>
        <w:jc w:val="center"/>
      </w:pPr>
      <w:r w:rsidRPr="00AB7083">
        <w:rPr>
          <w:rFonts w:ascii="Palatino Linotype" w:hAnsi="Palatino Linotype"/>
          <w:noProof/>
          <w:sz w:val="20"/>
          <w:szCs w:val="20"/>
        </w:rPr>
        <w:lastRenderedPageBreak/>
        <w:drawing>
          <wp:inline distT="0" distB="0" distL="0" distR="0" wp14:anchorId="5E7DB1FD" wp14:editId="59DFFEC5">
            <wp:extent cx="4808855" cy="433933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4388" cy="4344326"/>
                    </a:xfrm>
                    <a:prstGeom prst="rect">
                      <a:avLst/>
                    </a:prstGeom>
                    <a:noFill/>
                    <a:ln>
                      <a:noFill/>
                    </a:ln>
                  </pic:spPr>
                </pic:pic>
              </a:graphicData>
            </a:graphic>
          </wp:inline>
        </w:drawing>
      </w:r>
    </w:p>
    <w:p w14:paraId="7C80FA57" w14:textId="6122C66B" w:rsidR="00DB71A4" w:rsidRPr="00AB7083" w:rsidRDefault="00A3661E" w:rsidP="00A3661E">
      <w:pPr>
        <w:pStyle w:val="Caption"/>
        <w:jc w:val="center"/>
        <w:rPr>
          <w:rFonts w:ascii="Palatino Linotype" w:hAnsi="Palatino Linotype"/>
          <w:sz w:val="20"/>
          <w:szCs w:val="20"/>
        </w:rPr>
      </w:pPr>
      <w:r>
        <w:t xml:space="preserve">Figure </w:t>
      </w:r>
      <w:fldSimple w:instr=" SEQ Figure \* ARABIC ">
        <w:r w:rsidR="00006096">
          <w:rPr>
            <w:noProof/>
          </w:rPr>
          <w:t>5</w:t>
        </w:r>
      </w:fldSimple>
      <w:r>
        <w:t xml:space="preserve">. Population clusters in Kisoro as resulted from the </w:t>
      </w:r>
      <w:proofErr w:type="spellStart"/>
      <w:r>
        <w:t>Qgis</w:t>
      </w:r>
      <w:proofErr w:type="spellEnd"/>
      <w:r>
        <w:t xml:space="preserve"> pipeline proposed by Christopher Arderne</w:t>
      </w:r>
      <w:r w:rsidR="00006096">
        <w:t xml:space="preserve"> (CA </w:t>
      </w:r>
      <w:proofErr w:type="spellStart"/>
      <w:r w:rsidR="00006096">
        <w:t>Qgis</w:t>
      </w:r>
      <w:proofErr w:type="spellEnd"/>
      <w:r w:rsidR="00006096">
        <w:t>)</w:t>
      </w:r>
      <w:r>
        <w:t>. Clusters shared by Chris.</w:t>
      </w:r>
    </w:p>
    <w:p w14:paraId="410FCBE5" w14:textId="5CE11093" w:rsidR="004F6DA5" w:rsidRPr="00AB7083" w:rsidRDefault="004F6DA5" w:rsidP="00A1349E">
      <w:pPr>
        <w:pStyle w:val="Heading3"/>
      </w:pPr>
      <w:r w:rsidRPr="00AB7083">
        <w:t>Method 5</w:t>
      </w:r>
    </w:p>
    <w:p w14:paraId="4145C5FF" w14:textId="0163A4D4" w:rsidR="004F6DA5" w:rsidRPr="00AB7083" w:rsidRDefault="00CC51F7" w:rsidP="00A1349E">
      <w:pPr>
        <w:spacing w:after="120" w:line="312" w:lineRule="auto"/>
        <w:jc w:val="both"/>
        <w:rPr>
          <w:rFonts w:ascii="Palatino Linotype" w:hAnsi="Palatino Linotype"/>
          <w:sz w:val="20"/>
          <w:szCs w:val="20"/>
        </w:rPr>
      </w:pPr>
      <w:proofErr w:type="gramStart"/>
      <w:r w:rsidRPr="00AB7083">
        <w:rPr>
          <w:rFonts w:ascii="Palatino Linotype" w:hAnsi="Palatino Linotype"/>
          <w:sz w:val="20"/>
          <w:szCs w:val="20"/>
        </w:rPr>
        <w:t xml:space="preserve">Similar </w:t>
      </w:r>
      <w:r w:rsidR="004F6DA5" w:rsidRPr="00AB7083">
        <w:rPr>
          <w:rFonts w:ascii="Palatino Linotype" w:hAnsi="Palatino Linotype"/>
          <w:sz w:val="20"/>
          <w:szCs w:val="20"/>
        </w:rPr>
        <w:t>to</w:t>
      </w:r>
      <w:proofErr w:type="gramEnd"/>
      <w:r w:rsidR="004F6DA5" w:rsidRPr="00AB7083">
        <w:rPr>
          <w:rFonts w:ascii="Palatino Linotype" w:hAnsi="Palatino Linotype"/>
          <w:sz w:val="20"/>
          <w:szCs w:val="20"/>
        </w:rPr>
        <w:t xml:space="preserve"> the previous method, in this case the resulted clusters indicate very poor performance in terms of visually capturing the built-up area in Kisoro. </w:t>
      </w:r>
      <w:r w:rsidRPr="00AB7083">
        <w:rPr>
          <w:rFonts w:ascii="Palatino Linotype" w:hAnsi="Palatino Linotype"/>
          <w:sz w:val="20"/>
          <w:szCs w:val="20"/>
        </w:rPr>
        <w:t xml:space="preserve">First, the </w:t>
      </w:r>
      <w:r w:rsidR="00006096">
        <w:rPr>
          <w:rFonts w:ascii="Palatino Linotype" w:hAnsi="Palatino Linotype"/>
          <w:sz w:val="20"/>
          <w:szCs w:val="20"/>
        </w:rPr>
        <w:t xml:space="preserve">actual </w:t>
      </w:r>
      <w:r w:rsidRPr="00AB7083">
        <w:rPr>
          <w:rFonts w:ascii="Palatino Linotype" w:hAnsi="Palatino Linotype"/>
          <w:sz w:val="20"/>
          <w:szCs w:val="20"/>
        </w:rPr>
        <w:t xml:space="preserve">number of clusters is </w:t>
      </w:r>
      <w:proofErr w:type="gramStart"/>
      <w:r w:rsidRPr="00AB7083">
        <w:rPr>
          <w:rFonts w:ascii="Palatino Linotype" w:hAnsi="Palatino Linotype"/>
          <w:sz w:val="20"/>
          <w:szCs w:val="20"/>
        </w:rPr>
        <w:t>very low</w:t>
      </w:r>
      <w:proofErr w:type="gramEnd"/>
      <w:r w:rsidRPr="00AB7083">
        <w:rPr>
          <w:rFonts w:ascii="Palatino Linotype" w:hAnsi="Palatino Linotype"/>
          <w:sz w:val="20"/>
          <w:szCs w:val="20"/>
        </w:rPr>
        <w:t xml:space="preserve">, which might be due to the assumptions set in the clustering algorithm. Second, the generated clusters seem to be arbitrarily generated. As explained before, this might not be a problem solely attributed to the method itself but to its calibration </w:t>
      </w:r>
      <w:proofErr w:type="gramStart"/>
      <w:r w:rsidRPr="00AB7083">
        <w:rPr>
          <w:rFonts w:ascii="Palatino Linotype" w:hAnsi="Palatino Linotype"/>
          <w:sz w:val="20"/>
          <w:szCs w:val="20"/>
        </w:rPr>
        <w:t>in regards to</w:t>
      </w:r>
      <w:proofErr w:type="gramEnd"/>
      <w:r w:rsidRPr="00AB7083">
        <w:rPr>
          <w:rFonts w:ascii="Palatino Linotype" w:hAnsi="Palatino Linotype"/>
          <w:sz w:val="20"/>
          <w:szCs w:val="20"/>
        </w:rPr>
        <w:t xml:space="preserve"> the input parameters and design criteria. </w:t>
      </w:r>
    </w:p>
    <w:p w14:paraId="66B58345" w14:textId="77777777" w:rsidR="00006096" w:rsidRDefault="004F6DA5" w:rsidP="00006096">
      <w:pPr>
        <w:keepNext/>
        <w:spacing w:after="120" w:line="312" w:lineRule="auto"/>
        <w:jc w:val="center"/>
      </w:pPr>
      <w:r w:rsidRPr="00AB7083">
        <w:rPr>
          <w:rFonts w:ascii="Palatino Linotype" w:hAnsi="Palatino Linotype"/>
          <w:noProof/>
          <w:sz w:val="20"/>
          <w:szCs w:val="20"/>
        </w:rPr>
        <w:lastRenderedPageBreak/>
        <w:drawing>
          <wp:inline distT="0" distB="0" distL="0" distR="0" wp14:anchorId="7616D554" wp14:editId="6A410D0D">
            <wp:extent cx="5731510" cy="29375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p>
    <w:p w14:paraId="5E2C3942" w14:textId="02D3294C" w:rsidR="004F6DA5" w:rsidRPr="00AB7083" w:rsidRDefault="00006096" w:rsidP="00006096">
      <w:pPr>
        <w:pStyle w:val="Caption"/>
        <w:jc w:val="center"/>
        <w:rPr>
          <w:rFonts w:ascii="Palatino Linotype" w:hAnsi="Palatino Linotype"/>
          <w:sz w:val="20"/>
          <w:szCs w:val="20"/>
        </w:rPr>
      </w:pPr>
      <w:r>
        <w:t xml:space="preserve">Figure </w:t>
      </w:r>
      <w:fldSimple w:instr=" SEQ Figure \* ARABIC ">
        <w:r>
          <w:rPr>
            <w:noProof/>
          </w:rPr>
          <w:t>6</w:t>
        </w:r>
      </w:fldSimple>
      <w:r>
        <w:t>. Population clusters developed using the un-supervised clustering algorithm (</w:t>
      </w:r>
      <w:r w:rsidRPr="00006096">
        <w:t>--method=radius --radius=3 --buffer=50</w:t>
      </w:r>
      <w:r>
        <w:t>) and convex polygonization (CA cluster). Clusters were shared by Christopher Arderne.</w:t>
      </w:r>
    </w:p>
    <w:p w14:paraId="18C8E310" w14:textId="4CBB620B" w:rsidR="00983C38" w:rsidRPr="00AB7083" w:rsidRDefault="00012BEE" w:rsidP="00A1349E">
      <w:pPr>
        <w:pStyle w:val="Heading3"/>
      </w:pPr>
      <w:r w:rsidRPr="00AB7083">
        <w:t>Method 6</w:t>
      </w:r>
    </w:p>
    <w:p w14:paraId="392A527C" w14:textId="05239605" w:rsidR="00CC51F7" w:rsidRPr="00AB7083" w:rsidRDefault="00CC51F7"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Finally</w:t>
      </w:r>
      <w:r w:rsidR="00E80E70" w:rsidRPr="00AB7083">
        <w:rPr>
          <w:rFonts w:ascii="Palatino Linotype" w:hAnsi="Palatino Linotype"/>
          <w:sz w:val="20"/>
          <w:szCs w:val="20"/>
        </w:rPr>
        <w:t xml:space="preserve">, method 6 (DBSCAN) </w:t>
      </w:r>
      <w:r w:rsidRPr="00AB7083">
        <w:rPr>
          <w:rFonts w:ascii="Palatino Linotype" w:hAnsi="Palatino Linotype"/>
          <w:sz w:val="20"/>
          <w:szCs w:val="20"/>
        </w:rPr>
        <w:t>seem to be the m</w:t>
      </w:r>
      <w:r w:rsidR="00E80E70" w:rsidRPr="00AB7083">
        <w:rPr>
          <w:rFonts w:ascii="Palatino Linotype" w:hAnsi="Palatino Linotype"/>
          <w:sz w:val="20"/>
          <w:szCs w:val="20"/>
        </w:rPr>
        <w:t xml:space="preserve">ost </w:t>
      </w:r>
      <w:r w:rsidRPr="00AB7083">
        <w:rPr>
          <w:rFonts w:ascii="Palatino Linotype" w:hAnsi="Palatino Linotype"/>
          <w:sz w:val="20"/>
          <w:szCs w:val="20"/>
        </w:rPr>
        <w:t xml:space="preserve">“visually </w:t>
      </w:r>
      <w:r w:rsidR="003611BA" w:rsidRPr="00AB7083">
        <w:rPr>
          <w:rFonts w:ascii="Palatino Linotype" w:hAnsi="Palatino Linotype"/>
          <w:sz w:val="20"/>
          <w:szCs w:val="20"/>
        </w:rPr>
        <w:t>representative</w:t>
      </w:r>
      <w:r w:rsidRPr="00AB7083">
        <w:rPr>
          <w:rFonts w:ascii="Palatino Linotype" w:hAnsi="Palatino Linotype"/>
          <w:sz w:val="20"/>
          <w:szCs w:val="20"/>
        </w:rPr>
        <w:t>”. This is expected as the method is</w:t>
      </w:r>
      <w:r w:rsidR="003611BA" w:rsidRPr="00AB7083">
        <w:rPr>
          <w:rFonts w:ascii="Palatino Linotype" w:hAnsi="Palatino Linotype"/>
          <w:sz w:val="20"/>
          <w:szCs w:val="20"/>
        </w:rPr>
        <w:t xml:space="preserve"> </w:t>
      </w:r>
      <w:r w:rsidR="00E80E70" w:rsidRPr="00AB7083">
        <w:rPr>
          <w:rFonts w:ascii="Palatino Linotype" w:hAnsi="Palatino Linotype"/>
          <w:sz w:val="20"/>
          <w:szCs w:val="20"/>
        </w:rPr>
        <w:t>based on the building footprint dataset</w:t>
      </w:r>
      <w:r w:rsidR="00006096">
        <w:rPr>
          <w:rFonts w:ascii="Palatino Linotype" w:hAnsi="Palatino Linotype"/>
          <w:sz w:val="20"/>
          <w:szCs w:val="20"/>
        </w:rPr>
        <w:t xml:space="preserve"> itself</w:t>
      </w:r>
      <w:r w:rsidR="00E80E70" w:rsidRPr="00AB7083">
        <w:rPr>
          <w:rFonts w:ascii="Palatino Linotype" w:hAnsi="Palatino Linotype"/>
          <w:sz w:val="20"/>
          <w:szCs w:val="20"/>
        </w:rPr>
        <w:t xml:space="preserve">. </w:t>
      </w:r>
      <w:r w:rsidR="003611BA" w:rsidRPr="00AB7083">
        <w:rPr>
          <w:rFonts w:ascii="Palatino Linotype" w:hAnsi="Palatino Linotype"/>
          <w:sz w:val="20"/>
          <w:szCs w:val="20"/>
        </w:rPr>
        <w:t xml:space="preserve">The method led to the creation of 1075 clusters that enclose 25429 buildings. The rest </w:t>
      </w:r>
      <w:r w:rsidR="00983C38" w:rsidRPr="00AB7083">
        <w:rPr>
          <w:rFonts w:ascii="Palatino Linotype" w:hAnsi="Palatino Linotype"/>
          <w:sz w:val="20"/>
          <w:szCs w:val="20"/>
        </w:rPr>
        <w:t xml:space="preserve">(37054) </w:t>
      </w:r>
      <w:r w:rsidR="003611BA" w:rsidRPr="00AB7083">
        <w:rPr>
          <w:rFonts w:ascii="Palatino Linotype" w:hAnsi="Palatino Linotype"/>
          <w:sz w:val="20"/>
          <w:szCs w:val="20"/>
        </w:rPr>
        <w:t xml:space="preserve">are represented as single features (points). Results illustrated in Figure </w:t>
      </w:r>
      <w:r w:rsidR="001D68F6">
        <w:rPr>
          <w:rFonts w:ascii="Palatino Linotype" w:hAnsi="Palatino Linotype"/>
          <w:sz w:val="20"/>
          <w:szCs w:val="20"/>
        </w:rPr>
        <w:t>7</w:t>
      </w:r>
      <w:r w:rsidR="003611BA" w:rsidRPr="00AB7083">
        <w:rPr>
          <w:rFonts w:ascii="Palatino Linotype" w:hAnsi="Palatino Linotype"/>
          <w:sz w:val="20"/>
          <w:szCs w:val="20"/>
        </w:rPr>
        <w:t xml:space="preserve">. </w:t>
      </w:r>
    </w:p>
    <w:p w14:paraId="3041271D" w14:textId="77777777" w:rsidR="00006096" w:rsidRDefault="00CC51F7" w:rsidP="00006096">
      <w:pPr>
        <w:keepNext/>
        <w:spacing w:after="120" w:line="312" w:lineRule="auto"/>
        <w:jc w:val="center"/>
      </w:pPr>
      <w:r w:rsidRPr="00AB7083">
        <w:rPr>
          <w:rFonts w:ascii="Palatino Linotype" w:hAnsi="Palatino Linotype"/>
          <w:noProof/>
          <w:sz w:val="20"/>
          <w:szCs w:val="20"/>
        </w:rPr>
        <w:drawing>
          <wp:inline distT="0" distB="0" distL="0" distR="0" wp14:anchorId="39DE1AFA" wp14:editId="6CD85418">
            <wp:extent cx="5723255" cy="31413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255" cy="3141345"/>
                    </a:xfrm>
                    <a:prstGeom prst="rect">
                      <a:avLst/>
                    </a:prstGeom>
                    <a:noFill/>
                    <a:ln>
                      <a:noFill/>
                    </a:ln>
                  </pic:spPr>
                </pic:pic>
              </a:graphicData>
            </a:graphic>
          </wp:inline>
        </w:drawing>
      </w:r>
    </w:p>
    <w:p w14:paraId="382F9D7D" w14:textId="4923BA05" w:rsidR="00CC51F7" w:rsidRPr="00AB7083" w:rsidRDefault="00006096" w:rsidP="00006096">
      <w:pPr>
        <w:pStyle w:val="Caption"/>
        <w:jc w:val="center"/>
        <w:rPr>
          <w:rFonts w:ascii="Palatino Linotype" w:hAnsi="Palatino Linotype"/>
          <w:sz w:val="20"/>
          <w:szCs w:val="20"/>
        </w:rPr>
      </w:pPr>
      <w:r>
        <w:t xml:space="preserve">Figure </w:t>
      </w:r>
      <w:fldSimple w:instr=" SEQ Figure \* ARABIC ">
        <w:r>
          <w:rPr>
            <w:noProof/>
          </w:rPr>
          <w:t>7</w:t>
        </w:r>
      </w:fldSimple>
      <w:r>
        <w:t xml:space="preserve">. </w:t>
      </w:r>
      <w:r w:rsidRPr="009E2211">
        <w:t xml:space="preserve">Population clusters developed using the un-supervised clustering algorithm </w:t>
      </w:r>
      <w:r>
        <w:t>(DBSCAN, max distance: 50m, min cluster size: 15</w:t>
      </w:r>
      <w:r w:rsidRPr="009E2211">
        <w:t>) and con</w:t>
      </w:r>
      <w:r>
        <w:t>cave</w:t>
      </w:r>
      <w:r w:rsidRPr="009E2211">
        <w:t xml:space="preserve"> polygonization (</w:t>
      </w:r>
      <w:r>
        <w:t>DBSCAN</w:t>
      </w:r>
      <w:r w:rsidRPr="009E2211">
        <w:t xml:space="preserve">). Clusters were </w:t>
      </w:r>
      <w:r>
        <w:t>generated from scratch.</w:t>
      </w:r>
    </w:p>
    <w:p w14:paraId="6FF8FF22" w14:textId="546238DF" w:rsidR="00E80E70" w:rsidRPr="00AB7083" w:rsidRDefault="00983C38"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lastRenderedPageBreak/>
        <w:t xml:space="preserve">Note that the resulted clusters were based on </w:t>
      </w:r>
      <w:proofErr w:type="gramStart"/>
      <w:r w:rsidRPr="00AB7083">
        <w:rPr>
          <w:rFonts w:ascii="Palatino Linotype" w:hAnsi="Palatino Linotype"/>
          <w:sz w:val="20"/>
          <w:szCs w:val="20"/>
        </w:rPr>
        <w:t>a very specific</w:t>
      </w:r>
      <w:proofErr w:type="gramEnd"/>
      <w:r w:rsidRPr="00AB7083">
        <w:rPr>
          <w:rFonts w:ascii="Palatino Linotype" w:hAnsi="Palatino Linotype"/>
          <w:sz w:val="20"/>
          <w:szCs w:val="20"/>
        </w:rPr>
        <w:t xml:space="preserve"> selection of parameters for the DBSCAN algorithm. </w:t>
      </w:r>
      <w:r w:rsidR="00CC51F7" w:rsidRPr="00AB7083">
        <w:rPr>
          <w:rFonts w:ascii="Palatino Linotype" w:hAnsi="Palatino Linotype"/>
          <w:sz w:val="20"/>
          <w:szCs w:val="20"/>
        </w:rPr>
        <w:t xml:space="preserve">Although the results look representative, there are still questions around the clustering process. </w:t>
      </w:r>
      <w:r w:rsidR="004451E3" w:rsidRPr="00AB7083">
        <w:rPr>
          <w:rFonts w:ascii="Palatino Linotype" w:hAnsi="Palatino Linotype"/>
          <w:sz w:val="20"/>
          <w:szCs w:val="20"/>
        </w:rPr>
        <w:t>For example</w:t>
      </w:r>
      <w:r w:rsidR="00706D7B" w:rsidRPr="00AB7083">
        <w:rPr>
          <w:rFonts w:ascii="Palatino Linotype" w:hAnsi="Palatino Linotype"/>
          <w:sz w:val="20"/>
          <w:szCs w:val="20"/>
        </w:rPr>
        <w:t>,</w:t>
      </w:r>
      <w:r w:rsidR="004451E3" w:rsidRPr="00AB7083">
        <w:rPr>
          <w:rFonts w:ascii="Palatino Linotype" w:hAnsi="Palatino Linotype"/>
          <w:sz w:val="20"/>
          <w:szCs w:val="20"/>
        </w:rPr>
        <w:t xml:space="preserve"> why nearby clusters are not merged into one; what happens to the buildings that are not clustered? How we extract and calibrate population in those?</w:t>
      </w:r>
    </w:p>
    <w:p w14:paraId="0F7CA705" w14:textId="52AC6524" w:rsidR="004451E3" w:rsidRPr="00AB7083" w:rsidRDefault="004451E3"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 xml:space="preserve">These lead to the second order of evaluation that follows. </w:t>
      </w:r>
    </w:p>
    <w:p w14:paraId="3AB103B3" w14:textId="3C85BC4B" w:rsidR="004451E3" w:rsidRPr="00AB7083" w:rsidRDefault="004451E3" w:rsidP="00A1349E">
      <w:pPr>
        <w:pStyle w:val="Heading2"/>
      </w:pPr>
      <w:r w:rsidRPr="00AB7083">
        <w:t>Quantitative evaluation</w:t>
      </w:r>
    </w:p>
    <w:p w14:paraId="7EA06B66" w14:textId="275F3C0E" w:rsidR="00A52E65" w:rsidRDefault="00A52E65"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 xml:space="preserve">Visual representation is </w:t>
      </w:r>
      <w:r w:rsidR="00006096">
        <w:rPr>
          <w:rFonts w:ascii="Palatino Linotype" w:hAnsi="Palatino Linotype"/>
          <w:sz w:val="20"/>
          <w:szCs w:val="20"/>
        </w:rPr>
        <w:t xml:space="preserve">an </w:t>
      </w:r>
      <w:r w:rsidRPr="00AB7083">
        <w:rPr>
          <w:rFonts w:ascii="Palatino Linotype" w:hAnsi="Palatino Linotype"/>
          <w:sz w:val="20"/>
          <w:szCs w:val="20"/>
        </w:rPr>
        <w:t xml:space="preserve">important </w:t>
      </w:r>
      <w:r w:rsidR="00006096">
        <w:rPr>
          <w:rFonts w:ascii="Palatino Linotype" w:hAnsi="Palatino Linotype"/>
          <w:sz w:val="20"/>
          <w:szCs w:val="20"/>
        </w:rPr>
        <w:t xml:space="preserve">first level assessment </w:t>
      </w:r>
      <w:r w:rsidRPr="00AB7083">
        <w:rPr>
          <w:rFonts w:ascii="Palatino Linotype" w:hAnsi="Palatino Linotype"/>
          <w:sz w:val="20"/>
          <w:szCs w:val="20"/>
        </w:rPr>
        <w:t>and can – as seen above – provide a rough guide as to which method</w:t>
      </w:r>
      <w:r w:rsidR="00006096">
        <w:rPr>
          <w:rFonts w:ascii="Palatino Linotype" w:hAnsi="Palatino Linotype"/>
          <w:sz w:val="20"/>
          <w:szCs w:val="20"/>
        </w:rPr>
        <w:t xml:space="preserve"> might</w:t>
      </w:r>
      <w:r w:rsidRPr="00AB7083">
        <w:rPr>
          <w:rFonts w:ascii="Palatino Linotype" w:hAnsi="Palatino Linotype"/>
          <w:sz w:val="20"/>
          <w:szCs w:val="20"/>
        </w:rPr>
        <w:t xml:space="preserve"> performs b</w:t>
      </w:r>
      <w:r w:rsidR="00006096">
        <w:rPr>
          <w:rFonts w:ascii="Palatino Linotype" w:hAnsi="Palatino Linotype"/>
          <w:sz w:val="20"/>
          <w:szCs w:val="20"/>
        </w:rPr>
        <w:t>e</w:t>
      </w:r>
      <w:r w:rsidRPr="00AB7083">
        <w:rPr>
          <w:rFonts w:ascii="Palatino Linotype" w:hAnsi="Palatino Linotype"/>
          <w:sz w:val="20"/>
          <w:szCs w:val="20"/>
        </w:rPr>
        <w:t>tter</w:t>
      </w:r>
      <w:r w:rsidR="00006096">
        <w:rPr>
          <w:rFonts w:ascii="Palatino Linotype" w:hAnsi="Palatino Linotype"/>
          <w:sz w:val="20"/>
          <w:szCs w:val="20"/>
        </w:rPr>
        <w:t xml:space="preserve"> than another</w:t>
      </w:r>
      <w:r w:rsidRPr="00AB7083">
        <w:rPr>
          <w:rFonts w:ascii="Palatino Linotype" w:hAnsi="Palatino Linotype"/>
          <w:sz w:val="20"/>
          <w:szCs w:val="20"/>
        </w:rPr>
        <w:t xml:space="preserve">. Nevertheless, it is important that the generated clusters do convey proper quantitative information as well. </w:t>
      </w:r>
    </w:p>
    <w:p w14:paraId="0B8FACF2" w14:textId="3992C9E0" w:rsidR="00006096" w:rsidRPr="00AB7083" w:rsidRDefault="00006096" w:rsidP="00006096">
      <w:pPr>
        <w:pStyle w:val="Heading3"/>
      </w:pPr>
      <w:r>
        <w:t>Total population</w:t>
      </w:r>
    </w:p>
    <w:p w14:paraId="4FE3F89D" w14:textId="4045F876" w:rsidR="00706D7B" w:rsidRPr="00AB7083" w:rsidRDefault="00A52E65"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 xml:space="preserve">In this regard, we may want to look at the total population and how well do the methods described earlier capture the number of people that are statistically living </w:t>
      </w:r>
      <w:proofErr w:type="gramStart"/>
      <w:r w:rsidRPr="00AB7083">
        <w:rPr>
          <w:rFonts w:ascii="Palatino Linotype" w:hAnsi="Palatino Linotype"/>
          <w:sz w:val="20"/>
          <w:szCs w:val="20"/>
        </w:rPr>
        <w:t>in the area of</w:t>
      </w:r>
      <w:proofErr w:type="gramEnd"/>
      <w:r w:rsidRPr="00AB7083">
        <w:rPr>
          <w:rFonts w:ascii="Palatino Linotype" w:hAnsi="Palatino Linotype"/>
          <w:sz w:val="20"/>
          <w:szCs w:val="20"/>
        </w:rPr>
        <w:t xml:space="preserve"> focus. Using population values from HRSL, the total population in Kisoro is estimated at </w:t>
      </w:r>
      <w:r w:rsidR="00006096">
        <w:rPr>
          <w:rFonts w:ascii="Palatino Linotype" w:hAnsi="Palatino Linotype"/>
          <w:sz w:val="20"/>
          <w:szCs w:val="20"/>
        </w:rPr>
        <w:t>~</w:t>
      </w:r>
      <w:r w:rsidRPr="00AB7083">
        <w:rPr>
          <w:rFonts w:ascii="Palatino Linotype" w:hAnsi="Palatino Linotype"/>
          <w:sz w:val="20"/>
          <w:szCs w:val="20"/>
        </w:rPr>
        <w:t xml:space="preserve">271386 people. </w:t>
      </w:r>
    </w:p>
    <w:p w14:paraId="10EB3658" w14:textId="30FA1880" w:rsidR="008877EB" w:rsidRDefault="003A1139"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This value seems to be captured relatively well by methods 1-3 although in all cases the total population is higher than what we get with HRSL</w:t>
      </w:r>
      <w:r w:rsidR="00706D7B" w:rsidRPr="00AB7083">
        <w:rPr>
          <w:rFonts w:ascii="Palatino Linotype" w:hAnsi="Palatino Linotype"/>
          <w:sz w:val="20"/>
          <w:szCs w:val="20"/>
        </w:rPr>
        <w:t xml:space="preserve">. </w:t>
      </w:r>
      <w:r w:rsidRPr="00AB7083">
        <w:rPr>
          <w:rFonts w:ascii="Palatino Linotype" w:hAnsi="Palatino Linotype"/>
          <w:sz w:val="20"/>
          <w:szCs w:val="20"/>
        </w:rPr>
        <w:t xml:space="preserve">This is due to different sources </w:t>
      </w:r>
      <w:r w:rsidR="008877EB" w:rsidRPr="00AB7083">
        <w:rPr>
          <w:rFonts w:ascii="Palatino Linotype" w:hAnsi="Palatino Linotype"/>
          <w:sz w:val="20"/>
          <w:szCs w:val="20"/>
        </w:rPr>
        <w:t xml:space="preserve">and calibration methods, which were not consistent between methods (this is a rough exploratory assignment, in the future it is suggested that same sources and calibration references are used). Methods 4-6 capture only part of the population. That is due to the exclusion of built-up areas in the process. </w:t>
      </w:r>
      <w:r w:rsidR="00706D7B" w:rsidRPr="00AB7083">
        <w:rPr>
          <w:rFonts w:ascii="Palatino Linotype" w:hAnsi="Palatino Linotype"/>
          <w:sz w:val="20"/>
          <w:szCs w:val="20"/>
        </w:rPr>
        <w:t xml:space="preserve">See example graph for the methods studied </w:t>
      </w:r>
      <w:hyperlink r:id="rId24" w:history="1">
        <w:r w:rsidR="00706D7B" w:rsidRPr="00AB7083">
          <w:rPr>
            <w:rStyle w:val="Hyperlink"/>
            <w:rFonts w:ascii="Palatino Linotype" w:hAnsi="Palatino Linotype"/>
            <w:sz w:val="20"/>
            <w:szCs w:val="20"/>
          </w:rPr>
          <w:t>here</w:t>
        </w:r>
      </w:hyperlink>
      <w:r w:rsidR="00706D7B" w:rsidRPr="00AB7083">
        <w:rPr>
          <w:rFonts w:ascii="Palatino Linotype" w:hAnsi="Palatino Linotype"/>
          <w:sz w:val="20"/>
          <w:szCs w:val="20"/>
        </w:rPr>
        <w:t xml:space="preserve">.  </w:t>
      </w:r>
    </w:p>
    <w:p w14:paraId="058AABAA" w14:textId="243166ED" w:rsidR="00006096" w:rsidRPr="00AB7083" w:rsidRDefault="00006096" w:rsidP="00006096">
      <w:pPr>
        <w:pStyle w:val="Heading3"/>
      </w:pPr>
      <w:r>
        <w:t>Number of clusters</w:t>
      </w:r>
    </w:p>
    <w:p w14:paraId="3BBFAD33" w14:textId="2E2943E1" w:rsidR="008877EB" w:rsidRPr="00AB7083" w:rsidRDefault="008877EB"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These results make sense when one considers the number of clusters generated in each method</w:t>
      </w:r>
      <w:r w:rsidR="00706D7B" w:rsidRPr="00AB7083">
        <w:rPr>
          <w:rFonts w:ascii="Palatino Linotype" w:hAnsi="Palatino Linotype"/>
          <w:sz w:val="20"/>
          <w:szCs w:val="20"/>
        </w:rPr>
        <w:t xml:space="preserve">. </w:t>
      </w:r>
      <w:r w:rsidRPr="00AB7083">
        <w:rPr>
          <w:rFonts w:ascii="Palatino Linotype" w:hAnsi="Palatino Linotype"/>
          <w:sz w:val="20"/>
          <w:szCs w:val="20"/>
        </w:rPr>
        <w:t xml:space="preserve">Methods 4-5 only resulted in very few clusters, 26 and </w:t>
      </w:r>
      <w:proofErr w:type="gramStart"/>
      <w:r w:rsidRPr="00AB7083">
        <w:rPr>
          <w:rFonts w:ascii="Palatino Linotype" w:hAnsi="Palatino Linotype"/>
          <w:sz w:val="20"/>
          <w:szCs w:val="20"/>
        </w:rPr>
        <w:t>33</w:t>
      </w:r>
      <w:proofErr w:type="gramEnd"/>
      <w:r w:rsidRPr="00AB7083">
        <w:rPr>
          <w:rFonts w:ascii="Palatino Linotype" w:hAnsi="Palatino Linotype"/>
          <w:sz w:val="20"/>
          <w:szCs w:val="20"/>
        </w:rPr>
        <w:t xml:space="preserve"> respectively. On the contrary, method 6 resulted in 1075 </w:t>
      </w:r>
      <w:proofErr w:type="gramStart"/>
      <w:r w:rsidRPr="00AB7083">
        <w:rPr>
          <w:rFonts w:ascii="Palatino Linotype" w:hAnsi="Palatino Linotype"/>
          <w:sz w:val="20"/>
          <w:szCs w:val="20"/>
        </w:rPr>
        <w:t>clusters;</w:t>
      </w:r>
      <w:proofErr w:type="gramEnd"/>
      <w:r w:rsidRPr="00AB7083">
        <w:rPr>
          <w:rFonts w:ascii="Palatino Linotype" w:hAnsi="Palatino Linotype"/>
          <w:sz w:val="20"/>
          <w:szCs w:val="20"/>
        </w:rPr>
        <w:t xml:space="preserve"> more than method 3 (971) but less than methods 1-2 with 1354, 1568 respectively. Not</w:t>
      </w:r>
      <w:r w:rsidR="00006096">
        <w:rPr>
          <w:rFonts w:ascii="Palatino Linotype" w:hAnsi="Palatino Linotype"/>
          <w:sz w:val="20"/>
          <w:szCs w:val="20"/>
        </w:rPr>
        <w:t>e</w:t>
      </w:r>
      <w:r w:rsidRPr="00AB7083">
        <w:rPr>
          <w:rFonts w:ascii="Palatino Linotype" w:hAnsi="Palatino Linotype"/>
          <w:sz w:val="20"/>
          <w:szCs w:val="20"/>
        </w:rPr>
        <w:t xml:space="preserve"> however that</w:t>
      </w:r>
      <w:r w:rsidR="00942E16" w:rsidRPr="00AB7083">
        <w:rPr>
          <w:rFonts w:ascii="Palatino Linotype" w:hAnsi="Palatino Linotype"/>
          <w:sz w:val="20"/>
          <w:szCs w:val="20"/>
        </w:rPr>
        <w:t xml:space="preserve"> non clustered buildings in method 6 were not included in the population summations. That is, assuming </w:t>
      </w:r>
      <w:proofErr w:type="gramStart"/>
      <w:r w:rsidR="00942E16" w:rsidRPr="00AB7083">
        <w:rPr>
          <w:rFonts w:ascii="Palatino Linotype" w:hAnsi="Palatino Linotype"/>
          <w:sz w:val="20"/>
          <w:szCs w:val="20"/>
        </w:rPr>
        <w:t>a number of</w:t>
      </w:r>
      <w:proofErr w:type="gramEnd"/>
      <w:r w:rsidR="00942E16" w:rsidRPr="00AB7083">
        <w:rPr>
          <w:rFonts w:ascii="Palatino Linotype" w:hAnsi="Palatino Linotype"/>
          <w:sz w:val="20"/>
          <w:szCs w:val="20"/>
        </w:rPr>
        <w:t xml:space="preserve"> people per building one could estimate the total population including non-clustered buildings. For example, if one assumes 5 people/building the total population in method 6 is estimated at 254390 people</w:t>
      </w:r>
      <w:r w:rsidR="008709A5">
        <w:rPr>
          <w:rFonts w:ascii="Palatino Linotype" w:hAnsi="Palatino Linotype"/>
          <w:sz w:val="20"/>
          <w:szCs w:val="20"/>
        </w:rPr>
        <w:t xml:space="preserve"> (&gt;6.5% difference)</w:t>
      </w:r>
      <w:r w:rsidR="00942E16" w:rsidRPr="00AB7083">
        <w:rPr>
          <w:rFonts w:ascii="Palatino Linotype" w:hAnsi="Palatino Linotype"/>
          <w:sz w:val="20"/>
          <w:szCs w:val="20"/>
        </w:rPr>
        <w:t xml:space="preserve">. </w:t>
      </w:r>
      <w:r w:rsidR="00706D7B" w:rsidRPr="00AB7083">
        <w:rPr>
          <w:rFonts w:ascii="Palatino Linotype" w:hAnsi="Palatino Linotype"/>
          <w:sz w:val="20"/>
          <w:szCs w:val="20"/>
        </w:rPr>
        <w:t xml:space="preserve">See example graph for the methods studied </w:t>
      </w:r>
      <w:hyperlink r:id="rId25" w:history="1">
        <w:r w:rsidR="00706D7B" w:rsidRPr="00AB7083">
          <w:rPr>
            <w:rStyle w:val="Hyperlink"/>
            <w:rFonts w:ascii="Palatino Linotype" w:hAnsi="Palatino Linotype"/>
            <w:sz w:val="20"/>
            <w:szCs w:val="20"/>
          </w:rPr>
          <w:t>here</w:t>
        </w:r>
      </w:hyperlink>
      <w:r w:rsidR="00706D7B" w:rsidRPr="00AB7083">
        <w:rPr>
          <w:rFonts w:ascii="Palatino Linotype" w:hAnsi="Palatino Linotype"/>
          <w:sz w:val="20"/>
          <w:szCs w:val="20"/>
        </w:rPr>
        <w:t xml:space="preserve">.  </w:t>
      </w:r>
    </w:p>
    <w:p w14:paraId="78F75F6B" w14:textId="7A9714A5" w:rsidR="00006096" w:rsidRDefault="00006096" w:rsidP="00006096">
      <w:pPr>
        <w:pStyle w:val="Heading3"/>
      </w:pPr>
      <w:r>
        <w:t>Population density</w:t>
      </w:r>
    </w:p>
    <w:p w14:paraId="396802FB" w14:textId="1C5350E8" w:rsidR="00706D7B" w:rsidRPr="00AB7083" w:rsidRDefault="00942E16"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As indicated above, the method used can lead to different number of clusters, different area included in the clusters and different total population in those clusters. That is, population density might change accordingly. In general, the “tighter” a cluster is around the built-up are it represents the higher the population densities</w:t>
      </w:r>
      <w:r w:rsidR="008709A5">
        <w:rPr>
          <w:rFonts w:ascii="Palatino Linotype" w:hAnsi="Palatino Linotype"/>
          <w:sz w:val="20"/>
          <w:szCs w:val="20"/>
        </w:rPr>
        <w:t xml:space="preserve"> observed in the clusters</w:t>
      </w:r>
      <w:r w:rsidRPr="00AB7083">
        <w:rPr>
          <w:rFonts w:ascii="Palatino Linotype" w:hAnsi="Palatino Linotype"/>
          <w:sz w:val="20"/>
          <w:szCs w:val="20"/>
        </w:rPr>
        <w:t>. In contra</w:t>
      </w:r>
      <w:r w:rsidR="008709A5">
        <w:rPr>
          <w:rFonts w:ascii="Palatino Linotype" w:hAnsi="Palatino Linotype"/>
          <w:sz w:val="20"/>
          <w:szCs w:val="20"/>
        </w:rPr>
        <w:t>s</w:t>
      </w:r>
      <w:r w:rsidRPr="00AB7083">
        <w:rPr>
          <w:rFonts w:ascii="Palatino Linotype" w:hAnsi="Palatino Linotype"/>
          <w:sz w:val="20"/>
          <w:szCs w:val="20"/>
        </w:rPr>
        <w:t xml:space="preserve">t, “looser” (e.g. additional buffer) cluster area may lead to lower population densities. See example graph for the methods studied </w:t>
      </w:r>
      <w:hyperlink r:id="rId26" w:history="1">
        <w:r w:rsidRPr="00AB7083">
          <w:rPr>
            <w:rStyle w:val="Hyperlink"/>
            <w:rFonts w:ascii="Palatino Linotype" w:hAnsi="Palatino Linotype"/>
            <w:sz w:val="20"/>
            <w:szCs w:val="20"/>
          </w:rPr>
          <w:t>here</w:t>
        </w:r>
      </w:hyperlink>
      <w:r w:rsidRPr="00AB7083">
        <w:rPr>
          <w:rFonts w:ascii="Palatino Linotype" w:hAnsi="Palatino Linotype"/>
          <w:sz w:val="20"/>
          <w:szCs w:val="20"/>
        </w:rPr>
        <w:t xml:space="preserve">. </w:t>
      </w:r>
      <w:r w:rsidR="00706D7B" w:rsidRPr="008709A5">
        <w:rPr>
          <w:rFonts w:ascii="Palatino Linotype" w:hAnsi="Palatino Linotype"/>
          <w:b/>
          <w:bCs/>
          <w:sz w:val="20"/>
          <w:szCs w:val="20"/>
        </w:rPr>
        <w:t>Note!</w:t>
      </w:r>
      <w:r w:rsidR="00706D7B" w:rsidRPr="00AB7083">
        <w:rPr>
          <w:rFonts w:ascii="Palatino Linotype" w:hAnsi="Palatino Linotype"/>
          <w:sz w:val="20"/>
          <w:szCs w:val="20"/>
        </w:rPr>
        <w:t xml:space="preserve"> It is </w:t>
      </w:r>
      <w:r w:rsidR="00706D7B" w:rsidRPr="00AB7083">
        <w:rPr>
          <w:rFonts w:ascii="Palatino Linotype" w:hAnsi="Palatino Linotype"/>
          <w:sz w:val="20"/>
          <w:szCs w:val="20"/>
        </w:rPr>
        <w:lastRenderedPageBreak/>
        <w:t xml:space="preserve">important to differentiate the arithmetic population density with what we calculate here, which is more in line with residential/urban/built-up density. </w:t>
      </w:r>
    </w:p>
    <w:p w14:paraId="59456514" w14:textId="52158F63" w:rsidR="0038728A" w:rsidRPr="00AB7083" w:rsidRDefault="0038728A" w:rsidP="00A1349E">
      <w:pPr>
        <w:pStyle w:val="Heading1"/>
      </w:pPr>
      <w:r w:rsidRPr="00AB7083">
        <w:t>Conclusion – Verdict</w:t>
      </w:r>
    </w:p>
    <w:p w14:paraId="36E5C5EB" w14:textId="4DD9C71F" w:rsidR="0038728A" w:rsidRPr="00AB7083" w:rsidRDefault="0038728A"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 xml:space="preserve">Estimating population density from GEP results (area/population) is possible, however it is unclear to what extent this value can be used to deduct useful insight for policy. The retrieved density is more akin to the residential/urban population density rather than the commonly used arithmetic population density. </w:t>
      </w:r>
    </w:p>
    <w:p w14:paraId="36B8BDD0" w14:textId="601731A1" w:rsidR="0038728A" w:rsidRDefault="0038728A" w:rsidP="00A1349E">
      <w:pPr>
        <w:spacing w:after="120" w:line="312" w:lineRule="auto"/>
        <w:jc w:val="both"/>
        <w:rPr>
          <w:rFonts w:ascii="Palatino Linotype" w:hAnsi="Palatino Linotype"/>
          <w:sz w:val="20"/>
          <w:szCs w:val="20"/>
        </w:rPr>
      </w:pPr>
      <w:r w:rsidRPr="00AB7083">
        <w:rPr>
          <w:rFonts w:ascii="Palatino Linotype" w:hAnsi="Palatino Linotype"/>
          <w:sz w:val="20"/>
          <w:szCs w:val="20"/>
        </w:rPr>
        <w:t>Nevertheless, even</w:t>
      </w:r>
      <w:r w:rsidR="001D68F6">
        <w:rPr>
          <w:rFonts w:ascii="Palatino Linotype" w:hAnsi="Palatino Linotype"/>
          <w:sz w:val="20"/>
          <w:szCs w:val="20"/>
        </w:rPr>
        <w:t xml:space="preserve"> </w:t>
      </w:r>
      <w:r w:rsidRPr="00AB7083">
        <w:rPr>
          <w:rFonts w:ascii="Palatino Linotype" w:hAnsi="Palatino Linotype"/>
          <w:sz w:val="20"/>
          <w:szCs w:val="20"/>
        </w:rPr>
        <w:t xml:space="preserve">those values in some countries areas (based on GEP results) seem unreasonably high. The problem has two sources. First, there are very dense, urban areas for which residential population densities are </w:t>
      </w:r>
      <w:proofErr w:type="gramStart"/>
      <w:r w:rsidRPr="00AB7083">
        <w:rPr>
          <w:rFonts w:ascii="Palatino Linotype" w:hAnsi="Palatino Linotype"/>
          <w:sz w:val="20"/>
          <w:szCs w:val="20"/>
        </w:rPr>
        <w:t>very high</w:t>
      </w:r>
      <w:proofErr w:type="gramEnd"/>
      <w:r w:rsidRPr="00AB7083">
        <w:rPr>
          <w:rFonts w:ascii="Palatino Linotype" w:hAnsi="Palatino Linotype"/>
          <w:sz w:val="20"/>
          <w:szCs w:val="20"/>
        </w:rPr>
        <w:t xml:space="preserve">. Second, there are </w:t>
      </w:r>
      <w:proofErr w:type="gramStart"/>
      <w:r w:rsidRPr="00AB7083">
        <w:rPr>
          <w:rFonts w:ascii="Palatino Linotype" w:hAnsi="Palatino Linotype"/>
          <w:sz w:val="20"/>
          <w:szCs w:val="20"/>
        </w:rPr>
        <w:t>very small</w:t>
      </w:r>
      <w:proofErr w:type="gramEnd"/>
      <w:r w:rsidRPr="00AB7083">
        <w:rPr>
          <w:rFonts w:ascii="Palatino Linotype" w:hAnsi="Palatino Linotype"/>
          <w:sz w:val="20"/>
          <w:szCs w:val="20"/>
        </w:rPr>
        <w:t xml:space="preserve"> areas (single pixels from HRSL) which do</w:t>
      </w:r>
      <w:r w:rsidR="00AB7083" w:rsidRPr="00AB7083">
        <w:rPr>
          <w:rFonts w:ascii="Palatino Linotype" w:hAnsi="Palatino Linotype"/>
          <w:sz w:val="20"/>
          <w:szCs w:val="20"/>
        </w:rPr>
        <w:t xml:space="preserve"> have</w:t>
      </w:r>
      <w:r w:rsidRPr="00AB7083">
        <w:rPr>
          <w:rFonts w:ascii="Palatino Linotype" w:hAnsi="Palatino Linotype"/>
          <w:sz w:val="20"/>
          <w:szCs w:val="20"/>
        </w:rPr>
        <w:t xml:space="preserve"> considerable amount of people living in them. That is, when those area</w:t>
      </w:r>
      <w:r w:rsidR="008709A5">
        <w:rPr>
          <w:rFonts w:ascii="Palatino Linotype" w:hAnsi="Palatino Linotype"/>
          <w:sz w:val="20"/>
          <w:szCs w:val="20"/>
        </w:rPr>
        <w:t>s</w:t>
      </w:r>
      <w:r w:rsidRPr="00AB7083">
        <w:rPr>
          <w:rFonts w:ascii="Palatino Linotype" w:hAnsi="Palatino Linotype"/>
          <w:sz w:val="20"/>
          <w:szCs w:val="20"/>
        </w:rPr>
        <w:t xml:space="preserve"> are converted to polygons and become clusters, they continue to </w:t>
      </w:r>
      <w:r w:rsidR="00AB7083" w:rsidRPr="00AB7083">
        <w:rPr>
          <w:rFonts w:ascii="Palatino Linotype" w:hAnsi="Palatino Linotype"/>
          <w:sz w:val="20"/>
          <w:szCs w:val="20"/>
        </w:rPr>
        <w:t xml:space="preserve">convey the high population value, which in turn leads to </w:t>
      </w:r>
      <w:proofErr w:type="gramStart"/>
      <w:r w:rsidR="00AB7083" w:rsidRPr="00AB7083">
        <w:rPr>
          <w:rFonts w:ascii="Palatino Linotype" w:hAnsi="Palatino Linotype"/>
          <w:sz w:val="20"/>
          <w:szCs w:val="20"/>
        </w:rPr>
        <w:t>very high</w:t>
      </w:r>
      <w:proofErr w:type="gramEnd"/>
      <w:r w:rsidR="00AB7083" w:rsidRPr="00AB7083">
        <w:rPr>
          <w:rFonts w:ascii="Palatino Linotype" w:hAnsi="Palatino Linotype"/>
          <w:sz w:val="20"/>
          <w:szCs w:val="20"/>
        </w:rPr>
        <w:t xml:space="preserve"> densities. Both issues are difficult to solve as this is perhaps related to erroneous data at the source. One might refer to </w:t>
      </w:r>
      <w:hyperlink r:id="rId27" w:history="1">
        <w:r w:rsidR="00AB7083" w:rsidRPr="00AB7083">
          <w:rPr>
            <w:rStyle w:val="Hyperlink"/>
            <w:rFonts w:ascii="Palatino Linotype" w:hAnsi="Palatino Linotype"/>
            <w:sz w:val="20"/>
            <w:szCs w:val="20"/>
          </w:rPr>
          <w:t>this publication</w:t>
        </w:r>
      </w:hyperlink>
      <w:r w:rsidR="00AB7083" w:rsidRPr="00AB7083">
        <w:rPr>
          <w:rFonts w:ascii="Palatino Linotype" w:hAnsi="Palatino Linotype"/>
          <w:sz w:val="20"/>
          <w:szCs w:val="20"/>
        </w:rPr>
        <w:t xml:space="preserve"> for more info on the types of gridded population and their uncertainty. </w:t>
      </w:r>
    </w:p>
    <w:p w14:paraId="3618EDB7" w14:textId="4D959213" w:rsidR="00F66344" w:rsidRDefault="00AB7083" w:rsidP="00A1349E">
      <w:pPr>
        <w:spacing w:after="120" w:line="312" w:lineRule="auto"/>
        <w:jc w:val="both"/>
        <w:rPr>
          <w:rFonts w:ascii="Palatino Linotype" w:hAnsi="Palatino Linotype"/>
          <w:sz w:val="20"/>
          <w:szCs w:val="20"/>
        </w:rPr>
      </w:pPr>
      <w:r>
        <w:rPr>
          <w:rFonts w:ascii="Palatino Linotype" w:hAnsi="Palatino Linotype"/>
          <w:sz w:val="20"/>
          <w:szCs w:val="20"/>
        </w:rPr>
        <w:t xml:space="preserve">When it comes to the clusters results, current GEP clusters do seem to perform well for the scope they serve. The updated clustering algorithm – with some updated in terms of buffers </w:t>
      </w:r>
      <w:r w:rsidR="008709A5">
        <w:rPr>
          <w:rFonts w:ascii="Palatino Linotype" w:hAnsi="Palatino Linotype"/>
          <w:sz w:val="20"/>
          <w:szCs w:val="20"/>
        </w:rPr>
        <w:t>(e.g. as in method 3)</w:t>
      </w:r>
      <w:r>
        <w:rPr>
          <w:rFonts w:ascii="Palatino Linotype" w:hAnsi="Palatino Linotype"/>
          <w:sz w:val="20"/>
          <w:szCs w:val="20"/>
        </w:rPr>
        <w:t xml:space="preserve"> - seem to be a reasonable way forward for the </w:t>
      </w:r>
      <w:r w:rsidR="008709A5">
        <w:rPr>
          <w:rFonts w:ascii="Palatino Linotype" w:hAnsi="Palatino Linotype"/>
          <w:sz w:val="20"/>
          <w:szCs w:val="20"/>
        </w:rPr>
        <w:t xml:space="preserve">next iteration of the </w:t>
      </w:r>
      <w:r>
        <w:rPr>
          <w:rFonts w:ascii="Palatino Linotype" w:hAnsi="Palatino Linotype"/>
          <w:sz w:val="20"/>
          <w:szCs w:val="20"/>
        </w:rPr>
        <w:t>GEP</w:t>
      </w:r>
      <w:r w:rsidR="008709A5">
        <w:rPr>
          <w:rFonts w:ascii="Palatino Linotype" w:hAnsi="Palatino Linotype"/>
          <w:sz w:val="20"/>
          <w:szCs w:val="20"/>
        </w:rPr>
        <w:t>; thus, highly suggested.</w:t>
      </w:r>
      <w:r>
        <w:rPr>
          <w:rFonts w:ascii="Palatino Linotype" w:hAnsi="Palatino Linotype"/>
          <w:sz w:val="20"/>
          <w:szCs w:val="20"/>
        </w:rPr>
        <w:t xml:space="preserve"> </w:t>
      </w:r>
    </w:p>
    <w:p w14:paraId="694619C6" w14:textId="583B65EB" w:rsidR="00F66344" w:rsidRDefault="00AB7083" w:rsidP="00A1349E">
      <w:pPr>
        <w:spacing w:after="120" w:line="312" w:lineRule="auto"/>
        <w:jc w:val="both"/>
        <w:rPr>
          <w:rFonts w:ascii="Palatino Linotype" w:hAnsi="Palatino Linotype"/>
          <w:sz w:val="20"/>
          <w:szCs w:val="20"/>
        </w:rPr>
      </w:pPr>
      <w:r>
        <w:rPr>
          <w:rFonts w:ascii="Palatino Linotype" w:hAnsi="Palatino Linotype"/>
          <w:sz w:val="20"/>
          <w:szCs w:val="20"/>
        </w:rPr>
        <w:t xml:space="preserve">On the other hand, applying un-supervised learning techniques to deduct a more scientifically-proof result is promising. However, is computationally expensive </w:t>
      </w:r>
      <w:r w:rsidR="00F66344">
        <w:rPr>
          <w:rFonts w:ascii="Palatino Linotype" w:hAnsi="Palatino Linotype"/>
          <w:sz w:val="20"/>
          <w:szCs w:val="20"/>
        </w:rPr>
        <w:t xml:space="preserve">(input parameter calibration might require many iterations) </w:t>
      </w:r>
      <w:r>
        <w:rPr>
          <w:rFonts w:ascii="Palatino Linotype" w:hAnsi="Palatino Linotype"/>
          <w:sz w:val="20"/>
          <w:szCs w:val="20"/>
        </w:rPr>
        <w:t>and as such I am not confident to what degree it will offer a massive upgrade (</w:t>
      </w:r>
      <w:r w:rsidR="008709A5">
        <w:rPr>
          <w:rFonts w:ascii="Palatino Linotype" w:hAnsi="Palatino Linotype"/>
          <w:sz w:val="20"/>
          <w:szCs w:val="20"/>
        </w:rPr>
        <w:t xml:space="preserve">and/or </w:t>
      </w:r>
      <w:r>
        <w:rPr>
          <w:rFonts w:ascii="Palatino Linotype" w:hAnsi="Palatino Linotype"/>
          <w:sz w:val="20"/>
          <w:szCs w:val="20"/>
        </w:rPr>
        <w:t xml:space="preserve">added value) </w:t>
      </w:r>
      <w:r w:rsidR="008709A5">
        <w:rPr>
          <w:rFonts w:ascii="Palatino Linotype" w:hAnsi="Palatino Linotype"/>
          <w:sz w:val="20"/>
          <w:szCs w:val="20"/>
        </w:rPr>
        <w:t xml:space="preserve">to </w:t>
      </w:r>
      <w:r>
        <w:rPr>
          <w:rFonts w:ascii="Palatino Linotype" w:hAnsi="Palatino Linotype"/>
          <w:sz w:val="20"/>
          <w:szCs w:val="20"/>
        </w:rPr>
        <w:t xml:space="preserve">the GEP (considering its scope). Let alone, it is based on building footprint data that are not available globally. </w:t>
      </w:r>
      <w:r w:rsidR="00F66344">
        <w:rPr>
          <w:rFonts w:ascii="Palatino Linotype" w:hAnsi="Palatino Linotype"/>
          <w:sz w:val="20"/>
          <w:szCs w:val="20"/>
        </w:rPr>
        <w:t>One might also consider how non-clustered buildings are assigned population and modelled</w:t>
      </w:r>
      <w:r w:rsidR="008709A5">
        <w:rPr>
          <w:rFonts w:ascii="Palatino Linotype" w:hAnsi="Palatino Linotype"/>
          <w:sz w:val="20"/>
          <w:szCs w:val="20"/>
        </w:rPr>
        <w:t xml:space="preserve"> in the electrification model</w:t>
      </w:r>
      <w:r w:rsidR="00F66344">
        <w:rPr>
          <w:rFonts w:ascii="Palatino Linotype" w:hAnsi="Palatino Linotype"/>
          <w:sz w:val="20"/>
          <w:szCs w:val="20"/>
        </w:rPr>
        <w:t xml:space="preserve">. </w:t>
      </w:r>
      <w:r>
        <w:rPr>
          <w:rFonts w:ascii="Palatino Linotype" w:hAnsi="Palatino Linotype"/>
          <w:sz w:val="20"/>
          <w:szCs w:val="20"/>
        </w:rPr>
        <w:t xml:space="preserve">Finally (and most importantly) is it </w:t>
      </w:r>
      <w:proofErr w:type="gramStart"/>
      <w:r>
        <w:rPr>
          <w:rFonts w:ascii="Palatino Linotype" w:hAnsi="Palatino Linotype"/>
          <w:sz w:val="20"/>
          <w:szCs w:val="20"/>
        </w:rPr>
        <w:t>very difficult</w:t>
      </w:r>
      <w:proofErr w:type="gramEnd"/>
      <w:r>
        <w:rPr>
          <w:rFonts w:ascii="Palatino Linotype" w:hAnsi="Palatino Linotype"/>
          <w:sz w:val="20"/>
          <w:szCs w:val="20"/>
        </w:rPr>
        <w:t xml:space="preserve"> to cross-validate the output of the clustering algorithm</w:t>
      </w:r>
      <w:r w:rsidR="00F66344">
        <w:rPr>
          <w:rFonts w:ascii="Palatino Linotype" w:hAnsi="Palatino Linotype"/>
          <w:sz w:val="20"/>
          <w:szCs w:val="20"/>
        </w:rPr>
        <w:t xml:space="preserve">; the results might be </w:t>
      </w:r>
      <w:r w:rsidR="008709A5">
        <w:rPr>
          <w:rFonts w:ascii="Palatino Linotype" w:hAnsi="Palatino Linotype"/>
          <w:sz w:val="20"/>
          <w:szCs w:val="20"/>
        </w:rPr>
        <w:t>“statistically</w:t>
      </w:r>
      <w:r w:rsidR="00F66344">
        <w:rPr>
          <w:rFonts w:ascii="Palatino Linotype" w:hAnsi="Palatino Linotype"/>
          <w:sz w:val="20"/>
          <w:szCs w:val="20"/>
        </w:rPr>
        <w:t xml:space="preserve"> </w:t>
      </w:r>
      <w:r w:rsidR="008709A5">
        <w:rPr>
          <w:rFonts w:ascii="Palatino Linotype" w:hAnsi="Palatino Linotype"/>
          <w:sz w:val="20"/>
          <w:szCs w:val="20"/>
        </w:rPr>
        <w:t>correct”</w:t>
      </w:r>
      <w:r w:rsidR="00F66344">
        <w:rPr>
          <w:rFonts w:ascii="Palatino Linotype" w:hAnsi="Palatino Linotype"/>
          <w:sz w:val="20"/>
          <w:szCs w:val="20"/>
        </w:rPr>
        <w:t xml:space="preserve">, but they might fail to capture the realities on the ground. </w:t>
      </w:r>
    </w:p>
    <w:p w14:paraId="1C2E8848" w14:textId="79C1D4A4" w:rsidR="00AB7083" w:rsidRPr="00AB7083" w:rsidRDefault="00F66344" w:rsidP="00A1349E">
      <w:pPr>
        <w:spacing w:after="120" w:line="312" w:lineRule="auto"/>
        <w:jc w:val="both"/>
        <w:rPr>
          <w:rFonts w:ascii="Palatino Linotype" w:hAnsi="Palatino Linotype"/>
          <w:sz w:val="20"/>
          <w:szCs w:val="20"/>
        </w:rPr>
      </w:pPr>
      <w:r>
        <w:rPr>
          <w:rFonts w:ascii="Palatino Linotype" w:hAnsi="Palatino Linotype"/>
          <w:sz w:val="20"/>
          <w:szCs w:val="20"/>
        </w:rPr>
        <w:t>Perhaps, if time and effort can be spent towards this direction a combination of method 3 &amp; 6 might yield a very satisfying result</w:t>
      </w:r>
      <w:r w:rsidR="008709A5">
        <w:rPr>
          <w:rFonts w:ascii="Palatino Linotype" w:hAnsi="Palatino Linotype"/>
          <w:sz w:val="20"/>
          <w:szCs w:val="20"/>
        </w:rPr>
        <w:t>.</w:t>
      </w:r>
      <w:r>
        <w:rPr>
          <w:rFonts w:ascii="Palatino Linotype" w:hAnsi="Palatino Linotype"/>
          <w:sz w:val="20"/>
          <w:szCs w:val="20"/>
        </w:rPr>
        <w:t>?</w:t>
      </w:r>
    </w:p>
    <w:sectPr w:rsidR="00AB7083" w:rsidRPr="00AB7083">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424215" w14:textId="77777777" w:rsidR="00B57E8A" w:rsidRDefault="00B57E8A" w:rsidP="008709A5">
      <w:pPr>
        <w:spacing w:after="0" w:line="240" w:lineRule="auto"/>
      </w:pPr>
      <w:r>
        <w:separator/>
      </w:r>
    </w:p>
  </w:endnote>
  <w:endnote w:type="continuationSeparator" w:id="0">
    <w:p w14:paraId="31578FFA" w14:textId="77777777" w:rsidR="00B57E8A" w:rsidRDefault="00B57E8A" w:rsidP="00870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326539"/>
      <w:docPartObj>
        <w:docPartGallery w:val="Page Numbers (Bottom of Page)"/>
        <w:docPartUnique/>
      </w:docPartObj>
    </w:sdtPr>
    <w:sdtEndPr>
      <w:rPr>
        <w:rFonts w:ascii="Palatino Linotype" w:hAnsi="Palatino Linotype"/>
        <w:noProof/>
        <w:sz w:val="18"/>
        <w:szCs w:val="18"/>
      </w:rPr>
    </w:sdtEndPr>
    <w:sdtContent>
      <w:p w14:paraId="25D828C4" w14:textId="61D2B7E6" w:rsidR="008709A5" w:rsidRPr="008709A5" w:rsidRDefault="008709A5">
        <w:pPr>
          <w:pStyle w:val="Footer"/>
          <w:jc w:val="center"/>
          <w:rPr>
            <w:rFonts w:ascii="Palatino Linotype" w:hAnsi="Palatino Linotype"/>
            <w:sz w:val="18"/>
            <w:szCs w:val="18"/>
          </w:rPr>
        </w:pPr>
        <w:r w:rsidRPr="008709A5">
          <w:rPr>
            <w:rFonts w:ascii="Palatino Linotype" w:hAnsi="Palatino Linotype"/>
            <w:sz w:val="18"/>
            <w:szCs w:val="18"/>
          </w:rPr>
          <w:fldChar w:fldCharType="begin"/>
        </w:r>
        <w:r w:rsidRPr="008709A5">
          <w:rPr>
            <w:rFonts w:ascii="Palatino Linotype" w:hAnsi="Palatino Linotype"/>
            <w:sz w:val="18"/>
            <w:szCs w:val="18"/>
          </w:rPr>
          <w:instrText xml:space="preserve"> PAGE   \* MERGEFORMAT </w:instrText>
        </w:r>
        <w:r w:rsidRPr="008709A5">
          <w:rPr>
            <w:rFonts w:ascii="Palatino Linotype" w:hAnsi="Palatino Linotype"/>
            <w:sz w:val="18"/>
            <w:szCs w:val="18"/>
          </w:rPr>
          <w:fldChar w:fldCharType="separate"/>
        </w:r>
        <w:r w:rsidRPr="008709A5">
          <w:rPr>
            <w:rFonts w:ascii="Palatino Linotype" w:hAnsi="Palatino Linotype"/>
            <w:noProof/>
            <w:sz w:val="18"/>
            <w:szCs w:val="18"/>
          </w:rPr>
          <w:t>2</w:t>
        </w:r>
        <w:r w:rsidRPr="008709A5">
          <w:rPr>
            <w:rFonts w:ascii="Palatino Linotype" w:hAnsi="Palatino Linotype"/>
            <w:noProof/>
            <w:sz w:val="18"/>
            <w:szCs w:val="18"/>
          </w:rPr>
          <w:fldChar w:fldCharType="end"/>
        </w:r>
      </w:p>
    </w:sdtContent>
  </w:sdt>
  <w:p w14:paraId="57CD5BB8" w14:textId="77777777" w:rsidR="008709A5" w:rsidRDefault="008709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5B9AC9" w14:textId="77777777" w:rsidR="00B57E8A" w:rsidRDefault="00B57E8A" w:rsidP="008709A5">
      <w:pPr>
        <w:spacing w:after="0" w:line="240" w:lineRule="auto"/>
      </w:pPr>
      <w:r>
        <w:separator/>
      </w:r>
    </w:p>
  </w:footnote>
  <w:footnote w:type="continuationSeparator" w:id="0">
    <w:p w14:paraId="1C5795AF" w14:textId="77777777" w:rsidR="00B57E8A" w:rsidRDefault="00B57E8A" w:rsidP="00870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4E242F"/>
    <w:multiLevelType w:val="hybridMultilevel"/>
    <w:tmpl w:val="AB847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A26"/>
    <w:rsid w:val="00006096"/>
    <w:rsid w:val="00012BEE"/>
    <w:rsid w:val="000F1A26"/>
    <w:rsid w:val="001328BF"/>
    <w:rsid w:val="001D68F6"/>
    <w:rsid w:val="002027F4"/>
    <w:rsid w:val="003611BA"/>
    <w:rsid w:val="0038728A"/>
    <w:rsid w:val="003A1139"/>
    <w:rsid w:val="004451E3"/>
    <w:rsid w:val="00452A5E"/>
    <w:rsid w:val="004F6DA5"/>
    <w:rsid w:val="006317C4"/>
    <w:rsid w:val="00706D7B"/>
    <w:rsid w:val="007749E1"/>
    <w:rsid w:val="007A0FC9"/>
    <w:rsid w:val="0086036C"/>
    <w:rsid w:val="0086422C"/>
    <w:rsid w:val="008709A5"/>
    <w:rsid w:val="008877EB"/>
    <w:rsid w:val="00942E16"/>
    <w:rsid w:val="00983C38"/>
    <w:rsid w:val="00A1349E"/>
    <w:rsid w:val="00A3661E"/>
    <w:rsid w:val="00A52E65"/>
    <w:rsid w:val="00AA6E47"/>
    <w:rsid w:val="00AB7083"/>
    <w:rsid w:val="00B57E8A"/>
    <w:rsid w:val="00BA096A"/>
    <w:rsid w:val="00BE0564"/>
    <w:rsid w:val="00CC51F7"/>
    <w:rsid w:val="00CF5A4B"/>
    <w:rsid w:val="00DB71A4"/>
    <w:rsid w:val="00DF27E6"/>
    <w:rsid w:val="00E80E70"/>
    <w:rsid w:val="00F66344"/>
    <w:rsid w:val="00FB2D92"/>
    <w:rsid w:val="00FD10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9F867"/>
  <w15:chartTrackingRefBased/>
  <w15:docId w15:val="{408F7B35-C36D-44FB-8D1C-1CF537D97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349E"/>
    <w:pPr>
      <w:keepNext/>
      <w:keepLines/>
      <w:spacing w:before="240" w:after="240"/>
      <w:outlineLvl w:val="0"/>
    </w:pPr>
    <w:rPr>
      <w:rFonts w:ascii="Palatino Linotype" w:eastAsiaTheme="majorEastAsia" w:hAnsi="Palatino Linotype"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1349E"/>
    <w:pPr>
      <w:keepNext/>
      <w:keepLines/>
      <w:spacing w:before="40" w:after="240"/>
      <w:outlineLvl w:val="1"/>
    </w:pPr>
    <w:rPr>
      <w:rFonts w:ascii="Palatino Linotype" w:eastAsiaTheme="majorEastAsia" w:hAnsi="Palatino Linotype"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A1349E"/>
    <w:pPr>
      <w:keepNext/>
      <w:keepLines/>
      <w:spacing w:before="40" w:after="240"/>
      <w:outlineLvl w:val="2"/>
    </w:pPr>
    <w:rPr>
      <w:rFonts w:ascii="Palatino Linotype" w:eastAsiaTheme="majorEastAsia" w:hAnsi="Palatino Linotype" w:cstheme="majorBidi"/>
      <w:color w:val="1F3763" w:themeColor="accent1" w:themeShade="7F"/>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36C"/>
    <w:pPr>
      <w:ind w:left="720"/>
      <w:contextualSpacing/>
    </w:pPr>
  </w:style>
  <w:style w:type="character" w:styleId="Hyperlink">
    <w:name w:val="Hyperlink"/>
    <w:basedOn w:val="DefaultParagraphFont"/>
    <w:uiPriority w:val="99"/>
    <w:unhideWhenUsed/>
    <w:rsid w:val="00FB2D92"/>
    <w:rPr>
      <w:color w:val="0563C1" w:themeColor="hyperlink"/>
      <w:u w:val="single"/>
    </w:rPr>
  </w:style>
  <w:style w:type="character" w:styleId="UnresolvedMention">
    <w:name w:val="Unresolved Mention"/>
    <w:basedOn w:val="DefaultParagraphFont"/>
    <w:uiPriority w:val="99"/>
    <w:semiHidden/>
    <w:unhideWhenUsed/>
    <w:rsid w:val="00FB2D92"/>
    <w:rPr>
      <w:color w:val="605E5C"/>
      <w:shd w:val="clear" w:color="auto" w:fill="E1DFDD"/>
    </w:rPr>
  </w:style>
  <w:style w:type="character" w:customStyle="1" w:styleId="Heading1Char">
    <w:name w:val="Heading 1 Char"/>
    <w:basedOn w:val="DefaultParagraphFont"/>
    <w:link w:val="Heading1"/>
    <w:uiPriority w:val="9"/>
    <w:rsid w:val="00A1349E"/>
    <w:rPr>
      <w:rFonts w:ascii="Palatino Linotype" w:eastAsiaTheme="majorEastAsia" w:hAnsi="Palatino Linotype" w:cstheme="majorBidi"/>
      <w:b/>
      <w:color w:val="2F5496" w:themeColor="accent1" w:themeShade="BF"/>
      <w:sz w:val="32"/>
      <w:szCs w:val="32"/>
    </w:rPr>
  </w:style>
  <w:style w:type="character" w:customStyle="1" w:styleId="Heading2Char">
    <w:name w:val="Heading 2 Char"/>
    <w:basedOn w:val="DefaultParagraphFont"/>
    <w:link w:val="Heading2"/>
    <w:uiPriority w:val="9"/>
    <w:rsid w:val="00A1349E"/>
    <w:rPr>
      <w:rFonts w:ascii="Palatino Linotype" w:eastAsiaTheme="majorEastAsia" w:hAnsi="Palatino Linotype" w:cstheme="majorBidi"/>
      <w:b/>
      <w:color w:val="2F5496" w:themeColor="accent1" w:themeShade="BF"/>
      <w:sz w:val="26"/>
      <w:szCs w:val="26"/>
    </w:rPr>
  </w:style>
  <w:style w:type="character" w:customStyle="1" w:styleId="Heading3Char">
    <w:name w:val="Heading 3 Char"/>
    <w:basedOn w:val="DefaultParagraphFont"/>
    <w:link w:val="Heading3"/>
    <w:uiPriority w:val="9"/>
    <w:rsid w:val="00A1349E"/>
    <w:rPr>
      <w:rFonts w:ascii="Palatino Linotype" w:eastAsiaTheme="majorEastAsia" w:hAnsi="Palatino Linotype" w:cstheme="majorBidi"/>
      <w:color w:val="1F3763" w:themeColor="accent1" w:themeShade="7F"/>
      <w:szCs w:val="24"/>
      <w:u w:val="single"/>
    </w:rPr>
  </w:style>
  <w:style w:type="paragraph" w:styleId="Caption">
    <w:name w:val="caption"/>
    <w:basedOn w:val="Normal"/>
    <w:next w:val="Normal"/>
    <w:uiPriority w:val="35"/>
    <w:unhideWhenUsed/>
    <w:qFormat/>
    <w:rsid w:val="00A1349E"/>
    <w:pPr>
      <w:spacing w:after="200" w:line="240" w:lineRule="auto"/>
    </w:pPr>
    <w:rPr>
      <w:i/>
      <w:iCs/>
      <w:color w:val="44546A" w:themeColor="text2"/>
      <w:sz w:val="18"/>
      <w:szCs w:val="18"/>
    </w:rPr>
  </w:style>
  <w:style w:type="paragraph" w:styleId="NoSpacing">
    <w:name w:val="No Spacing"/>
    <w:uiPriority w:val="1"/>
    <w:qFormat/>
    <w:rsid w:val="00A1349E"/>
    <w:pPr>
      <w:spacing w:after="0" w:line="240" w:lineRule="auto"/>
    </w:pPr>
  </w:style>
  <w:style w:type="character" w:styleId="FollowedHyperlink">
    <w:name w:val="FollowedHyperlink"/>
    <w:basedOn w:val="DefaultParagraphFont"/>
    <w:uiPriority w:val="99"/>
    <w:semiHidden/>
    <w:unhideWhenUsed/>
    <w:rsid w:val="00006096"/>
    <w:rPr>
      <w:color w:val="954F72" w:themeColor="followedHyperlink"/>
      <w:u w:val="single"/>
    </w:rPr>
  </w:style>
  <w:style w:type="paragraph" w:styleId="Header">
    <w:name w:val="header"/>
    <w:basedOn w:val="Normal"/>
    <w:link w:val="HeaderChar"/>
    <w:uiPriority w:val="99"/>
    <w:unhideWhenUsed/>
    <w:rsid w:val="008709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09A5"/>
  </w:style>
  <w:style w:type="paragraph" w:styleId="Footer">
    <w:name w:val="footer"/>
    <w:basedOn w:val="Normal"/>
    <w:link w:val="FooterChar"/>
    <w:uiPriority w:val="99"/>
    <w:unhideWhenUsed/>
    <w:rsid w:val="008709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09A5"/>
  </w:style>
  <w:style w:type="paragraph" w:styleId="Title">
    <w:name w:val="Title"/>
    <w:basedOn w:val="Normal"/>
    <w:next w:val="Normal"/>
    <w:link w:val="TitleChar"/>
    <w:uiPriority w:val="10"/>
    <w:qFormat/>
    <w:rsid w:val="002027F4"/>
    <w:pPr>
      <w:spacing w:after="240" w:line="312" w:lineRule="auto"/>
      <w:jc w:val="center"/>
    </w:pPr>
    <w:rPr>
      <w:rFonts w:ascii="Palatino Linotype" w:eastAsiaTheme="majorEastAsia" w:hAnsi="Palatino Linotype" w:cstheme="majorBidi"/>
      <w:b/>
      <w:color w:val="2F5496" w:themeColor="accent1" w:themeShade="BF"/>
      <w:spacing w:val="-10"/>
      <w:kern w:val="28"/>
      <w:sz w:val="36"/>
      <w:szCs w:val="56"/>
    </w:rPr>
  </w:style>
  <w:style w:type="character" w:customStyle="1" w:styleId="TitleChar">
    <w:name w:val="Title Char"/>
    <w:basedOn w:val="DefaultParagraphFont"/>
    <w:link w:val="Title"/>
    <w:uiPriority w:val="10"/>
    <w:rsid w:val="002027F4"/>
    <w:rPr>
      <w:rFonts w:ascii="Palatino Linotype" w:eastAsiaTheme="majorEastAsia" w:hAnsi="Palatino Linotype" w:cstheme="majorBidi"/>
      <w:b/>
      <w:color w:val="2F5496" w:themeColor="accent1" w:themeShade="BF"/>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dpi.com/1996-1073/12/7/1395" TargetMode="External"/><Relationship Id="rId13" Type="http://schemas.openxmlformats.org/officeDocument/2006/relationships/hyperlink" Target="https://github.com/microsoft/Uganda-Tanzania-Building-Footprints" TargetMode="External"/><Relationship Id="rId18" Type="http://schemas.openxmlformats.org/officeDocument/2006/relationships/image" Target="media/image3.png"/><Relationship Id="rId26" Type="http://schemas.openxmlformats.org/officeDocument/2006/relationships/hyperlink" Target="Cluster%20pop%20density%20comparison.html"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hub.com/akorkovelos/Clustering/tree/master/DBSCAN_Clustering" TargetMode="External"/><Relationship Id="rId17" Type="http://schemas.openxmlformats.org/officeDocument/2006/relationships/hyperlink" Target="https://electrifynow.energydata.info/" TargetMode="External"/><Relationship Id="rId25" Type="http://schemas.openxmlformats.org/officeDocument/2006/relationships/hyperlink" Target="No%20of%20clusters%20per%20method.html"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arderne/clusterize" TargetMode="External"/><Relationship Id="rId24" Type="http://schemas.openxmlformats.org/officeDocument/2006/relationships/hyperlink" Target="Total%20population%20in%20clusters%20per%20method.html" TargetMode="External"/><Relationship Id="rId5" Type="http://schemas.openxmlformats.org/officeDocument/2006/relationships/webSettings" Target="webSettings.xml"/><Relationship Id="rId15" Type="http://schemas.openxmlformats.org/officeDocument/2006/relationships/hyperlink" Target="https://github.com/microsoft/Uganda-Tanzania-Building-Footprints"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https://github.com/akorkovelos/Clustering/tree/master/DBSCAN_Clustering" TargetMode="External"/><Relationship Id="rId19" Type="http://schemas.openxmlformats.org/officeDocument/2006/relationships/hyperlink" Target="https://data.mendeley.com/datasets/z9zfhzk8cr/4" TargetMode="External"/><Relationship Id="rId4" Type="http://schemas.openxmlformats.org/officeDocument/2006/relationships/settings" Target="settings.xml"/><Relationship Id="rId9" Type="http://schemas.openxmlformats.org/officeDocument/2006/relationships/hyperlink" Target="https://github.com/babakkhavari/Clustering"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s://www.unsdsn.org/leaving-no-one-off-the-map-a-guide-for-gridded-population-data-for-sustainable-developmen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8EE9A-3B55-49AC-937C-72E4A616E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9</Pages>
  <Words>2210</Words>
  <Characters>12598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Alexandros Korkovelos</dc:creator>
  <cp:keywords/>
  <dc:description/>
  <cp:lastModifiedBy>Alexandros Korkovelos</cp:lastModifiedBy>
  <cp:revision>9</cp:revision>
  <dcterms:created xsi:type="dcterms:W3CDTF">2020-09-14T12:38:00Z</dcterms:created>
  <dcterms:modified xsi:type="dcterms:W3CDTF">2021-03-08T10:24:00Z</dcterms:modified>
</cp:coreProperties>
</file>