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Executive Summary – Why Old Appliances Are Not Waste</w:t>
      </w:r>
    </w:p>
    <w:p>
      <w:r>
        <w:t>End-of-life household appliances should be treated as material assets, not waste. Evidence shows that a single 2010-era fridge can contain £40–£60 (€50–€80) of recoverable value when materials are separated rather than discarded.</w:t>
      </w:r>
    </w:p>
    <w:p>
      <w:pPr>
        <w:pStyle w:val="Heading2"/>
      </w:pPr>
      <w:r>
        <w:t>Why This Matters for Decision Makers</w:t>
      </w:r>
    </w:p>
    <w:p>
      <w:r>
        <w:t>• Higher recycling yields improve local economic returns</w:t>
        <w:br/>
        <w:t>• Better alignment with circular economy policy goals</w:t>
        <w:br/>
        <w:t>• Reduced landfill and treatment costs</w:t>
        <w:br/>
        <w:t>• Opportunities for community reuse and repair programmes</w:t>
      </w:r>
    </w:p>
    <w:p>
      <w:pPr>
        <w:pStyle w:val="Heading2"/>
      </w:pPr>
      <w:r>
        <w:t>Policy Implication</w:t>
      </w:r>
    </w:p>
    <w:p>
      <w:r>
        <w:t>Encouraging basic dismantling, reuse, and material separation prior to recycling can significantly increase both economic and environmental returns without requiring major infrastructure investment.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