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– Appliance Value and Policy Alignment</w:t>
      </w:r>
    </w:p>
    <w:p>
      <w:r>
        <w:t>Household appliances placed on the market in the 2000–2015 period contain substantial recoverable material value. Evidence indicates that £30–£60 (€35–€80) per appliance is routinely lost when appliances are treated solely as waste.</w:t>
      </w:r>
    </w:p>
    <w:p>
      <w:pPr>
        <w:pStyle w:val="Heading2"/>
      </w:pPr>
      <w:r>
        <w:t>Alignment with EU &amp; UK Policy</w:t>
      </w:r>
    </w:p>
    <w:p>
      <w:r>
        <w:t>EU WEEE Directive (2012/19/EU):</w:t>
        <w:br/>
        <w:t>• Article 4 – Prioritises prevention, reuse, and recycling over disposal</w:t>
        <w:br/>
        <w:t>• Article 7 – Sets collection and recovery targets</w:t>
        <w:br/>
        <w:t>• Article 8 – Encourages treatment methods that maximise material recovery</w:t>
        <w:br/>
        <w:br/>
        <w:t>UK Resources &amp; Waste Strategy:</w:t>
        <w:br/>
        <w:t>• Emphasises resource efficiency and retention of material value</w:t>
        <w:br/>
        <w:t>• Supports repair, reuse, and recycling hierarchies</w:t>
        <w:br/>
      </w:r>
    </w:p>
    <w:p>
      <w:pPr>
        <w:pStyle w:val="Heading2"/>
      </w:pPr>
      <w:r>
        <w:t>Decision Implications</w:t>
      </w:r>
    </w:p>
    <w:p>
      <w:r>
        <w:t>Encouraging basic dismantling, reuse pathways, and material separation prior to recycling would improve compliance with existing policy frameworks while delivering measurable economic and environmental benefits without significant infrastructure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