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Appliance to Value – Circular Economy Evidence Report</w:t>
      </w:r>
    </w:p>
    <w:p>
      <w:r>
        <w:t>This report demonstrates, using diagrams and financial evidence, why treating end-of-life appliances as waste underestimates their real economic value. Appliances manufactured around 2010 contain significant recoverable metals.</w:t>
      </w:r>
    </w:p>
    <w:p>
      <w:pPr>
        <w:pStyle w:val="Heading2"/>
      </w:pPr>
      <w:r>
        <w:t>Example: 2010 Fridge (~100 kg)</w:t>
      </w:r>
    </w:p>
    <w:p>
      <w:r>
        <w:t>Copper, despite being a small fraction of total weight, represents the largest share of recoverable value.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dge_uk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dge_eu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insight: Separating non-ferrous metals prior to recycling can double or triple the financial return compared with whole-appliance disposal.</w:t>
      </w:r>
    </w:p>
    <w:p>
      <w:pPr>
        <w:pStyle w:val="Heading2"/>
      </w:pPr>
      <w:r>
        <w:t>Circular Economy Impact</w:t>
      </w:r>
    </w:p>
    <w:p>
      <w:r>
        <w:t>• Reduces demand for virgin metal extraction</w:t>
        <w:br/>
        <w:t>• Saves 70–90% of energy versus primary metal production</w:t>
        <w:br/>
        <w:t>• Retains economic value within local communities</w:t>
        <w:br/>
        <w:t>• Supports EU and UK waste and resource efficiency targets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