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 Appliance to Value – Circular Economy Evidence Report</w:t>
      </w:r>
    </w:p>
    <w:p>
      <w:r>
        <w:t>This report provides quantitative and visual evidence showing that end-of-life household appliances retain significant recoverable value. Treating appliances purely as waste results in avoidable economic loss and reduced circular-economy performance.</w:t>
      </w:r>
    </w:p>
    <w:p>
      <w:pPr>
        <w:pStyle w:val="Heading2"/>
      </w:pPr>
      <w:r>
        <w:t>Recoverable Value Across Appliance Types</w:t>
      </w:r>
    </w:p>
    <w:p>
      <w:r>
        <w:t>The charts below show typical recoverable material value for common 2010-era appliances when basic-to-advanced separation is applied.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appliance_u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appliance_e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insight: Refrigeration appliances consistently hold the highest recoverable value due to copper-rich compressors, while washing machines and dishwashers still offer meaningful returns through motors, wiring, and steel drums.</w:t>
      </w:r>
    </w:p>
    <w:p>
      <w:pPr>
        <w:pStyle w:val="Heading2"/>
      </w:pPr>
      <w:r>
        <w:t>Implications for Circular Economy Performance</w:t>
      </w:r>
    </w:p>
    <w:p>
      <w:r>
        <w:t>• Improved material recovery rates</w:t>
        <w:br/>
        <w:t>• Reduced dependency on virgin copper and aluminium</w:t>
        <w:br/>
        <w:t>• Lower energy demand across the materials supply chain</w:t>
        <w:br/>
        <w:t>• Increased local economic retention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