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32AA" w14:textId="34DA284D" w:rsidR="00E535A2" w:rsidRPr="00E535A2" w:rsidRDefault="00E535A2" w:rsidP="00E535A2">
      <w:pPr>
        <w:pStyle w:val="ListParagraph"/>
        <w:numPr>
          <w:ilvl w:val="0"/>
          <w:numId w:val="1"/>
        </w:numPr>
        <w:contextualSpacing w:val="0"/>
        <w:outlineLvl w:val="0"/>
        <w:rPr>
          <w:rFonts w:ascii="Myriad Pro" w:hAnsi="Myriad Pro" w:cs="Times New Roman"/>
          <w:b/>
          <w:caps/>
          <w:vanish/>
          <w:sz w:val="40"/>
          <w:szCs w:val="40"/>
        </w:rPr>
      </w:pPr>
      <w:bookmarkStart w:id="0" w:name="_Toc505082822"/>
      <w:bookmarkStart w:id="1" w:name="_Toc505093546"/>
      <w:bookmarkStart w:id="2" w:name="_Toc505093790"/>
      <w:bookmarkStart w:id="3" w:name="_Toc505094439"/>
      <w:bookmarkStart w:id="4" w:name="_Toc505170599"/>
      <w:bookmarkStart w:id="5" w:name="_Toc507056883"/>
      <w:bookmarkStart w:id="6" w:name="_Toc513217046"/>
      <w:bookmarkStart w:id="7" w:name="_Toc532285718"/>
    </w:p>
    <w:p w14:paraId="48251686" w14:textId="77777777" w:rsidR="00E535A2" w:rsidRPr="00E535A2" w:rsidRDefault="00E535A2" w:rsidP="00E535A2">
      <w:pPr>
        <w:pStyle w:val="ListParagraph"/>
        <w:numPr>
          <w:ilvl w:val="0"/>
          <w:numId w:val="1"/>
        </w:numPr>
        <w:contextualSpacing w:val="0"/>
        <w:outlineLvl w:val="0"/>
        <w:rPr>
          <w:rFonts w:ascii="Myriad Pro" w:hAnsi="Myriad Pro" w:cs="Times New Roman"/>
          <w:b/>
          <w:caps/>
          <w:vanish/>
          <w:sz w:val="40"/>
          <w:szCs w:val="40"/>
        </w:rPr>
      </w:pPr>
    </w:p>
    <w:p w14:paraId="4AFF5DEB" w14:textId="77777777" w:rsidR="00E535A2" w:rsidRPr="00E535A2" w:rsidRDefault="00E535A2" w:rsidP="00E535A2">
      <w:pPr>
        <w:pStyle w:val="ListParagraph"/>
        <w:numPr>
          <w:ilvl w:val="0"/>
          <w:numId w:val="1"/>
        </w:numPr>
        <w:contextualSpacing w:val="0"/>
        <w:outlineLvl w:val="0"/>
        <w:rPr>
          <w:rFonts w:ascii="Myriad Pro" w:hAnsi="Myriad Pro" w:cs="Times New Roman"/>
          <w:b/>
          <w:caps/>
          <w:vanish/>
          <w:sz w:val="40"/>
          <w:szCs w:val="40"/>
        </w:rPr>
      </w:pPr>
    </w:p>
    <w:p w14:paraId="6C9E8B40" w14:textId="77777777" w:rsidR="00E535A2" w:rsidRPr="00E535A2" w:rsidRDefault="00E535A2" w:rsidP="00E535A2">
      <w:pPr>
        <w:pStyle w:val="ListParagraph"/>
        <w:numPr>
          <w:ilvl w:val="0"/>
          <w:numId w:val="1"/>
        </w:numPr>
        <w:contextualSpacing w:val="0"/>
        <w:outlineLvl w:val="0"/>
        <w:rPr>
          <w:rFonts w:ascii="Myriad Pro" w:hAnsi="Myriad Pro" w:cs="Times New Roman"/>
          <w:b/>
          <w:caps/>
          <w:vanish/>
          <w:sz w:val="40"/>
          <w:szCs w:val="40"/>
        </w:rPr>
      </w:pPr>
    </w:p>
    <w:p w14:paraId="54EE87DF" w14:textId="77777777" w:rsidR="00E535A2" w:rsidRPr="00E535A2" w:rsidRDefault="00E535A2" w:rsidP="00E535A2">
      <w:pPr>
        <w:pStyle w:val="ListParagraph"/>
        <w:numPr>
          <w:ilvl w:val="0"/>
          <w:numId w:val="1"/>
        </w:numPr>
        <w:contextualSpacing w:val="0"/>
        <w:outlineLvl w:val="0"/>
        <w:rPr>
          <w:rFonts w:ascii="Myriad Pro" w:hAnsi="Myriad Pro" w:cs="Times New Roman"/>
          <w:b/>
          <w:caps/>
          <w:vanish/>
          <w:sz w:val="40"/>
          <w:szCs w:val="40"/>
        </w:rPr>
      </w:pPr>
    </w:p>
    <w:p w14:paraId="5D827349" w14:textId="77777777" w:rsidR="00E535A2" w:rsidRPr="00E535A2" w:rsidRDefault="00E535A2" w:rsidP="00E535A2">
      <w:pPr>
        <w:pStyle w:val="ListParagraph"/>
        <w:numPr>
          <w:ilvl w:val="0"/>
          <w:numId w:val="1"/>
        </w:numPr>
        <w:contextualSpacing w:val="0"/>
        <w:outlineLvl w:val="0"/>
        <w:rPr>
          <w:rFonts w:ascii="Myriad Pro" w:hAnsi="Myriad Pro" w:cs="Times New Roman"/>
          <w:b/>
          <w:caps/>
          <w:vanish/>
          <w:sz w:val="40"/>
          <w:szCs w:val="40"/>
        </w:rPr>
      </w:pPr>
    </w:p>
    <w:p w14:paraId="1A792538" w14:textId="77777777" w:rsidR="00E535A2" w:rsidRPr="00E535A2" w:rsidRDefault="00E535A2" w:rsidP="00E535A2">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67DF8FC3" w14:textId="77777777" w:rsidR="00E535A2" w:rsidRPr="00E535A2" w:rsidRDefault="00E535A2" w:rsidP="00E535A2">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05244B27" w14:textId="77777777" w:rsidR="00E535A2" w:rsidRPr="00E535A2" w:rsidRDefault="00E535A2" w:rsidP="00E535A2">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7BCC48D3" w14:textId="77777777" w:rsidR="00E535A2" w:rsidRPr="00E535A2" w:rsidRDefault="00E535A2" w:rsidP="00E535A2">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14:paraId="405F2A87" w14:textId="77777777" w:rsidR="00E535A2" w:rsidRPr="00E535A2" w:rsidRDefault="00E535A2" w:rsidP="00E535A2">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006F3E97" w14:textId="77777777" w:rsidR="00E535A2" w:rsidRPr="00E535A2" w:rsidRDefault="00E535A2" w:rsidP="00E535A2">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14:paraId="789D9724" w14:textId="5927F39D" w:rsidR="00841CEF" w:rsidRPr="00E92573" w:rsidRDefault="00841CEF" w:rsidP="00841CEF">
      <w:pPr>
        <w:pStyle w:val="Heading2"/>
      </w:pPr>
      <w:bookmarkStart w:id="8" w:name="_Toc532285719"/>
      <w:bookmarkEnd w:id="0"/>
      <w:bookmarkEnd w:id="1"/>
      <w:bookmarkEnd w:id="2"/>
      <w:bookmarkEnd w:id="3"/>
      <w:bookmarkEnd w:id="4"/>
      <w:bookmarkEnd w:id="5"/>
      <w:bookmarkEnd w:id="6"/>
      <w:bookmarkEnd w:id="7"/>
      <w:r w:rsidRPr="00E92573">
        <w:t>Modeling Requirements</w:t>
      </w:r>
      <w:bookmarkEnd w:id="8"/>
    </w:p>
    <w:p w14:paraId="50BC3437" w14:textId="77777777" w:rsidR="00841CEF" w:rsidRDefault="00841CEF" w:rsidP="00841CEF">
      <w:pPr>
        <w:rPr>
          <w:rFonts w:ascii="Calibri" w:hAnsi="Calibri"/>
          <w:color w:val="auto"/>
        </w:rPr>
      </w:pPr>
      <w:r>
        <w:t>The purpose of this section is to define the minimum precision of the modeling efforts. During schematic design, modeled assemblies are expected to convey the Design Team product intent. As designs progress through development, all generic content shall be replaced with specific content dimensioned and assembled by the correct constituent elements.</w:t>
      </w:r>
    </w:p>
    <w:p w14:paraId="5F2C10CC" w14:textId="77777777" w:rsidR="00841CEF" w:rsidRDefault="00841CEF" w:rsidP="00841CEF">
      <w:pPr>
        <w:pStyle w:val="Listheader"/>
      </w:pPr>
      <w:r w:rsidRPr="001A778A">
        <w:t>Revit Model Precision:</w:t>
      </w:r>
    </w:p>
    <w:p w14:paraId="388D54C0" w14:textId="77777777" w:rsidR="00841CEF" w:rsidRDefault="00841CEF" w:rsidP="00841CEF">
      <w:r>
        <w:t>All dimension strings generated through Revit must be live dimensions. Manual overrides are prohibited except when the override is descriptive (i.e. VERIFY, CLEAR). The following chart outlines the required minimum dimensional rounding settings.</w:t>
      </w:r>
    </w:p>
    <w:tbl>
      <w:tblPr>
        <w:tblW w:w="0" w:type="auto"/>
        <w:tblInd w:w="6"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0" w:type="dxa"/>
          <w:right w:w="0" w:type="dxa"/>
        </w:tblCellMar>
        <w:tblLook w:val="04A0" w:firstRow="1" w:lastRow="0" w:firstColumn="1" w:lastColumn="0" w:noHBand="0" w:noVBand="1"/>
      </w:tblPr>
      <w:tblGrid>
        <w:gridCol w:w="1137"/>
        <w:gridCol w:w="952"/>
        <w:gridCol w:w="989"/>
        <w:gridCol w:w="771"/>
        <w:gridCol w:w="1021"/>
        <w:gridCol w:w="680"/>
        <w:gridCol w:w="1022"/>
        <w:gridCol w:w="880"/>
        <w:gridCol w:w="1022"/>
        <w:gridCol w:w="860"/>
      </w:tblGrid>
      <w:tr w:rsidR="00841CEF" w14:paraId="5F66C62D" w14:textId="77777777" w:rsidTr="003B5737">
        <w:tc>
          <w:tcPr>
            <w:tcW w:w="2089" w:type="dxa"/>
            <w:gridSpan w:val="2"/>
            <w:tcMar>
              <w:top w:w="0" w:type="dxa"/>
              <w:left w:w="108" w:type="dxa"/>
              <w:bottom w:w="0" w:type="dxa"/>
              <w:right w:w="108" w:type="dxa"/>
            </w:tcMar>
            <w:hideMark/>
          </w:tcPr>
          <w:p w14:paraId="20F92025" w14:textId="77777777" w:rsidR="00841CEF" w:rsidRPr="001A778A" w:rsidRDefault="00841CEF" w:rsidP="003B5737">
            <w:pPr>
              <w:jc w:val="center"/>
              <w:rPr>
                <w:sz w:val="18"/>
                <w:szCs w:val="18"/>
              </w:rPr>
            </w:pPr>
            <w:r w:rsidRPr="001A778A">
              <w:rPr>
                <w:sz w:val="18"/>
                <w:szCs w:val="18"/>
              </w:rPr>
              <w:t>Length</w:t>
            </w:r>
          </w:p>
        </w:tc>
        <w:tc>
          <w:tcPr>
            <w:tcW w:w="1760" w:type="dxa"/>
            <w:gridSpan w:val="2"/>
            <w:tcMar>
              <w:top w:w="0" w:type="dxa"/>
              <w:left w:w="108" w:type="dxa"/>
              <w:bottom w:w="0" w:type="dxa"/>
              <w:right w:w="108" w:type="dxa"/>
            </w:tcMar>
            <w:hideMark/>
          </w:tcPr>
          <w:p w14:paraId="1052EF7B" w14:textId="77777777" w:rsidR="00841CEF" w:rsidRPr="001A778A" w:rsidRDefault="00841CEF" w:rsidP="003B5737">
            <w:pPr>
              <w:jc w:val="center"/>
              <w:rPr>
                <w:sz w:val="18"/>
                <w:szCs w:val="18"/>
              </w:rPr>
            </w:pPr>
            <w:r w:rsidRPr="001A778A">
              <w:rPr>
                <w:sz w:val="18"/>
                <w:szCs w:val="18"/>
              </w:rPr>
              <w:t>Area</w:t>
            </w:r>
          </w:p>
        </w:tc>
        <w:tc>
          <w:tcPr>
            <w:tcW w:w="1701" w:type="dxa"/>
            <w:gridSpan w:val="2"/>
            <w:tcMar>
              <w:top w:w="0" w:type="dxa"/>
              <w:left w:w="108" w:type="dxa"/>
              <w:bottom w:w="0" w:type="dxa"/>
              <w:right w:w="108" w:type="dxa"/>
            </w:tcMar>
            <w:hideMark/>
          </w:tcPr>
          <w:p w14:paraId="58B9F276" w14:textId="77777777" w:rsidR="00841CEF" w:rsidRPr="001A778A" w:rsidRDefault="00841CEF" w:rsidP="003B5737">
            <w:pPr>
              <w:jc w:val="center"/>
              <w:rPr>
                <w:sz w:val="18"/>
                <w:szCs w:val="18"/>
              </w:rPr>
            </w:pPr>
            <w:r w:rsidRPr="001A778A">
              <w:rPr>
                <w:sz w:val="18"/>
                <w:szCs w:val="18"/>
              </w:rPr>
              <w:t>Volume</w:t>
            </w:r>
          </w:p>
        </w:tc>
        <w:tc>
          <w:tcPr>
            <w:tcW w:w="1902" w:type="dxa"/>
            <w:gridSpan w:val="2"/>
            <w:tcMar>
              <w:top w:w="0" w:type="dxa"/>
              <w:left w:w="108" w:type="dxa"/>
              <w:bottom w:w="0" w:type="dxa"/>
              <w:right w:w="108" w:type="dxa"/>
            </w:tcMar>
            <w:hideMark/>
          </w:tcPr>
          <w:p w14:paraId="70977C38" w14:textId="77777777" w:rsidR="00841CEF" w:rsidRPr="001A778A" w:rsidRDefault="00841CEF" w:rsidP="003B5737">
            <w:pPr>
              <w:jc w:val="center"/>
              <w:rPr>
                <w:sz w:val="18"/>
                <w:szCs w:val="18"/>
              </w:rPr>
            </w:pPr>
            <w:r w:rsidRPr="001A778A">
              <w:rPr>
                <w:sz w:val="18"/>
                <w:szCs w:val="18"/>
              </w:rPr>
              <w:t>Angles</w:t>
            </w:r>
          </w:p>
        </w:tc>
        <w:tc>
          <w:tcPr>
            <w:tcW w:w="1882" w:type="dxa"/>
            <w:gridSpan w:val="2"/>
            <w:tcMar>
              <w:top w:w="0" w:type="dxa"/>
              <w:left w:w="108" w:type="dxa"/>
              <w:bottom w:w="0" w:type="dxa"/>
              <w:right w:w="108" w:type="dxa"/>
            </w:tcMar>
            <w:hideMark/>
          </w:tcPr>
          <w:p w14:paraId="7E856AFF" w14:textId="77777777" w:rsidR="00841CEF" w:rsidRPr="001A778A" w:rsidRDefault="00841CEF" w:rsidP="003B5737">
            <w:pPr>
              <w:jc w:val="center"/>
              <w:rPr>
                <w:sz w:val="18"/>
                <w:szCs w:val="18"/>
              </w:rPr>
            </w:pPr>
            <w:r w:rsidRPr="001A778A">
              <w:rPr>
                <w:sz w:val="18"/>
                <w:szCs w:val="18"/>
              </w:rPr>
              <w:t>Slope</w:t>
            </w:r>
          </w:p>
        </w:tc>
      </w:tr>
      <w:tr w:rsidR="00841CEF" w14:paraId="663E72E7" w14:textId="77777777" w:rsidTr="003B5737">
        <w:tc>
          <w:tcPr>
            <w:tcW w:w="1137" w:type="dxa"/>
            <w:tcMar>
              <w:top w:w="0" w:type="dxa"/>
              <w:left w:w="108" w:type="dxa"/>
              <w:bottom w:w="0" w:type="dxa"/>
              <w:right w:w="108" w:type="dxa"/>
            </w:tcMar>
            <w:hideMark/>
          </w:tcPr>
          <w:p w14:paraId="04CD8AD6" w14:textId="77777777" w:rsidR="00841CEF" w:rsidRPr="001A778A" w:rsidRDefault="00841CEF" w:rsidP="003B5737">
            <w:pPr>
              <w:jc w:val="center"/>
              <w:rPr>
                <w:sz w:val="18"/>
                <w:szCs w:val="18"/>
              </w:rPr>
            </w:pPr>
            <w:r w:rsidRPr="001A778A">
              <w:rPr>
                <w:sz w:val="18"/>
                <w:szCs w:val="18"/>
              </w:rPr>
              <w:t>Rounding</w:t>
            </w:r>
          </w:p>
        </w:tc>
        <w:tc>
          <w:tcPr>
            <w:tcW w:w="952" w:type="dxa"/>
            <w:tcMar>
              <w:top w:w="0" w:type="dxa"/>
              <w:left w:w="108" w:type="dxa"/>
              <w:bottom w:w="0" w:type="dxa"/>
              <w:right w:w="108" w:type="dxa"/>
            </w:tcMar>
            <w:hideMark/>
          </w:tcPr>
          <w:p w14:paraId="5C53E917" w14:textId="77777777" w:rsidR="00841CEF" w:rsidRPr="001A778A" w:rsidRDefault="00841CEF" w:rsidP="003B5737">
            <w:pPr>
              <w:jc w:val="center"/>
              <w:rPr>
                <w:sz w:val="18"/>
                <w:szCs w:val="18"/>
              </w:rPr>
            </w:pPr>
            <w:r w:rsidRPr="001A778A">
              <w:rPr>
                <w:sz w:val="18"/>
                <w:szCs w:val="18"/>
              </w:rPr>
              <w:t>Units</w:t>
            </w:r>
          </w:p>
        </w:tc>
        <w:tc>
          <w:tcPr>
            <w:tcW w:w="989" w:type="dxa"/>
            <w:tcMar>
              <w:top w:w="0" w:type="dxa"/>
              <w:left w:w="108" w:type="dxa"/>
              <w:bottom w:w="0" w:type="dxa"/>
              <w:right w:w="108" w:type="dxa"/>
            </w:tcMar>
            <w:hideMark/>
          </w:tcPr>
          <w:p w14:paraId="1A21FDC9" w14:textId="77777777" w:rsidR="00841CEF" w:rsidRPr="001A778A" w:rsidRDefault="00841CEF" w:rsidP="003B5737">
            <w:pPr>
              <w:jc w:val="center"/>
              <w:rPr>
                <w:sz w:val="18"/>
                <w:szCs w:val="18"/>
              </w:rPr>
            </w:pPr>
            <w:r w:rsidRPr="001A778A">
              <w:rPr>
                <w:sz w:val="18"/>
                <w:szCs w:val="18"/>
              </w:rPr>
              <w:t>Rounding</w:t>
            </w:r>
          </w:p>
        </w:tc>
        <w:tc>
          <w:tcPr>
            <w:tcW w:w="771" w:type="dxa"/>
            <w:tcMar>
              <w:top w:w="0" w:type="dxa"/>
              <w:left w:w="108" w:type="dxa"/>
              <w:bottom w:w="0" w:type="dxa"/>
              <w:right w:w="108" w:type="dxa"/>
            </w:tcMar>
            <w:hideMark/>
          </w:tcPr>
          <w:p w14:paraId="2511C71C" w14:textId="77777777" w:rsidR="00841CEF" w:rsidRPr="001A778A" w:rsidRDefault="00841CEF" w:rsidP="003B5737">
            <w:pPr>
              <w:jc w:val="center"/>
              <w:rPr>
                <w:sz w:val="18"/>
                <w:szCs w:val="18"/>
              </w:rPr>
            </w:pPr>
            <w:r w:rsidRPr="001A778A">
              <w:rPr>
                <w:sz w:val="18"/>
                <w:szCs w:val="18"/>
              </w:rPr>
              <w:t>Units</w:t>
            </w:r>
          </w:p>
        </w:tc>
        <w:tc>
          <w:tcPr>
            <w:tcW w:w="1021" w:type="dxa"/>
            <w:tcMar>
              <w:top w:w="0" w:type="dxa"/>
              <w:left w:w="108" w:type="dxa"/>
              <w:bottom w:w="0" w:type="dxa"/>
              <w:right w:w="108" w:type="dxa"/>
            </w:tcMar>
            <w:hideMark/>
          </w:tcPr>
          <w:p w14:paraId="361054C4" w14:textId="77777777" w:rsidR="00841CEF" w:rsidRPr="001A778A" w:rsidRDefault="00841CEF" w:rsidP="003B5737">
            <w:pPr>
              <w:jc w:val="center"/>
              <w:rPr>
                <w:sz w:val="18"/>
                <w:szCs w:val="18"/>
              </w:rPr>
            </w:pPr>
            <w:r w:rsidRPr="001A778A">
              <w:rPr>
                <w:sz w:val="18"/>
                <w:szCs w:val="18"/>
              </w:rPr>
              <w:t>Rounding</w:t>
            </w:r>
          </w:p>
        </w:tc>
        <w:tc>
          <w:tcPr>
            <w:tcW w:w="680" w:type="dxa"/>
            <w:tcMar>
              <w:top w:w="0" w:type="dxa"/>
              <w:left w:w="108" w:type="dxa"/>
              <w:bottom w:w="0" w:type="dxa"/>
              <w:right w:w="108" w:type="dxa"/>
            </w:tcMar>
            <w:hideMark/>
          </w:tcPr>
          <w:p w14:paraId="2B90A3A5" w14:textId="77777777" w:rsidR="00841CEF" w:rsidRPr="001A778A" w:rsidRDefault="00841CEF" w:rsidP="003B5737">
            <w:pPr>
              <w:jc w:val="center"/>
              <w:rPr>
                <w:sz w:val="18"/>
                <w:szCs w:val="18"/>
              </w:rPr>
            </w:pPr>
            <w:r w:rsidRPr="001A778A">
              <w:rPr>
                <w:sz w:val="18"/>
                <w:szCs w:val="18"/>
              </w:rPr>
              <w:t>Units</w:t>
            </w:r>
          </w:p>
        </w:tc>
        <w:tc>
          <w:tcPr>
            <w:tcW w:w="1022" w:type="dxa"/>
            <w:tcMar>
              <w:top w:w="0" w:type="dxa"/>
              <w:left w:w="108" w:type="dxa"/>
              <w:bottom w:w="0" w:type="dxa"/>
              <w:right w:w="108" w:type="dxa"/>
            </w:tcMar>
            <w:hideMark/>
          </w:tcPr>
          <w:p w14:paraId="66E2AC82" w14:textId="77777777" w:rsidR="00841CEF" w:rsidRPr="001A778A" w:rsidRDefault="00841CEF" w:rsidP="003B5737">
            <w:pPr>
              <w:jc w:val="center"/>
              <w:rPr>
                <w:sz w:val="18"/>
                <w:szCs w:val="18"/>
              </w:rPr>
            </w:pPr>
            <w:r w:rsidRPr="001A778A">
              <w:rPr>
                <w:sz w:val="18"/>
                <w:szCs w:val="18"/>
              </w:rPr>
              <w:t>Rounding</w:t>
            </w:r>
          </w:p>
        </w:tc>
        <w:tc>
          <w:tcPr>
            <w:tcW w:w="880" w:type="dxa"/>
            <w:tcMar>
              <w:top w:w="0" w:type="dxa"/>
              <w:left w:w="108" w:type="dxa"/>
              <w:bottom w:w="0" w:type="dxa"/>
              <w:right w:w="108" w:type="dxa"/>
            </w:tcMar>
            <w:hideMark/>
          </w:tcPr>
          <w:p w14:paraId="2100E094" w14:textId="77777777" w:rsidR="00841CEF" w:rsidRPr="001A778A" w:rsidRDefault="00841CEF" w:rsidP="003B5737">
            <w:pPr>
              <w:jc w:val="center"/>
              <w:rPr>
                <w:sz w:val="18"/>
                <w:szCs w:val="18"/>
              </w:rPr>
            </w:pPr>
            <w:r w:rsidRPr="001A778A">
              <w:rPr>
                <w:sz w:val="18"/>
                <w:szCs w:val="18"/>
              </w:rPr>
              <w:t>Units</w:t>
            </w:r>
          </w:p>
        </w:tc>
        <w:tc>
          <w:tcPr>
            <w:tcW w:w="1022" w:type="dxa"/>
            <w:tcMar>
              <w:top w:w="0" w:type="dxa"/>
              <w:left w:w="108" w:type="dxa"/>
              <w:bottom w:w="0" w:type="dxa"/>
              <w:right w:w="108" w:type="dxa"/>
            </w:tcMar>
            <w:hideMark/>
          </w:tcPr>
          <w:p w14:paraId="39B45014" w14:textId="77777777" w:rsidR="00841CEF" w:rsidRPr="001A778A" w:rsidRDefault="00841CEF" w:rsidP="003B5737">
            <w:pPr>
              <w:jc w:val="center"/>
              <w:rPr>
                <w:sz w:val="18"/>
                <w:szCs w:val="18"/>
              </w:rPr>
            </w:pPr>
            <w:r w:rsidRPr="001A778A">
              <w:rPr>
                <w:sz w:val="18"/>
                <w:szCs w:val="18"/>
              </w:rPr>
              <w:t>Rounding</w:t>
            </w:r>
          </w:p>
        </w:tc>
        <w:tc>
          <w:tcPr>
            <w:tcW w:w="860" w:type="dxa"/>
            <w:tcMar>
              <w:top w:w="0" w:type="dxa"/>
              <w:left w:w="108" w:type="dxa"/>
              <w:bottom w:w="0" w:type="dxa"/>
              <w:right w:w="108" w:type="dxa"/>
            </w:tcMar>
            <w:hideMark/>
          </w:tcPr>
          <w:p w14:paraId="5570DF96" w14:textId="77777777" w:rsidR="00841CEF" w:rsidRPr="001A778A" w:rsidRDefault="00841CEF" w:rsidP="003B5737">
            <w:pPr>
              <w:jc w:val="center"/>
              <w:rPr>
                <w:sz w:val="18"/>
                <w:szCs w:val="18"/>
              </w:rPr>
            </w:pPr>
            <w:r w:rsidRPr="001A778A">
              <w:rPr>
                <w:sz w:val="18"/>
                <w:szCs w:val="18"/>
              </w:rPr>
              <w:t>Units</w:t>
            </w:r>
          </w:p>
        </w:tc>
      </w:tr>
      <w:tr w:rsidR="00841CEF" w14:paraId="171E6D65" w14:textId="77777777" w:rsidTr="003B5737">
        <w:tc>
          <w:tcPr>
            <w:tcW w:w="1137" w:type="dxa"/>
            <w:tcMar>
              <w:top w:w="0" w:type="dxa"/>
              <w:left w:w="108" w:type="dxa"/>
              <w:bottom w:w="0" w:type="dxa"/>
              <w:right w:w="108" w:type="dxa"/>
            </w:tcMar>
            <w:hideMark/>
          </w:tcPr>
          <w:p w14:paraId="04CAF9F6" w14:textId="77777777" w:rsidR="00841CEF" w:rsidRPr="001A778A" w:rsidRDefault="00841CEF" w:rsidP="003B5737">
            <w:pPr>
              <w:jc w:val="center"/>
              <w:rPr>
                <w:sz w:val="18"/>
                <w:szCs w:val="18"/>
              </w:rPr>
            </w:pPr>
            <w:r w:rsidRPr="001A778A">
              <w:rPr>
                <w:sz w:val="18"/>
                <w:szCs w:val="18"/>
              </w:rPr>
              <w:t>1/8”</w:t>
            </w:r>
          </w:p>
        </w:tc>
        <w:tc>
          <w:tcPr>
            <w:tcW w:w="952" w:type="dxa"/>
            <w:tcMar>
              <w:top w:w="0" w:type="dxa"/>
              <w:left w:w="108" w:type="dxa"/>
              <w:bottom w:w="0" w:type="dxa"/>
              <w:right w:w="108" w:type="dxa"/>
            </w:tcMar>
            <w:hideMark/>
          </w:tcPr>
          <w:p w14:paraId="79E4175F" w14:textId="77777777" w:rsidR="00841CEF" w:rsidRPr="001A778A" w:rsidRDefault="00841CEF" w:rsidP="003B5737">
            <w:pPr>
              <w:jc w:val="center"/>
              <w:rPr>
                <w:sz w:val="18"/>
                <w:szCs w:val="18"/>
              </w:rPr>
            </w:pPr>
            <w:r w:rsidRPr="001A778A">
              <w:rPr>
                <w:sz w:val="18"/>
                <w:szCs w:val="18"/>
              </w:rPr>
              <w:t>Feet and Fractional Inches</w:t>
            </w:r>
          </w:p>
        </w:tc>
        <w:tc>
          <w:tcPr>
            <w:tcW w:w="989" w:type="dxa"/>
            <w:tcMar>
              <w:top w:w="0" w:type="dxa"/>
              <w:left w:w="108" w:type="dxa"/>
              <w:bottom w:w="0" w:type="dxa"/>
              <w:right w:w="108" w:type="dxa"/>
            </w:tcMar>
            <w:hideMark/>
          </w:tcPr>
          <w:p w14:paraId="3E61A2E1" w14:textId="77777777" w:rsidR="00841CEF" w:rsidRPr="001A778A" w:rsidRDefault="00841CEF" w:rsidP="003B5737">
            <w:pPr>
              <w:jc w:val="center"/>
              <w:rPr>
                <w:sz w:val="18"/>
                <w:szCs w:val="18"/>
              </w:rPr>
            </w:pPr>
            <w:r w:rsidRPr="001A778A">
              <w:rPr>
                <w:sz w:val="18"/>
                <w:szCs w:val="18"/>
              </w:rPr>
              <w:t>0 Decimal Places</w:t>
            </w:r>
          </w:p>
        </w:tc>
        <w:tc>
          <w:tcPr>
            <w:tcW w:w="771" w:type="dxa"/>
            <w:tcMar>
              <w:top w:w="0" w:type="dxa"/>
              <w:left w:w="108" w:type="dxa"/>
              <w:bottom w:w="0" w:type="dxa"/>
              <w:right w:w="108" w:type="dxa"/>
            </w:tcMar>
            <w:hideMark/>
          </w:tcPr>
          <w:p w14:paraId="42B265E2" w14:textId="77777777" w:rsidR="00841CEF" w:rsidRPr="001A778A" w:rsidRDefault="00841CEF" w:rsidP="003B5737">
            <w:pPr>
              <w:jc w:val="center"/>
              <w:rPr>
                <w:sz w:val="18"/>
                <w:szCs w:val="18"/>
              </w:rPr>
            </w:pPr>
            <w:r w:rsidRPr="001A778A">
              <w:rPr>
                <w:sz w:val="18"/>
                <w:szCs w:val="18"/>
              </w:rPr>
              <w:t>Square Feet</w:t>
            </w:r>
          </w:p>
        </w:tc>
        <w:tc>
          <w:tcPr>
            <w:tcW w:w="1021" w:type="dxa"/>
            <w:tcMar>
              <w:top w:w="0" w:type="dxa"/>
              <w:left w:w="108" w:type="dxa"/>
              <w:bottom w:w="0" w:type="dxa"/>
              <w:right w:w="108" w:type="dxa"/>
            </w:tcMar>
            <w:hideMark/>
          </w:tcPr>
          <w:p w14:paraId="50FB6844" w14:textId="77777777" w:rsidR="00841CEF" w:rsidRPr="001A778A" w:rsidRDefault="00841CEF" w:rsidP="003B5737">
            <w:pPr>
              <w:jc w:val="center"/>
              <w:rPr>
                <w:sz w:val="18"/>
                <w:szCs w:val="18"/>
              </w:rPr>
            </w:pPr>
            <w:r w:rsidRPr="001A778A">
              <w:rPr>
                <w:sz w:val="18"/>
                <w:szCs w:val="18"/>
              </w:rPr>
              <w:t>0 Decimal Places</w:t>
            </w:r>
          </w:p>
        </w:tc>
        <w:tc>
          <w:tcPr>
            <w:tcW w:w="680" w:type="dxa"/>
            <w:tcMar>
              <w:top w:w="0" w:type="dxa"/>
              <w:left w:w="108" w:type="dxa"/>
              <w:bottom w:w="0" w:type="dxa"/>
              <w:right w:w="108" w:type="dxa"/>
            </w:tcMar>
            <w:hideMark/>
          </w:tcPr>
          <w:p w14:paraId="57DBD863" w14:textId="77777777" w:rsidR="00841CEF" w:rsidRPr="001A778A" w:rsidRDefault="00841CEF" w:rsidP="003B5737">
            <w:pPr>
              <w:jc w:val="center"/>
              <w:rPr>
                <w:sz w:val="18"/>
                <w:szCs w:val="18"/>
              </w:rPr>
            </w:pPr>
            <w:r w:rsidRPr="001A778A">
              <w:rPr>
                <w:sz w:val="18"/>
                <w:szCs w:val="18"/>
              </w:rPr>
              <w:t>Cubic Feet</w:t>
            </w:r>
          </w:p>
        </w:tc>
        <w:tc>
          <w:tcPr>
            <w:tcW w:w="1022" w:type="dxa"/>
            <w:tcMar>
              <w:top w:w="0" w:type="dxa"/>
              <w:left w:w="108" w:type="dxa"/>
              <w:bottom w:w="0" w:type="dxa"/>
              <w:right w:w="108" w:type="dxa"/>
            </w:tcMar>
            <w:hideMark/>
          </w:tcPr>
          <w:p w14:paraId="28092615" w14:textId="77777777" w:rsidR="00841CEF" w:rsidRPr="001A778A" w:rsidRDefault="00841CEF" w:rsidP="003B5737">
            <w:pPr>
              <w:jc w:val="center"/>
              <w:rPr>
                <w:sz w:val="18"/>
                <w:szCs w:val="18"/>
              </w:rPr>
            </w:pPr>
            <w:r w:rsidRPr="001A778A">
              <w:rPr>
                <w:sz w:val="18"/>
                <w:szCs w:val="18"/>
              </w:rPr>
              <w:t>1 Decimal Place</w:t>
            </w:r>
          </w:p>
        </w:tc>
        <w:tc>
          <w:tcPr>
            <w:tcW w:w="880" w:type="dxa"/>
            <w:tcMar>
              <w:top w:w="0" w:type="dxa"/>
              <w:left w:w="108" w:type="dxa"/>
              <w:bottom w:w="0" w:type="dxa"/>
              <w:right w:w="108" w:type="dxa"/>
            </w:tcMar>
            <w:hideMark/>
          </w:tcPr>
          <w:p w14:paraId="0206BE7D" w14:textId="77777777" w:rsidR="00841CEF" w:rsidRPr="001A778A" w:rsidRDefault="00841CEF" w:rsidP="003B5737">
            <w:pPr>
              <w:jc w:val="center"/>
              <w:rPr>
                <w:sz w:val="18"/>
                <w:szCs w:val="18"/>
              </w:rPr>
            </w:pPr>
            <w:r w:rsidRPr="001A778A">
              <w:rPr>
                <w:sz w:val="18"/>
                <w:szCs w:val="18"/>
              </w:rPr>
              <w:t>Decimal Degrees</w:t>
            </w:r>
          </w:p>
        </w:tc>
        <w:tc>
          <w:tcPr>
            <w:tcW w:w="1022" w:type="dxa"/>
            <w:tcMar>
              <w:top w:w="0" w:type="dxa"/>
              <w:left w:w="108" w:type="dxa"/>
              <w:bottom w:w="0" w:type="dxa"/>
              <w:right w:w="108" w:type="dxa"/>
            </w:tcMar>
            <w:hideMark/>
          </w:tcPr>
          <w:p w14:paraId="57C66021" w14:textId="77777777" w:rsidR="00841CEF" w:rsidRPr="001A778A" w:rsidRDefault="00841CEF" w:rsidP="003B5737">
            <w:pPr>
              <w:jc w:val="center"/>
              <w:rPr>
                <w:sz w:val="18"/>
                <w:szCs w:val="18"/>
              </w:rPr>
            </w:pPr>
            <w:r>
              <w:rPr>
                <w:sz w:val="18"/>
                <w:szCs w:val="18"/>
              </w:rPr>
              <w:t>1/4</w:t>
            </w:r>
            <w:r w:rsidRPr="001A778A">
              <w:rPr>
                <w:sz w:val="18"/>
                <w:szCs w:val="18"/>
              </w:rPr>
              <w:t>”</w:t>
            </w:r>
          </w:p>
        </w:tc>
        <w:tc>
          <w:tcPr>
            <w:tcW w:w="860" w:type="dxa"/>
            <w:tcMar>
              <w:top w:w="0" w:type="dxa"/>
              <w:left w:w="108" w:type="dxa"/>
              <w:bottom w:w="0" w:type="dxa"/>
              <w:right w:w="108" w:type="dxa"/>
            </w:tcMar>
            <w:hideMark/>
          </w:tcPr>
          <w:p w14:paraId="7062BDF6" w14:textId="77777777" w:rsidR="00841CEF" w:rsidRPr="001A778A" w:rsidRDefault="00841CEF" w:rsidP="003B5737">
            <w:pPr>
              <w:keepNext/>
              <w:jc w:val="center"/>
              <w:rPr>
                <w:sz w:val="18"/>
                <w:szCs w:val="18"/>
              </w:rPr>
            </w:pPr>
            <w:r w:rsidRPr="001A778A">
              <w:rPr>
                <w:sz w:val="18"/>
                <w:szCs w:val="18"/>
              </w:rPr>
              <w:t>Rise/12”</w:t>
            </w:r>
          </w:p>
        </w:tc>
      </w:tr>
    </w:tbl>
    <w:p w14:paraId="05578C3E" w14:textId="77777777" w:rsidR="00841CEF" w:rsidRPr="00E866F2" w:rsidRDefault="00841CEF" w:rsidP="00841CEF">
      <w:pPr>
        <w:pStyle w:val="ListParagraph"/>
      </w:pPr>
    </w:p>
    <w:p w14:paraId="0AABE41E" w14:textId="77777777" w:rsidR="00841CEF" w:rsidRDefault="00841CEF" w:rsidP="00841CEF">
      <w:pPr>
        <w:pStyle w:val="Caption"/>
        <w:rPr>
          <w:rFonts w:ascii="Calibri" w:hAnsi="Calibri" w:cs="Calibri"/>
        </w:rPr>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Revit Model Precision</w:t>
      </w:r>
    </w:p>
    <w:p w14:paraId="7F5B1236" w14:textId="5AFCE30E" w:rsidR="00841CEF" w:rsidRDefault="00841CEF" w:rsidP="00841CEF">
      <w:r>
        <w:t xml:space="preserve">Any project-specific deviation of these precision standards needs to </w:t>
      </w:r>
      <w:r w:rsidRPr="005372C7">
        <w:t>be</w:t>
      </w:r>
      <w:r>
        <w:t xml:space="preserve"> documented in the BIM Execution Plan.</w:t>
      </w:r>
    </w:p>
    <w:p w14:paraId="2BD176B0" w14:textId="77777777" w:rsidR="00841CEF" w:rsidRPr="00E92573" w:rsidRDefault="00841CEF" w:rsidP="00841CEF">
      <w:r>
        <w:t>The following chart indicates what elements need to be modeled and to what level of precision organized by Uniformat section:</w:t>
      </w:r>
    </w:p>
    <w:tbl>
      <w:tblPr>
        <w:tblW w:w="8731" w:type="dxa"/>
        <w:tblCellMar>
          <w:top w:w="69" w:type="dxa"/>
          <w:left w:w="178" w:type="dxa"/>
          <w:right w:w="115" w:type="dxa"/>
        </w:tblCellMar>
        <w:tblLook w:val="04A0" w:firstRow="1" w:lastRow="0" w:firstColumn="1" w:lastColumn="0" w:noHBand="0" w:noVBand="1"/>
      </w:tblPr>
      <w:tblGrid>
        <w:gridCol w:w="3679"/>
        <w:gridCol w:w="5052"/>
      </w:tblGrid>
      <w:tr w:rsidR="00841CEF" w:rsidRPr="00E92573" w14:paraId="3D82DC23" w14:textId="77777777" w:rsidTr="003B5737">
        <w:trPr>
          <w:trHeight w:val="308"/>
        </w:trPr>
        <w:tc>
          <w:tcPr>
            <w:tcW w:w="3679" w:type="dxa"/>
            <w:tcBorders>
              <w:bottom w:val="single" w:sz="4" w:space="0" w:color="7F7F7F" w:themeColor="text1" w:themeTint="80"/>
            </w:tcBorders>
            <w:vAlign w:val="center"/>
          </w:tcPr>
          <w:p w14:paraId="1DC31874" w14:textId="77777777" w:rsidR="00841CEF" w:rsidRPr="00E92573" w:rsidRDefault="00841CEF" w:rsidP="003B5737">
            <w:r w:rsidRPr="00E92573">
              <w:t>UNIFORMAT SECTION</w:t>
            </w:r>
          </w:p>
        </w:tc>
        <w:tc>
          <w:tcPr>
            <w:tcW w:w="5052" w:type="dxa"/>
            <w:tcBorders>
              <w:bottom w:val="single" w:sz="4" w:space="0" w:color="7F7F7F" w:themeColor="text1" w:themeTint="80"/>
            </w:tcBorders>
          </w:tcPr>
          <w:p w14:paraId="608DDDCD" w14:textId="77777777" w:rsidR="00841CEF" w:rsidRPr="00E92573" w:rsidRDefault="00841CEF" w:rsidP="003B5737">
            <w:r w:rsidRPr="00E92573">
              <w:t>DESCRIPTION</w:t>
            </w:r>
          </w:p>
        </w:tc>
      </w:tr>
      <w:tr w:rsidR="00841CEF" w:rsidRPr="00E92573" w14:paraId="594FCC11" w14:textId="77777777" w:rsidTr="003B5737">
        <w:trPr>
          <w:trHeight w:val="2016"/>
        </w:trPr>
        <w:tc>
          <w:tcPr>
            <w:tcW w:w="36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043FC4F" w14:textId="77777777" w:rsidR="00841CEF" w:rsidRPr="00E92573" w:rsidRDefault="00841CEF" w:rsidP="003B5737">
            <w:r w:rsidRPr="00E92573">
              <w:t xml:space="preserve">B20 Exterior Vertical Enclosures </w:t>
            </w:r>
          </w:p>
          <w:p w14:paraId="2B335B7C" w14:textId="77777777" w:rsidR="00841CEF" w:rsidRPr="00E92573" w:rsidRDefault="00841CEF" w:rsidP="003B5737">
            <w:r w:rsidRPr="00E92573">
              <w:t xml:space="preserve">C10 Interior Construction </w:t>
            </w:r>
          </w:p>
        </w:tc>
        <w:tc>
          <w:tcPr>
            <w:tcW w:w="50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497664" w14:textId="77777777" w:rsidR="00841CEF" w:rsidRPr="00E92573" w:rsidRDefault="00841CEF" w:rsidP="003B5737">
            <w:r w:rsidRPr="00E92573">
              <w:t>Although standard wall and ceiling individual framing members are not modeled, any atypical framing features required for tiered ceilings, soffits, curved walls, arched ceilings, etc. should be modeled to ensure there is enough available space for all the additional framing/bracing for these components. Walls are to be modeled to the correct height and extend to the inter-ceiling space as needed for coordination.</w:t>
            </w:r>
          </w:p>
        </w:tc>
      </w:tr>
      <w:tr w:rsidR="00841CEF" w:rsidRPr="00E92573" w14:paraId="6343F16B" w14:textId="77777777" w:rsidTr="003B5737">
        <w:trPr>
          <w:trHeight w:val="874"/>
        </w:trPr>
        <w:tc>
          <w:tcPr>
            <w:tcW w:w="36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5549E30" w14:textId="77777777" w:rsidR="00841CEF" w:rsidRDefault="00841CEF" w:rsidP="003B5737">
            <w:r w:rsidRPr="00E92573">
              <w:t>D20 Plumbing</w:t>
            </w:r>
          </w:p>
          <w:p w14:paraId="7A45747F" w14:textId="77777777" w:rsidR="00841CEF" w:rsidRDefault="00841CEF" w:rsidP="003B5737">
            <w:r w:rsidRPr="00E92573">
              <w:t>D30 HVAC</w:t>
            </w:r>
          </w:p>
          <w:p w14:paraId="55931CE7" w14:textId="77777777" w:rsidR="00841CEF" w:rsidRDefault="00841CEF" w:rsidP="003B5737">
            <w:r w:rsidRPr="00E92573">
              <w:lastRenderedPageBreak/>
              <w:t xml:space="preserve">D40 Fire Protection </w:t>
            </w:r>
          </w:p>
          <w:p w14:paraId="07C8B1FF" w14:textId="77777777" w:rsidR="00841CEF" w:rsidRPr="00E92573" w:rsidRDefault="00841CEF" w:rsidP="003B5737">
            <w:r w:rsidRPr="00E92573">
              <w:t>D50 Electrical</w:t>
            </w:r>
          </w:p>
        </w:tc>
        <w:tc>
          <w:tcPr>
            <w:tcW w:w="50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14294" w14:textId="77777777" w:rsidR="00841CEF" w:rsidRPr="00E92573" w:rsidRDefault="00841CEF" w:rsidP="003B5737">
            <w:r w:rsidRPr="00FC419F">
              <w:lastRenderedPageBreak/>
              <w:t xml:space="preserve">All Equipment shall be modeled to show required clearances for maintenance, safety and operations.  </w:t>
            </w:r>
            <w:r w:rsidRPr="00FC419F">
              <w:lastRenderedPageBreak/>
              <w:t>This 3D clearance envelope should be modeled so that it will appear in clash detection</w:t>
            </w:r>
          </w:p>
        </w:tc>
      </w:tr>
      <w:tr w:rsidR="00841CEF" w:rsidRPr="00E92573" w14:paraId="361FAFD5" w14:textId="77777777" w:rsidTr="003B5737">
        <w:trPr>
          <w:trHeight w:val="874"/>
        </w:trPr>
        <w:tc>
          <w:tcPr>
            <w:tcW w:w="36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09184EA" w14:textId="77777777" w:rsidR="00841CEF" w:rsidRPr="00E92573" w:rsidRDefault="00841CEF" w:rsidP="003B5737">
            <w:r w:rsidRPr="00E92573">
              <w:lastRenderedPageBreak/>
              <w:t xml:space="preserve">D30 HVAC </w:t>
            </w:r>
          </w:p>
        </w:tc>
        <w:tc>
          <w:tcPr>
            <w:tcW w:w="50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A4E631" w14:textId="77777777" w:rsidR="00841CEF" w:rsidRPr="00E92573" w:rsidRDefault="00841CEF" w:rsidP="003B5737">
            <w:r w:rsidRPr="00E92573">
              <w:t xml:space="preserve">All ducts and air handling equipment shall be modeled to the outside face dimension adding insulation as its own entity where applicable. </w:t>
            </w:r>
          </w:p>
        </w:tc>
      </w:tr>
      <w:tr w:rsidR="00841CEF" w:rsidRPr="00E92573" w14:paraId="5F387E5A" w14:textId="77777777" w:rsidTr="003B5737">
        <w:trPr>
          <w:trHeight w:val="886"/>
        </w:trPr>
        <w:tc>
          <w:tcPr>
            <w:tcW w:w="36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A94389" w14:textId="77777777" w:rsidR="00841CEF" w:rsidRPr="00E92573" w:rsidRDefault="00841CEF" w:rsidP="003B5737">
            <w:r w:rsidRPr="00E92573">
              <w:t xml:space="preserve">D20 Plumbing </w:t>
            </w:r>
          </w:p>
          <w:p w14:paraId="1090D1B6" w14:textId="77777777" w:rsidR="00841CEF" w:rsidRPr="00E92573" w:rsidRDefault="00841CEF" w:rsidP="003B5737">
            <w:r w:rsidRPr="00E92573">
              <w:t xml:space="preserve">D30 HVAC </w:t>
            </w:r>
          </w:p>
          <w:p w14:paraId="1EC9FF2C" w14:textId="77777777" w:rsidR="00841CEF" w:rsidRPr="00E92573" w:rsidRDefault="00841CEF" w:rsidP="003B5737">
            <w:r w:rsidRPr="00E92573">
              <w:t xml:space="preserve">D40 Fire Protection </w:t>
            </w:r>
          </w:p>
        </w:tc>
        <w:tc>
          <w:tcPr>
            <w:tcW w:w="50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4EFC79" w14:textId="77777777" w:rsidR="00841CEF" w:rsidRPr="00E92573" w:rsidRDefault="00841CEF" w:rsidP="003B5737">
            <w:r w:rsidRPr="00E92573">
              <w:t xml:space="preserve">All piping </w:t>
            </w:r>
            <w:r>
              <w:t>3/4</w:t>
            </w:r>
            <w:r w:rsidRPr="00E92573">
              <w:t xml:space="preserve">” or larger shall be modeled to the outside diameter of the pipe, adding insulation as its own entity where applicable. </w:t>
            </w:r>
          </w:p>
        </w:tc>
      </w:tr>
      <w:tr w:rsidR="00841CEF" w:rsidRPr="00E92573" w14:paraId="39F3C909" w14:textId="77777777" w:rsidTr="003B5737">
        <w:trPr>
          <w:trHeight w:val="1159"/>
        </w:trPr>
        <w:tc>
          <w:tcPr>
            <w:tcW w:w="36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5543F14" w14:textId="77777777" w:rsidR="00841CEF" w:rsidRPr="00E92573" w:rsidRDefault="00841CEF" w:rsidP="003B5737">
            <w:r w:rsidRPr="00E92573">
              <w:t xml:space="preserve">D50 Electrical </w:t>
            </w:r>
          </w:p>
        </w:tc>
        <w:tc>
          <w:tcPr>
            <w:tcW w:w="50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04A9D2" w14:textId="77777777" w:rsidR="00841CEF" w:rsidRPr="00E92573" w:rsidRDefault="00841CEF" w:rsidP="003B5737">
            <w:r w:rsidRPr="00E92573">
              <w:t xml:space="preserve">Conduits </w:t>
            </w:r>
            <w:r>
              <w:t>3/4</w:t>
            </w:r>
            <w:r w:rsidRPr="00E92573">
              <w:t xml:space="preserve">” or larger and large groups of conduits </w:t>
            </w:r>
            <w:r>
              <w:t>3/4</w:t>
            </w:r>
            <w:r w:rsidRPr="00E92573">
              <w:t xml:space="preserve">” or less in </w:t>
            </w:r>
            <w:r w:rsidRPr="00A35346">
              <w:t xml:space="preserve">a </w:t>
            </w:r>
            <w:proofErr w:type="gramStart"/>
            <w:r w:rsidRPr="00A35346">
              <w:t>particular location</w:t>
            </w:r>
            <w:proofErr w:type="gramEnd"/>
            <w:r w:rsidRPr="00E92573">
              <w:t xml:space="preserve"> shall be modeled to reflect the overall space requirements. </w:t>
            </w:r>
          </w:p>
        </w:tc>
      </w:tr>
      <w:tr w:rsidR="00841CEF" w:rsidRPr="00E92573" w14:paraId="6F7377B4" w14:textId="77777777" w:rsidTr="003B5737">
        <w:trPr>
          <w:trHeight w:val="2016"/>
        </w:trPr>
        <w:tc>
          <w:tcPr>
            <w:tcW w:w="36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8743FC0" w14:textId="77777777" w:rsidR="00841CEF" w:rsidRPr="00E92573" w:rsidRDefault="00841CEF" w:rsidP="003B5737">
            <w:r w:rsidRPr="00E92573">
              <w:t xml:space="preserve">D60 Communications </w:t>
            </w:r>
          </w:p>
        </w:tc>
        <w:tc>
          <w:tcPr>
            <w:tcW w:w="50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E8EA6" w14:textId="77777777" w:rsidR="00841CEF" w:rsidRPr="00E92573" w:rsidRDefault="00841CEF" w:rsidP="003B5737">
            <w:r w:rsidRPr="00E92573">
              <w:t xml:space="preserve">For telecommunications systems, at a minimum, all cable tray, wire management hooks, conduit </w:t>
            </w:r>
            <w:r>
              <w:t>3/4</w:t>
            </w:r>
            <w:r w:rsidRPr="00E92573">
              <w:t xml:space="preserve">” or larger and communication racks and cabinets shall be modeled. Large groups of conduits </w:t>
            </w:r>
            <w:r>
              <w:t>3/4</w:t>
            </w:r>
            <w:r w:rsidRPr="00E92573">
              <w:t xml:space="preserve">” or less in a particular location shall be modeled to reflect the overall space requirements. </w:t>
            </w:r>
          </w:p>
        </w:tc>
      </w:tr>
      <w:tr w:rsidR="00841CEF" w:rsidRPr="00E92573" w14:paraId="20386926" w14:textId="77777777" w:rsidTr="003B5737">
        <w:trPr>
          <w:trHeight w:val="1800"/>
        </w:trPr>
        <w:tc>
          <w:tcPr>
            <w:tcW w:w="36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BC428E8" w14:textId="77777777" w:rsidR="00841CEF" w:rsidRPr="00E92573" w:rsidRDefault="00841CEF" w:rsidP="003B5737">
            <w:r w:rsidRPr="00E92573">
              <w:t xml:space="preserve">D70 Electronic Safety &amp; Security </w:t>
            </w:r>
          </w:p>
        </w:tc>
        <w:tc>
          <w:tcPr>
            <w:tcW w:w="50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621123" w14:textId="77777777" w:rsidR="00841CEF" w:rsidRPr="00E92573" w:rsidRDefault="00841CEF" w:rsidP="003B5737">
            <w:pPr>
              <w:keepNext/>
            </w:pPr>
            <w:r w:rsidRPr="00E92573">
              <w:t xml:space="preserve">All components of the fire alarm system shall be modeled including all panels and devices with access zones and conduit </w:t>
            </w:r>
            <w:r>
              <w:t>3/4</w:t>
            </w:r>
            <w:r w:rsidRPr="00E92573">
              <w:t xml:space="preserve">” or larger. Large groups of conduits </w:t>
            </w:r>
            <w:r>
              <w:t>3/4</w:t>
            </w:r>
            <w:r w:rsidRPr="00E92573">
              <w:t xml:space="preserve">” or less in a particular location shall be modeled to reflect the overall space requirements. </w:t>
            </w:r>
          </w:p>
        </w:tc>
      </w:tr>
    </w:tbl>
    <w:p w14:paraId="2F268CFB" w14:textId="77777777" w:rsidR="00841CEF" w:rsidRDefault="00841CEF" w:rsidP="00841CEF">
      <w:pPr>
        <w:pStyle w:val="ListParagraph"/>
      </w:pPr>
      <w:bookmarkStart w:id="9" w:name="Analysis"/>
      <w:bookmarkStart w:id="10" w:name="DetailingStandards"/>
      <w:bookmarkStart w:id="11" w:name="_Toc514923464"/>
      <w:bookmarkStart w:id="12" w:name="_Toc514930280"/>
      <w:bookmarkStart w:id="13" w:name="_Toc514938496"/>
      <w:bookmarkStart w:id="14" w:name="_Toc514938762"/>
      <w:bookmarkStart w:id="15" w:name="_Toc514939022"/>
      <w:bookmarkStart w:id="16" w:name="_Toc514939287"/>
      <w:bookmarkStart w:id="17" w:name="_Toc514939551"/>
      <w:bookmarkStart w:id="18" w:name="_Toc514939814"/>
      <w:bookmarkStart w:id="19" w:name="_Toc514940074"/>
      <w:bookmarkStart w:id="20" w:name="_Toc514940338"/>
      <w:bookmarkStart w:id="21" w:name="_Toc514940603"/>
      <w:bookmarkStart w:id="22" w:name="_Toc519082902"/>
      <w:bookmarkStart w:id="23" w:name="_Toc519083845"/>
      <w:bookmarkStart w:id="24" w:name="_Toc520383784"/>
      <w:bookmarkStart w:id="25" w:name="_Toc520383911"/>
      <w:bookmarkStart w:id="26" w:name="_Toc520384038"/>
      <w:bookmarkStart w:id="27" w:name="_Toc520384165"/>
      <w:bookmarkStart w:id="28" w:name="_Toc520384292"/>
      <w:bookmarkStart w:id="29" w:name="_Toc520384551"/>
      <w:bookmarkStart w:id="30" w:name="_Toc520384678"/>
      <w:bookmarkStart w:id="31" w:name="_Toc520384805"/>
      <w:bookmarkStart w:id="32" w:name="_Toc520384932"/>
      <w:bookmarkStart w:id="33" w:name="_Toc520385059"/>
      <w:bookmarkStart w:id="34" w:name="_Toc527547860"/>
      <w:bookmarkStart w:id="35" w:name="_Toc527548029"/>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74FB392B" w14:textId="77777777" w:rsidR="00841CEF" w:rsidRDefault="00841CEF" w:rsidP="00841CEF">
      <w:pPr>
        <w:pStyle w:val="Caption"/>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Uniformat Sections</w:t>
      </w:r>
    </w:p>
    <w:p w14:paraId="329F7ED5" w14:textId="77777777" w:rsidR="00841CEF" w:rsidRDefault="00841CEF" w:rsidP="00841CEF">
      <w:bookmarkStart w:id="36" w:name="_GoBack"/>
      <w:bookmarkEnd w:id="36"/>
    </w:p>
    <w:p w14:paraId="63D68E1D" w14:textId="77777777" w:rsidR="00841CEF" w:rsidRDefault="00841CEF" w:rsidP="00841CEF">
      <w:r>
        <w:br w:type="page"/>
      </w:r>
    </w:p>
    <w:p w14:paraId="5C84EF31" w14:textId="5E192703" w:rsidR="005102D5" w:rsidRDefault="005102D5" w:rsidP="00E535A2"/>
    <w:sectPr w:rsidR="0051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1F3F725C"/>
    <w:multiLevelType w:val="hybridMultilevel"/>
    <w:tmpl w:val="B0A2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06092"/>
    <w:multiLevelType w:val="hybridMultilevel"/>
    <w:tmpl w:val="7BB2DA7C"/>
    <w:lvl w:ilvl="0" w:tplc="2F0C4C88">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1027E4"/>
    <w:multiLevelType w:val="hybridMultilevel"/>
    <w:tmpl w:val="525051D2"/>
    <w:lvl w:ilvl="0" w:tplc="645A5A20">
      <w:start w:val="1"/>
      <w:numFmt w:val="bullet"/>
      <w:lvlText w:val=""/>
      <w:lvlJc w:val="left"/>
      <w:pPr>
        <w:ind w:left="1440" w:hanging="360"/>
      </w:pPr>
      <w:rPr>
        <w:rFonts w:ascii="Symbol" w:hAnsi="Symbol" w:hint="default"/>
        <w:color w:val="595959" w:themeColor="text1" w:themeTint="A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9E18EE"/>
    <w:multiLevelType w:val="hybridMultilevel"/>
    <w:tmpl w:val="5B6CBB3E"/>
    <w:lvl w:ilvl="0" w:tplc="E05E0202">
      <w:numFmt w:val="bullet"/>
      <w:lvlText w:val="-"/>
      <w:lvlJc w:val="left"/>
      <w:pPr>
        <w:ind w:left="1440" w:hanging="360"/>
      </w:pPr>
      <w:rPr>
        <w:rFonts w:ascii="Myriad Pro" w:eastAsiaTheme="minorHAnsi" w:hAnsi="Myriad Pro"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1B48B9"/>
    <w:multiLevelType w:val="hybridMultilevel"/>
    <w:tmpl w:val="6E24CA58"/>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335690"/>
    <w:multiLevelType w:val="hybridMultilevel"/>
    <w:tmpl w:val="124C6092"/>
    <w:lvl w:ilvl="0" w:tplc="875C462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8"/>
  </w:num>
  <w:num w:numId="4">
    <w:abstractNumId w:val="4"/>
  </w:num>
  <w:num w:numId="5">
    <w:abstractNumId w:val="2"/>
  </w:num>
  <w:num w:numId="6">
    <w:abstractNumId w:val="7"/>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036921"/>
    <w:rsid w:val="00085D32"/>
    <w:rsid w:val="001546EB"/>
    <w:rsid w:val="0016476F"/>
    <w:rsid w:val="001B7DE8"/>
    <w:rsid w:val="001D75F2"/>
    <w:rsid w:val="001F74B0"/>
    <w:rsid w:val="00213CF5"/>
    <w:rsid w:val="00234C74"/>
    <w:rsid w:val="002825D7"/>
    <w:rsid w:val="002E6ECE"/>
    <w:rsid w:val="00310968"/>
    <w:rsid w:val="00314AFE"/>
    <w:rsid w:val="00341E18"/>
    <w:rsid w:val="00354A9D"/>
    <w:rsid w:val="00383284"/>
    <w:rsid w:val="003D22C8"/>
    <w:rsid w:val="003E0C32"/>
    <w:rsid w:val="0040456C"/>
    <w:rsid w:val="004112E4"/>
    <w:rsid w:val="004223AD"/>
    <w:rsid w:val="0044562B"/>
    <w:rsid w:val="0047385F"/>
    <w:rsid w:val="004A2504"/>
    <w:rsid w:val="004B39C2"/>
    <w:rsid w:val="004B682D"/>
    <w:rsid w:val="004C017E"/>
    <w:rsid w:val="004F2921"/>
    <w:rsid w:val="005102D5"/>
    <w:rsid w:val="005338D6"/>
    <w:rsid w:val="005474BE"/>
    <w:rsid w:val="005B5BA1"/>
    <w:rsid w:val="006076F9"/>
    <w:rsid w:val="0062062E"/>
    <w:rsid w:val="006303C0"/>
    <w:rsid w:val="006522F2"/>
    <w:rsid w:val="00654D5E"/>
    <w:rsid w:val="00675B96"/>
    <w:rsid w:val="006B2165"/>
    <w:rsid w:val="006E2F1D"/>
    <w:rsid w:val="006F53B6"/>
    <w:rsid w:val="00705020"/>
    <w:rsid w:val="007212D7"/>
    <w:rsid w:val="0075234B"/>
    <w:rsid w:val="007C39D5"/>
    <w:rsid w:val="007F3964"/>
    <w:rsid w:val="00841CEF"/>
    <w:rsid w:val="00866E99"/>
    <w:rsid w:val="00887139"/>
    <w:rsid w:val="008C7437"/>
    <w:rsid w:val="008F0134"/>
    <w:rsid w:val="00942546"/>
    <w:rsid w:val="00956926"/>
    <w:rsid w:val="00966D53"/>
    <w:rsid w:val="00996FCC"/>
    <w:rsid w:val="00A2062E"/>
    <w:rsid w:val="00AF1CD0"/>
    <w:rsid w:val="00B44AA7"/>
    <w:rsid w:val="00B519DA"/>
    <w:rsid w:val="00B53593"/>
    <w:rsid w:val="00B66EB3"/>
    <w:rsid w:val="00BC7044"/>
    <w:rsid w:val="00BE6DCA"/>
    <w:rsid w:val="00BF438D"/>
    <w:rsid w:val="00C067A0"/>
    <w:rsid w:val="00C21F01"/>
    <w:rsid w:val="00C760C0"/>
    <w:rsid w:val="00C94B2B"/>
    <w:rsid w:val="00CE6D75"/>
    <w:rsid w:val="00D65F0C"/>
    <w:rsid w:val="00D738A6"/>
    <w:rsid w:val="00DD7FBA"/>
    <w:rsid w:val="00E1243D"/>
    <w:rsid w:val="00E3039F"/>
    <w:rsid w:val="00E535A2"/>
    <w:rsid w:val="00E61853"/>
    <w:rsid w:val="00E653EA"/>
    <w:rsid w:val="00EC312D"/>
    <w:rsid w:val="00F738FD"/>
    <w:rsid w:val="00FE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79E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link w:val="Heading1xChar"/>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link w:val="ListParagraphChar"/>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 w:type="character" w:customStyle="1" w:styleId="Heading1xChar">
    <w:name w:val="Heading 1x Char"/>
    <w:basedOn w:val="DefaultParagraphFont"/>
    <w:link w:val="Heading1x"/>
    <w:rsid w:val="00C760C0"/>
    <w:rPr>
      <w:rFonts w:ascii="Myriad Pro" w:hAnsi="Myriad Pro" w:cs="Times New Roman"/>
      <w:b/>
      <w:caps/>
      <w:color w:val="595959" w:themeColor="text1" w:themeTint="A6"/>
      <w:sz w:val="40"/>
      <w:szCs w:val="40"/>
    </w:rPr>
  </w:style>
  <w:style w:type="character" w:customStyle="1" w:styleId="ListParagraphChar">
    <w:name w:val="List Paragraph Char"/>
    <w:basedOn w:val="DefaultParagraphFont"/>
    <w:link w:val="ListParagraph"/>
    <w:uiPriority w:val="34"/>
    <w:rsid w:val="0016476F"/>
    <w:rPr>
      <w:rFonts w:ascii="Myriad Pro Light" w:hAnsi="Myriad Pro Light"/>
      <w:color w:val="595959" w:themeColor="text1" w:themeTint="A6"/>
    </w:rPr>
  </w:style>
  <w:style w:type="character" w:styleId="CommentReference">
    <w:name w:val="annotation reference"/>
    <w:basedOn w:val="DefaultParagraphFont"/>
    <w:uiPriority w:val="99"/>
    <w:semiHidden/>
    <w:unhideWhenUsed/>
    <w:rsid w:val="005102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2019-07-01T17:49:00Z</dcterms:created>
  <dcterms:modified xsi:type="dcterms:W3CDTF">2019-07-01T17:49:00Z</dcterms:modified>
</cp:coreProperties>
</file>