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ABDE" w14:textId="272ABB76" w:rsidR="00C9374E" w:rsidRDefault="00861987" w:rsidP="00C9374E">
      <w:pPr>
        <w:spacing w:line="360" w:lineRule="auto"/>
        <w:jc w:val="center"/>
      </w:pPr>
      <w:r>
        <w:rPr>
          <w:sz w:val="48"/>
          <w:szCs w:val="48"/>
        </w:rPr>
        <w:t>Hair Tied Back when Using Machinery</w:t>
      </w:r>
    </w:p>
    <w:p w14:paraId="79672B47" w14:textId="77777777" w:rsidR="00C9374E" w:rsidRDefault="00C9374E" w:rsidP="00C9374E">
      <w:pPr>
        <w:pStyle w:val="ListParagraph"/>
        <w:numPr>
          <w:ilvl w:val="0"/>
          <w:numId w:val="1"/>
        </w:numPr>
        <w:spacing w:line="360" w:lineRule="auto"/>
        <w:rPr>
          <w:u w:val="single"/>
        </w:rPr>
      </w:pPr>
      <w:r w:rsidRPr="000A0070">
        <w:rPr>
          <w:u w:val="single"/>
        </w:rPr>
        <w:t>PURPOSE</w:t>
      </w:r>
    </w:p>
    <w:p w14:paraId="04B599AB" w14:textId="09645837" w:rsidR="00C9374E" w:rsidRPr="007D5DB3" w:rsidRDefault="00861987" w:rsidP="00C9374E">
      <w:pPr>
        <w:pStyle w:val="ListParagraph"/>
        <w:numPr>
          <w:ilvl w:val="1"/>
          <w:numId w:val="1"/>
        </w:numPr>
        <w:spacing w:line="360" w:lineRule="auto"/>
        <w:rPr>
          <w:u w:val="single"/>
        </w:rPr>
      </w:pPr>
      <w:r>
        <w:t>To reduce hair entanglement risk by requiring personnel to tie their hair back when using machinery.</w:t>
      </w:r>
    </w:p>
    <w:p w14:paraId="45D4D5A4" w14:textId="77777777" w:rsidR="00C9374E" w:rsidRPr="000A0070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SCOPE</w:t>
      </w:r>
    </w:p>
    <w:p w14:paraId="1114C7FA" w14:textId="240C935C" w:rsidR="00C9374E" w:rsidRPr="000A0070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t>This SOP applies to all members of Fog City Rocketry who</w:t>
      </w:r>
      <w:r w:rsidR="00861987">
        <w:t xml:space="preserve"> are working in the presence of moving machinery, including, but not limited to, rotating equipment, power tools, conveyer systems, and production machinery.</w:t>
      </w:r>
      <w:r w:rsidR="005B595B">
        <w:t xml:space="preserve"> </w:t>
      </w:r>
      <w:r w:rsidR="00616309">
        <w:t>Personnel</w:t>
      </w:r>
      <w:r w:rsidR="005B595B">
        <w:t xml:space="preserve"> with hair long enough to come down past the ears or to the eyes are most directly impacted.</w:t>
      </w:r>
    </w:p>
    <w:p w14:paraId="65487BAA" w14:textId="77777777" w:rsidR="00C9374E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RESPONSIBILITIES</w:t>
      </w:r>
    </w:p>
    <w:p w14:paraId="28BD0B4A" w14:textId="32988DE8" w:rsidR="00C9374E" w:rsidRDefault="00C9374E" w:rsidP="00C9374E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Executive Responsible for Enforcement: </w:t>
      </w:r>
      <w:r w:rsidR="00861987">
        <w:t>John Doe</w:t>
      </w:r>
      <w:r>
        <w:t xml:space="preserve">, </w:t>
      </w:r>
      <w:r w:rsidR="00861987">
        <w:t>Safety Officer</w:t>
      </w:r>
      <w:r>
        <w:t>.</w:t>
      </w:r>
    </w:p>
    <w:p w14:paraId="2BBAED55" w14:textId="431937EC" w:rsidR="006A45CD" w:rsidRDefault="00861987" w:rsidP="00C9374E">
      <w:pPr>
        <w:pStyle w:val="ListParagraph"/>
        <w:numPr>
          <w:ilvl w:val="1"/>
          <w:numId w:val="1"/>
        </w:numPr>
        <w:spacing w:line="360" w:lineRule="auto"/>
      </w:pPr>
      <w:r>
        <w:t>Management shall be responsible for ensuring personnel comply with this policy, providing regular training on this standard, and supplying necessary PPE including, but not limited to, hair ties.</w:t>
      </w:r>
    </w:p>
    <w:p w14:paraId="7B0963BF" w14:textId="0E3D1780" w:rsidR="00861987" w:rsidRDefault="00861987" w:rsidP="00C9374E">
      <w:pPr>
        <w:pStyle w:val="ListParagraph"/>
        <w:numPr>
          <w:ilvl w:val="1"/>
          <w:numId w:val="1"/>
        </w:numPr>
        <w:spacing w:line="360" w:lineRule="auto"/>
      </w:pPr>
      <w:r>
        <w:t>All personnel shall be responsible for complying with this policy, using hair ties and other means to secure long hair as appropriate, and reporting concerns to management.</w:t>
      </w:r>
    </w:p>
    <w:p w14:paraId="67337348" w14:textId="77777777" w:rsidR="00C9374E" w:rsidRPr="007D5DB3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PROCEDURE</w:t>
      </w:r>
    </w:p>
    <w:p w14:paraId="2CE5189E" w14:textId="181D1E3C" w:rsidR="00C9374E" w:rsidRDefault="00861987" w:rsidP="00861987">
      <w:pPr>
        <w:pStyle w:val="ListParagraph"/>
        <w:numPr>
          <w:ilvl w:val="1"/>
          <w:numId w:val="1"/>
        </w:numPr>
        <w:spacing w:line="360" w:lineRule="auto"/>
      </w:pPr>
      <w:r>
        <w:t>Terminology</w:t>
      </w:r>
    </w:p>
    <w:p w14:paraId="08949A4A" w14:textId="61807ABB" w:rsidR="00861987" w:rsidRDefault="00861987" w:rsidP="00166A76">
      <w:pPr>
        <w:pStyle w:val="ListParagraph"/>
        <w:numPr>
          <w:ilvl w:val="2"/>
          <w:numId w:val="1"/>
        </w:numPr>
        <w:spacing w:line="360" w:lineRule="auto"/>
      </w:pPr>
      <w:r>
        <w:t>For the purposes of this SOP, the term “machinery” shall include any equipment where there is a risk of hair getting caught. This SHALL be understood to include, but not be limited to, rotating equipment, power tools, conveyer systems, and production machinery.</w:t>
      </w:r>
    </w:p>
    <w:p w14:paraId="20A06A9F" w14:textId="7BAAFE50" w:rsidR="00861987" w:rsidRDefault="00861987" w:rsidP="00861987">
      <w:pPr>
        <w:pStyle w:val="ListParagraph"/>
        <w:numPr>
          <w:ilvl w:val="1"/>
          <w:numId w:val="1"/>
        </w:numPr>
        <w:spacing w:line="360" w:lineRule="auto"/>
      </w:pPr>
      <w:r>
        <w:t>Preparing for Work</w:t>
      </w:r>
    </w:p>
    <w:p w14:paraId="7E4FFE2D" w14:textId="7BB0F672" w:rsidR="00861987" w:rsidRDefault="00861987" w:rsidP="00861987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Prior to operating any machinery, personnel SHALL ensure that hair is properly tied back and secured away from the face and any machinery.</w:t>
      </w:r>
    </w:p>
    <w:p w14:paraId="29406C8C" w14:textId="77777777" w:rsidR="00861987" w:rsidRDefault="00861987" w:rsidP="00861987">
      <w:pPr>
        <w:pStyle w:val="ListParagraph"/>
        <w:numPr>
          <w:ilvl w:val="2"/>
          <w:numId w:val="1"/>
        </w:numPr>
        <w:spacing w:line="360" w:lineRule="auto"/>
      </w:pPr>
      <w:r>
        <w:t>Remove any hair accessories, like hairpins or clips, that may fall into machinery.</w:t>
      </w:r>
    </w:p>
    <w:p w14:paraId="366CB115" w14:textId="77777777" w:rsidR="00861987" w:rsidRDefault="00861987" w:rsidP="00861987">
      <w:pPr>
        <w:pStyle w:val="ListParagraph"/>
        <w:numPr>
          <w:ilvl w:val="1"/>
          <w:numId w:val="1"/>
        </w:numPr>
        <w:spacing w:line="360" w:lineRule="auto"/>
      </w:pPr>
      <w:r>
        <w:t>Tying Back Hair</w:t>
      </w:r>
    </w:p>
    <w:p w14:paraId="72236A4C" w14:textId="77777777" w:rsidR="00861987" w:rsidRDefault="00861987" w:rsidP="00861987">
      <w:pPr>
        <w:pStyle w:val="ListParagraph"/>
        <w:numPr>
          <w:ilvl w:val="2"/>
          <w:numId w:val="1"/>
        </w:numPr>
        <w:spacing w:line="360" w:lineRule="auto"/>
      </w:pPr>
      <w:r>
        <w:t>Gather hair into a ponytail, bun, or other style such that it keeps all hair away from machinery and the front of the face.</w:t>
      </w:r>
    </w:p>
    <w:p w14:paraId="39520B0F" w14:textId="12DDD39D" w:rsidR="00861987" w:rsidRDefault="00861987" w:rsidP="00861987">
      <w:pPr>
        <w:pStyle w:val="ListParagraph"/>
        <w:numPr>
          <w:ilvl w:val="2"/>
          <w:numId w:val="1"/>
        </w:numPr>
        <w:spacing w:line="360" w:lineRule="auto"/>
      </w:pPr>
      <w:r>
        <w:t xml:space="preserve">Avoid using metal hair ties or other accessories </w:t>
      </w:r>
      <w:r w:rsidR="005B595B">
        <w:t>that present an electrical hazard near electrical machinery.</w:t>
      </w:r>
    </w:p>
    <w:p w14:paraId="5C27559F" w14:textId="5308BAA2" w:rsidR="005B595B" w:rsidRDefault="005B595B" w:rsidP="00861987">
      <w:pPr>
        <w:pStyle w:val="ListParagraph"/>
        <w:numPr>
          <w:ilvl w:val="2"/>
          <w:numId w:val="1"/>
        </w:numPr>
        <w:spacing w:line="360" w:lineRule="auto"/>
      </w:pPr>
      <w:r>
        <w:t>Regularly inspect hair to ensure there are no loose strands that may be caught in machinery.</w:t>
      </w:r>
    </w:p>
    <w:p w14:paraId="63F49D72" w14:textId="23748CD1" w:rsidR="005B595B" w:rsidRDefault="005B595B" w:rsidP="00861987">
      <w:pPr>
        <w:pStyle w:val="ListParagraph"/>
        <w:numPr>
          <w:ilvl w:val="2"/>
          <w:numId w:val="1"/>
        </w:numPr>
        <w:spacing w:line="360" w:lineRule="auto"/>
      </w:pPr>
      <w:r>
        <w:t>Regularly inspect hair ties or other securement for signs of wear or damage. Replace damage hair securement immediately.</w:t>
      </w:r>
    </w:p>
    <w:p w14:paraId="3EC634FE" w14:textId="7A9B6D48" w:rsidR="005B595B" w:rsidRDefault="005B595B" w:rsidP="00861987">
      <w:pPr>
        <w:pStyle w:val="ListParagraph"/>
        <w:numPr>
          <w:ilvl w:val="2"/>
          <w:numId w:val="1"/>
        </w:numPr>
        <w:spacing w:line="360" w:lineRule="auto"/>
      </w:pPr>
      <w:r>
        <w:t>Hair SHALL NOT be tied back in a way that prevents the effective use of other PPE, e.g., respirators.</w:t>
      </w:r>
    </w:p>
    <w:p w14:paraId="5AA187F9" w14:textId="46322454" w:rsidR="005B595B" w:rsidRDefault="005B595B" w:rsidP="005B595B">
      <w:pPr>
        <w:pStyle w:val="ListParagraph"/>
        <w:numPr>
          <w:ilvl w:val="1"/>
          <w:numId w:val="1"/>
        </w:numPr>
        <w:spacing w:line="360" w:lineRule="auto"/>
      </w:pPr>
      <w:r>
        <w:t>Maintenance</w:t>
      </w:r>
    </w:p>
    <w:p w14:paraId="39CA7322" w14:textId="543019CE" w:rsidR="005B595B" w:rsidRDefault="005B595B" w:rsidP="005B595B">
      <w:pPr>
        <w:pStyle w:val="ListParagraph"/>
        <w:numPr>
          <w:ilvl w:val="2"/>
          <w:numId w:val="1"/>
        </w:numPr>
        <w:spacing w:line="360" w:lineRule="auto"/>
      </w:pPr>
      <w:r>
        <w:t>A supply of hair ties and/or other securement SHALL be kept readily available in work areas. Damaged and worn hair securement SHALL be immediately replaced.</w:t>
      </w:r>
    </w:p>
    <w:p w14:paraId="391B8855" w14:textId="19D62CAF" w:rsidR="005B595B" w:rsidRPr="007D5DB3" w:rsidRDefault="005B595B" w:rsidP="005B595B">
      <w:pPr>
        <w:pStyle w:val="ListParagraph"/>
        <w:numPr>
          <w:ilvl w:val="2"/>
          <w:numId w:val="1"/>
        </w:numPr>
        <w:spacing w:line="360" w:lineRule="auto"/>
      </w:pPr>
      <w:r>
        <w:t>Hair securement SHALL be kept in a warm and dry place, away from direct sunlight, to ensure effectiveness.</w:t>
      </w:r>
    </w:p>
    <w:p w14:paraId="39C87264" w14:textId="77777777" w:rsidR="00C9374E" w:rsidRPr="005B595B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SAFETY</w:t>
      </w:r>
    </w:p>
    <w:p w14:paraId="7BD98EEB" w14:textId="7CFE0F69" w:rsidR="005B595B" w:rsidRDefault="005B595B" w:rsidP="005B595B">
      <w:pPr>
        <w:pStyle w:val="ListParagraph"/>
        <w:numPr>
          <w:ilvl w:val="1"/>
          <w:numId w:val="1"/>
        </w:numPr>
        <w:spacing w:line="360" w:lineRule="auto"/>
      </w:pPr>
      <w:r>
        <w:t>Hair entanglement in machinery can lead to severe injuries, including scalp avulsion, lacerations, or fractures. These hazards can be prevented by tying back long hair.</w:t>
      </w:r>
    </w:p>
    <w:p w14:paraId="1AEE7E76" w14:textId="192ACD5C" w:rsidR="005B595B" w:rsidRPr="00D41E44" w:rsidRDefault="005B595B" w:rsidP="005B595B">
      <w:pPr>
        <w:pStyle w:val="ListParagraph"/>
        <w:numPr>
          <w:ilvl w:val="1"/>
          <w:numId w:val="1"/>
        </w:numPr>
        <w:spacing w:line="360" w:lineRule="auto"/>
      </w:pPr>
      <w:r>
        <w:t xml:space="preserve">In the event of an incident involving hair entanglement, requisite first aid SHALL be immediately given to the victim. Emergency medical services </w:t>
      </w:r>
      <w:r w:rsidR="00181D4C">
        <w:t>SHOULD</w:t>
      </w:r>
      <w:r>
        <w:t xml:space="preserve"> be called as necessary.</w:t>
      </w:r>
    </w:p>
    <w:p w14:paraId="06437314" w14:textId="79960DFF" w:rsidR="005B595B" w:rsidRDefault="00C9374E" w:rsidP="00AC345B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REFERENCES AND RESOURCES</w:t>
      </w:r>
      <w:r w:rsidR="00AC345B">
        <w:t xml:space="preserve"> </w:t>
      </w:r>
    </w:p>
    <w:p w14:paraId="6013288D" w14:textId="1D46DC3D" w:rsidR="00616309" w:rsidRPr="000A0070" w:rsidRDefault="005B595B" w:rsidP="00616309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United States Department of Labor, </w:t>
      </w:r>
      <w:r w:rsidR="00616309">
        <w:t>Occupational Safety and Health Administration</w:t>
      </w:r>
      <w:r>
        <w:t>, “</w:t>
      </w:r>
      <w:r w:rsidR="00616309">
        <w:t xml:space="preserve">Personal Protective Equipment,” </w:t>
      </w:r>
      <w:hyperlink r:id="rId7" w:history="1">
        <w:r w:rsidR="00616309" w:rsidRPr="003A0D2D">
          <w:rPr>
            <w:rStyle w:val="Hyperlink"/>
          </w:rPr>
          <w:t>https://www.osha.gov/sites/default/files/publications/ppe-factsheet.pdf</w:t>
        </w:r>
      </w:hyperlink>
    </w:p>
    <w:p w14:paraId="76EA7B86" w14:textId="77777777" w:rsidR="00C9374E" w:rsidRPr="006B3E38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REVIEW AND APPROVAL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42"/>
        <w:gridCol w:w="2891"/>
        <w:gridCol w:w="2997"/>
      </w:tblGrid>
      <w:tr w:rsidR="00C9374E" w14:paraId="0850BB50" w14:textId="77777777" w:rsidTr="00366703">
        <w:tc>
          <w:tcPr>
            <w:tcW w:w="3116" w:type="dxa"/>
          </w:tcPr>
          <w:p w14:paraId="1C91B0C7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</w:t>
            </w:r>
          </w:p>
        </w:tc>
        <w:tc>
          <w:tcPr>
            <w:tcW w:w="3117" w:type="dxa"/>
          </w:tcPr>
          <w:p w14:paraId="1C3787C1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Date</w:t>
            </w:r>
          </w:p>
        </w:tc>
        <w:tc>
          <w:tcPr>
            <w:tcW w:w="3117" w:type="dxa"/>
          </w:tcPr>
          <w:p w14:paraId="195FB934" w14:textId="77777777" w:rsidR="00C9374E" w:rsidRPr="007011C9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Done/Approved By</w:t>
            </w:r>
          </w:p>
        </w:tc>
      </w:tr>
      <w:tr w:rsidR="00C9374E" w14:paraId="0BBABD8F" w14:textId="77777777" w:rsidTr="00366703">
        <w:tc>
          <w:tcPr>
            <w:tcW w:w="3116" w:type="dxa"/>
          </w:tcPr>
          <w:p w14:paraId="1C2EA1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Drafted</w:t>
            </w:r>
          </w:p>
        </w:tc>
        <w:tc>
          <w:tcPr>
            <w:tcW w:w="3117" w:type="dxa"/>
          </w:tcPr>
          <w:p w14:paraId="43E7A017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MAY 27, 2023</w:t>
            </w:r>
          </w:p>
        </w:tc>
        <w:tc>
          <w:tcPr>
            <w:tcW w:w="3117" w:type="dxa"/>
          </w:tcPr>
          <w:p w14:paraId="27F561E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Ethan Hanlon, CAO</w:t>
            </w:r>
          </w:p>
        </w:tc>
      </w:tr>
      <w:tr w:rsidR="00C9374E" w14:paraId="1448091D" w14:textId="77777777" w:rsidTr="00366703">
        <w:tc>
          <w:tcPr>
            <w:tcW w:w="3116" w:type="dxa"/>
          </w:tcPr>
          <w:p w14:paraId="1606BF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Approved by Safety Officer</w:t>
            </w:r>
          </w:p>
        </w:tc>
        <w:tc>
          <w:tcPr>
            <w:tcW w:w="3117" w:type="dxa"/>
          </w:tcPr>
          <w:p w14:paraId="1BDE7CC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41667FF7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6376BF6" w14:textId="77777777" w:rsidTr="00366703">
        <w:tc>
          <w:tcPr>
            <w:tcW w:w="3116" w:type="dxa"/>
          </w:tcPr>
          <w:p w14:paraId="2A9263F8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Approved by President/Committee</w:t>
            </w:r>
          </w:p>
        </w:tc>
        <w:tc>
          <w:tcPr>
            <w:tcW w:w="3117" w:type="dxa"/>
          </w:tcPr>
          <w:p w14:paraId="4D11F10B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44590591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9EEA533" w14:textId="77777777" w:rsidTr="00366703">
        <w:tc>
          <w:tcPr>
            <w:tcW w:w="3116" w:type="dxa"/>
          </w:tcPr>
          <w:p w14:paraId="37357F81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Effective</w:t>
            </w:r>
          </w:p>
        </w:tc>
        <w:tc>
          <w:tcPr>
            <w:tcW w:w="3117" w:type="dxa"/>
          </w:tcPr>
          <w:p w14:paraId="1A69481D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5400489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  <w:tr w:rsidR="00C9374E" w14:paraId="2AA22F0E" w14:textId="77777777" w:rsidTr="00366703">
        <w:tc>
          <w:tcPr>
            <w:tcW w:w="3116" w:type="dxa"/>
          </w:tcPr>
          <w:p w14:paraId="43445A29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Revised</w:t>
            </w:r>
          </w:p>
        </w:tc>
        <w:tc>
          <w:tcPr>
            <w:tcW w:w="3117" w:type="dxa"/>
          </w:tcPr>
          <w:p w14:paraId="3043BF6C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  <w:tc>
          <w:tcPr>
            <w:tcW w:w="3117" w:type="dxa"/>
          </w:tcPr>
          <w:p w14:paraId="3213549F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</w:p>
        </w:tc>
      </w:tr>
    </w:tbl>
    <w:p w14:paraId="2AF3F704" w14:textId="77777777" w:rsidR="00C9374E" w:rsidRPr="000A0070" w:rsidRDefault="00C9374E" w:rsidP="00C9374E">
      <w:pPr>
        <w:pStyle w:val="ListParagraph"/>
        <w:spacing w:line="360" w:lineRule="auto"/>
        <w:ind w:left="420"/>
      </w:pPr>
    </w:p>
    <w:p w14:paraId="6C582081" w14:textId="77777777" w:rsidR="00C9374E" w:rsidRPr="005369B1" w:rsidRDefault="00C9374E" w:rsidP="00C9374E">
      <w:pPr>
        <w:pStyle w:val="ListParagraph"/>
        <w:numPr>
          <w:ilvl w:val="0"/>
          <w:numId w:val="1"/>
        </w:numPr>
        <w:spacing w:line="360" w:lineRule="auto"/>
      </w:pPr>
      <w:r>
        <w:rPr>
          <w:u w:val="single"/>
        </w:rPr>
        <w:t>REVISION HISTORY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973"/>
        <w:gridCol w:w="2983"/>
        <w:gridCol w:w="2974"/>
      </w:tblGrid>
      <w:tr w:rsidR="00C9374E" w14:paraId="1EC44ED1" w14:textId="77777777" w:rsidTr="00366703">
        <w:tc>
          <w:tcPr>
            <w:tcW w:w="2973" w:type="dxa"/>
          </w:tcPr>
          <w:p w14:paraId="0BE3DCB8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Version</w:t>
            </w:r>
          </w:p>
        </w:tc>
        <w:tc>
          <w:tcPr>
            <w:tcW w:w="2983" w:type="dxa"/>
          </w:tcPr>
          <w:p w14:paraId="3F972907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Effective Date</w:t>
            </w:r>
          </w:p>
        </w:tc>
        <w:tc>
          <w:tcPr>
            <w:tcW w:w="2974" w:type="dxa"/>
          </w:tcPr>
          <w:p w14:paraId="250DD580" w14:textId="77777777" w:rsidR="00C9374E" w:rsidRPr="005369B1" w:rsidRDefault="00C9374E" w:rsidP="00366703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Notes</w:t>
            </w:r>
          </w:p>
        </w:tc>
      </w:tr>
      <w:tr w:rsidR="00C9374E" w14:paraId="19095EF9" w14:textId="77777777" w:rsidTr="00366703">
        <w:tc>
          <w:tcPr>
            <w:tcW w:w="2973" w:type="dxa"/>
          </w:tcPr>
          <w:p w14:paraId="6C106E0E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1.0.0</w:t>
            </w:r>
          </w:p>
        </w:tc>
        <w:tc>
          <w:tcPr>
            <w:tcW w:w="2983" w:type="dxa"/>
          </w:tcPr>
          <w:p w14:paraId="4D5B0FE3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JUNE 1, 2023</w:t>
            </w:r>
          </w:p>
        </w:tc>
        <w:tc>
          <w:tcPr>
            <w:tcW w:w="2974" w:type="dxa"/>
          </w:tcPr>
          <w:p w14:paraId="397D5A98" w14:textId="77777777" w:rsidR="00C9374E" w:rsidRDefault="00C9374E" w:rsidP="00366703">
            <w:pPr>
              <w:pStyle w:val="ListParagraph"/>
              <w:spacing w:line="360" w:lineRule="auto"/>
              <w:ind w:left="0"/>
            </w:pPr>
            <w:r>
              <w:t>Original version</w:t>
            </w:r>
          </w:p>
        </w:tc>
      </w:tr>
    </w:tbl>
    <w:p w14:paraId="178D4390" w14:textId="77777777" w:rsidR="00C9374E" w:rsidRPr="000A0070" w:rsidRDefault="00C9374E" w:rsidP="00C9374E">
      <w:pPr>
        <w:pStyle w:val="ListParagraph"/>
        <w:spacing w:line="360" w:lineRule="auto"/>
        <w:ind w:left="420"/>
      </w:pPr>
    </w:p>
    <w:p w14:paraId="4B455CBF" w14:textId="77777777" w:rsidR="00C9374E" w:rsidRDefault="00C9374E"/>
    <w:sectPr w:rsidR="00C9374E" w:rsidSect="004229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D9F80" w14:textId="77777777" w:rsidR="00EC0AC0" w:rsidRDefault="00EC0AC0" w:rsidP="00C9374E">
      <w:r>
        <w:separator/>
      </w:r>
    </w:p>
  </w:endnote>
  <w:endnote w:type="continuationSeparator" w:id="0">
    <w:p w14:paraId="20E83DF9" w14:textId="77777777" w:rsidR="00EC0AC0" w:rsidRDefault="00EC0AC0" w:rsidP="00C93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1335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97393A" w14:textId="06C59A04" w:rsidR="0030536D" w:rsidRDefault="0030536D" w:rsidP="00A174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66A76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4B09029" w14:textId="77777777" w:rsidR="0030536D" w:rsidRDefault="0030536D" w:rsidP="003053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04963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790CCE" w14:textId="647FD9F2" w:rsidR="0030536D" w:rsidRDefault="0030536D" w:rsidP="00A174F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9BE3A5" w14:textId="77777777" w:rsidR="0030536D" w:rsidRDefault="0030536D" w:rsidP="0030536D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63408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AD3A32" w14:textId="5B272979" w:rsidR="008515E4" w:rsidRDefault="008515E4" w:rsidP="00E40E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B4B4B1D" w14:textId="77777777" w:rsidR="00A174F5" w:rsidRDefault="00A174F5" w:rsidP="008515E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D66D" w14:textId="77777777" w:rsidR="00EC0AC0" w:rsidRDefault="00EC0AC0" w:rsidP="00C9374E">
      <w:r>
        <w:separator/>
      </w:r>
    </w:p>
  </w:footnote>
  <w:footnote w:type="continuationSeparator" w:id="0">
    <w:p w14:paraId="125770BE" w14:textId="77777777" w:rsidR="00EC0AC0" w:rsidRDefault="00EC0AC0" w:rsidP="00C93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27F82" w14:textId="24730F13" w:rsidR="00422971" w:rsidRDefault="00D20798" w:rsidP="00E40E80">
    <w:pPr>
      <w:pStyle w:val="Header"/>
      <w:framePr w:wrap="none" w:vAnchor="text" w:hAnchor="margin" w:xAlign="right" w:y="1"/>
      <w:rPr>
        <w:rStyle w:val="PageNumber"/>
      </w:rPr>
    </w:pPr>
    <w:r>
      <w:rPr>
        <w:noProof/>
      </w:rPr>
    </w:r>
    <w:r w:rsidR="00D20798">
      <w:rPr>
        <w:noProof/>
      </w:rPr>
      <w:pict w14:anchorId="6D1624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246071" o:spid="_x0000_s1027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sdt>
    <w:sdtPr>
      <w:rPr>
        <w:rStyle w:val="PageNumber"/>
      </w:rPr>
      <w:id w:val="-19083017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DDAA33" w14:textId="77777777" w:rsidR="00422971" w:rsidRDefault="00422971" w:rsidP="00E40E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EE9F04" w14:textId="77777777" w:rsidR="008515E4" w:rsidRDefault="008515E4" w:rsidP="0042297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77E64" w14:textId="75385F84" w:rsidR="00422971" w:rsidRDefault="00D20798">
    <w:pPr>
      <w:pStyle w:val="Header"/>
    </w:pPr>
    <w:r>
      <w:rPr>
        <w:noProof/>
      </w:rPr>
    </w:r>
    <w:r w:rsidR="00D20798">
      <w:rPr>
        <w:noProof/>
      </w:rPr>
      <w:pict w14:anchorId="0EB540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246072" o:spid="_x0000_s1026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174F5" w14:paraId="406AED6F" w14:textId="77777777" w:rsidTr="0033792B">
      <w:tc>
        <w:tcPr>
          <w:tcW w:w="4675" w:type="dxa"/>
        </w:tcPr>
        <w:p w14:paraId="158B64C9" w14:textId="77777777" w:rsidR="00A174F5" w:rsidRDefault="00A174F5" w:rsidP="00A174F5">
          <w:pPr>
            <w:pStyle w:val="Header"/>
          </w:pPr>
          <w:r>
            <w:rPr>
              <w:noProof/>
            </w:rPr>
            <w:drawing>
              <wp:inline distT="0" distB="0" distL="0" distR="0" wp14:anchorId="7016A5D3" wp14:editId="2FE478B4">
                <wp:extent cx="1464658" cy="446961"/>
                <wp:effectExtent l="0" t="0" r="0" b="0"/>
                <wp:docPr id="1754690376" name="Picture 175469037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2526" cy="5073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A6309D" w14:textId="77777777" w:rsidR="00A174F5" w:rsidRDefault="00A174F5" w:rsidP="00A174F5">
          <w:pPr>
            <w:pStyle w:val="Header"/>
            <w:rPr>
              <w:b/>
              <w:bCs/>
            </w:rPr>
          </w:pPr>
        </w:p>
        <w:p w14:paraId="45A3B659" w14:textId="77777777" w:rsidR="00A174F5" w:rsidRDefault="00A174F5" w:rsidP="00A174F5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Fog City Rocketry – SFSU</w:t>
          </w:r>
        </w:p>
        <w:p w14:paraId="349760D4" w14:textId="77777777" w:rsidR="00A174F5" w:rsidRPr="00FB48CE" w:rsidRDefault="00A174F5" w:rsidP="00A174F5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Standard Operating Procedure</w:t>
          </w:r>
        </w:p>
      </w:tc>
      <w:tc>
        <w:tcPr>
          <w:tcW w:w="4675" w:type="dxa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224"/>
            <w:gridCol w:w="2225"/>
          </w:tblGrid>
          <w:tr w:rsidR="00A174F5" w14:paraId="45B224F3" w14:textId="77777777" w:rsidTr="0033792B">
            <w:tc>
              <w:tcPr>
                <w:tcW w:w="2224" w:type="dxa"/>
              </w:tcPr>
              <w:p w14:paraId="2E6A7F75" w14:textId="77777777" w:rsidR="00A174F5" w:rsidRDefault="00A174F5" w:rsidP="00A174F5">
                <w:pPr>
                  <w:pStyle w:val="Header"/>
                  <w:jc w:val="right"/>
                </w:pPr>
                <w:r>
                  <w:t>Procedure</w:t>
                </w:r>
              </w:p>
            </w:tc>
            <w:tc>
              <w:tcPr>
                <w:tcW w:w="2225" w:type="dxa"/>
              </w:tcPr>
              <w:p w14:paraId="46A86832" w14:textId="77777777" w:rsidR="00A174F5" w:rsidRDefault="00A174F5" w:rsidP="00A174F5">
                <w:pPr>
                  <w:pStyle w:val="Header"/>
                  <w:jc w:val="right"/>
                </w:pPr>
                <w:r>
                  <w:t>SOP-100-23-01</w:t>
                </w:r>
              </w:p>
            </w:tc>
          </w:tr>
          <w:tr w:rsidR="00A174F5" w14:paraId="22285101" w14:textId="77777777" w:rsidTr="0033792B">
            <w:tc>
              <w:tcPr>
                <w:tcW w:w="2224" w:type="dxa"/>
              </w:tcPr>
              <w:p w14:paraId="5E404F80" w14:textId="77777777" w:rsidR="00A174F5" w:rsidRDefault="00A174F5" w:rsidP="00A174F5">
                <w:pPr>
                  <w:pStyle w:val="Header"/>
                  <w:jc w:val="right"/>
                </w:pPr>
                <w:r>
                  <w:t>Version</w:t>
                </w:r>
              </w:p>
            </w:tc>
            <w:tc>
              <w:tcPr>
                <w:tcW w:w="2225" w:type="dxa"/>
              </w:tcPr>
              <w:p w14:paraId="6436B771" w14:textId="77777777" w:rsidR="00A174F5" w:rsidRDefault="00A174F5" w:rsidP="00A174F5">
                <w:pPr>
                  <w:pStyle w:val="Header"/>
                  <w:jc w:val="right"/>
                </w:pPr>
                <w:r>
                  <w:t>1.0.0</w:t>
                </w:r>
              </w:p>
            </w:tc>
          </w:tr>
          <w:tr w:rsidR="00A174F5" w14:paraId="5C178289" w14:textId="77777777" w:rsidTr="0033792B">
            <w:tc>
              <w:tcPr>
                <w:tcW w:w="2224" w:type="dxa"/>
              </w:tcPr>
              <w:p w14:paraId="7FB85CDD" w14:textId="77777777" w:rsidR="00A174F5" w:rsidRDefault="00A174F5" w:rsidP="00A174F5">
                <w:pPr>
                  <w:pStyle w:val="Header"/>
                  <w:jc w:val="right"/>
                </w:pPr>
                <w:r>
                  <w:t>Approved?</w:t>
                </w:r>
              </w:p>
            </w:tc>
            <w:tc>
              <w:tcPr>
                <w:tcW w:w="2225" w:type="dxa"/>
              </w:tcPr>
              <w:p w14:paraId="5ECF91C1" w14:textId="77777777" w:rsidR="00A174F5" w:rsidRPr="00220652" w:rsidRDefault="00A174F5" w:rsidP="00A174F5">
                <w:pPr>
                  <w:pStyle w:val="Header"/>
                  <w:jc w:val="right"/>
                  <w:rPr>
                    <w:color w:val="FF0000"/>
                  </w:rPr>
                </w:pPr>
                <w:r w:rsidRPr="00220652">
                  <w:rPr>
                    <w:color w:val="C00000"/>
                  </w:rPr>
                  <w:t>NO</w:t>
                </w:r>
              </w:p>
            </w:tc>
          </w:tr>
          <w:tr w:rsidR="00A174F5" w14:paraId="518E448A" w14:textId="77777777" w:rsidTr="0033792B">
            <w:tc>
              <w:tcPr>
                <w:tcW w:w="2224" w:type="dxa"/>
              </w:tcPr>
              <w:p w14:paraId="0CF7B16B" w14:textId="77777777" w:rsidR="00A174F5" w:rsidRDefault="00A174F5" w:rsidP="00A174F5">
                <w:pPr>
                  <w:pStyle w:val="Header"/>
                  <w:jc w:val="right"/>
                </w:pPr>
                <w:r>
                  <w:t>Effective Dates</w:t>
                </w:r>
              </w:p>
            </w:tc>
            <w:tc>
              <w:tcPr>
                <w:tcW w:w="2225" w:type="dxa"/>
              </w:tcPr>
              <w:p w14:paraId="155DFBB6" w14:textId="77777777" w:rsidR="00A174F5" w:rsidRPr="00FB48CE" w:rsidRDefault="00A174F5" w:rsidP="00A174F5">
                <w:pPr>
                  <w:pStyle w:val="Header"/>
                  <w:jc w:val="right"/>
                </w:pPr>
                <w:r>
                  <w:t>JUNE 1, 2023, to JUNE 1, 2024</w:t>
                </w:r>
              </w:p>
            </w:tc>
          </w:tr>
        </w:tbl>
        <w:p w14:paraId="59E850A7" w14:textId="77777777" w:rsidR="00A174F5" w:rsidRPr="00FB48CE" w:rsidRDefault="00A174F5" w:rsidP="00A174F5">
          <w:pPr>
            <w:pStyle w:val="Header"/>
          </w:pPr>
        </w:p>
      </w:tc>
    </w:tr>
  </w:tbl>
  <w:p w14:paraId="6123A233" w14:textId="10A4375E" w:rsidR="00A174F5" w:rsidRDefault="00D20798" w:rsidP="00A174F5">
    <w:pPr>
      <w:pStyle w:val="Header"/>
      <w:pBdr>
        <w:bottom w:val="single" w:sz="6" w:space="1" w:color="auto"/>
      </w:pBdr>
      <w:jc w:val="center"/>
    </w:pPr>
    <w:r>
      <w:rPr>
        <w:noProof/>
      </w:rPr>
    </w:r>
    <w:r w:rsidR="00D20798">
      <w:rPr>
        <w:noProof/>
      </w:rPr>
      <w:pict w14:anchorId="06ECDE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246070" o:spid="_x0000_s1025" type="#_x0000_t136" alt="" style="position:absolute;left:0;text-align:left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5FCAF12C" w14:textId="77777777" w:rsidR="00A174F5" w:rsidRDefault="00A17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0BAD"/>
    <w:multiLevelType w:val="multilevel"/>
    <w:tmpl w:val="55564782"/>
    <w:lvl w:ilvl="0">
      <w:start w:val="1"/>
      <w:numFmt w:val="decimal"/>
      <w:lvlText w:val="%1.0"/>
      <w:lvlJc w:val="left"/>
      <w:pPr>
        <w:ind w:left="42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74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82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5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620" w:hanging="1800"/>
      </w:pPr>
      <w:rPr>
        <w:rFonts w:hint="default"/>
        <w:u w:val="none"/>
      </w:rPr>
    </w:lvl>
  </w:abstractNum>
  <w:num w:numId="1" w16cid:durableId="143559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4E"/>
    <w:rsid w:val="00166A76"/>
    <w:rsid w:val="00181D4C"/>
    <w:rsid w:val="001E4997"/>
    <w:rsid w:val="0030536D"/>
    <w:rsid w:val="00312D2B"/>
    <w:rsid w:val="003F20F3"/>
    <w:rsid w:val="00422971"/>
    <w:rsid w:val="005B595B"/>
    <w:rsid w:val="00616309"/>
    <w:rsid w:val="006A45CD"/>
    <w:rsid w:val="008515E4"/>
    <w:rsid w:val="00861987"/>
    <w:rsid w:val="00A174F5"/>
    <w:rsid w:val="00AC345B"/>
    <w:rsid w:val="00C9374E"/>
    <w:rsid w:val="00D20798"/>
    <w:rsid w:val="00EC0AC0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C6E5F"/>
  <w15:chartTrackingRefBased/>
  <w15:docId w15:val="{5B4E5268-E6EB-064D-8C0B-17A135248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7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74E"/>
  </w:style>
  <w:style w:type="paragraph" w:styleId="Footer">
    <w:name w:val="footer"/>
    <w:basedOn w:val="Normal"/>
    <w:link w:val="FooterChar"/>
    <w:uiPriority w:val="99"/>
    <w:unhideWhenUsed/>
    <w:rsid w:val="00C937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74E"/>
  </w:style>
  <w:style w:type="table" w:styleId="TableGrid">
    <w:name w:val="Table Grid"/>
    <w:basedOn w:val="TableNormal"/>
    <w:uiPriority w:val="39"/>
    <w:rsid w:val="00C9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74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7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309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30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osha.gov/sites/default/files/publications/ppe-factsheet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Francis Hanlon</dc:creator>
  <cp:keywords/>
  <dc:description/>
  <cp:lastModifiedBy>Ethan Francis Hanlon</cp:lastModifiedBy>
  <cp:revision>2</cp:revision>
  <cp:lastPrinted>2023-06-01T00:32:00Z</cp:lastPrinted>
  <dcterms:created xsi:type="dcterms:W3CDTF">2023-07-04T02:46:00Z</dcterms:created>
  <dcterms:modified xsi:type="dcterms:W3CDTF">2023-07-04T02:46:00Z</dcterms:modified>
</cp:coreProperties>
</file>