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ABDE" w14:textId="53E68FDA" w:rsidR="00C9374E" w:rsidRDefault="00884211" w:rsidP="00C9374E">
      <w:pPr>
        <w:spacing w:line="360" w:lineRule="auto"/>
        <w:jc w:val="center"/>
      </w:pPr>
      <w:r>
        <w:rPr>
          <w:sz w:val="48"/>
          <w:szCs w:val="48"/>
        </w:rPr>
        <w:t>Rocket Launch Safety Procedures</w:t>
      </w:r>
    </w:p>
    <w:p w14:paraId="79672B47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0A0070">
        <w:rPr>
          <w:u w:val="single"/>
        </w:rPr>
        <w:t>PURPOSE</w:t>
      </w:r>
    </w:p>
    <w:p w14:paraId="04B599AB" w14:textId="5C219C90" w:rsidR="00C9374E" w:rsidRPr="00DE6768" w:rsidRDefault="00F92F3D" w:rsidP="00C9374E">
      <w:pPr>
        <w:pStyle w:val="ListParagraph"/>
        <w:numPr>
          <w:ilvl w:val="1"/>
          <w:numId w:val="1"/>
        </w:numPr>
        <w:spacing w:line="360" w:lineRule="auto"/>
      </w:pPr>
      <w:r w:rsidRPr="00DE6768">
        <w:t xml:space="preserve">This serves as a </w:t>
      </w:r>
      <w:r w:rsidR="00BF2967" w:rsidRPr="00DE6768">
        <w:t xml:space="preserve">guide to reference from </w:t>
      </w:r>
      <w:proofErr w:type="gramStart"/>
      <w:r w:rsidR="00BF2967" w:rsidRPr="00DE6768">
        <w:t>in rega</w:t>
      </w:r>
      <w:r w:rsidR="001D2487" w:rsidRPr="00DE6768">
        <w:t>rds to</w:t>
      </w:r>
      <w:proofErr w:type="gramEnd"/>
      <w:r w:rsidR="001D2487" w:rsidRPr="00DE6768">
        <w:t xml:space="preserve"> rocket launch safety.</w:t>
      </w:r>
    </w:p>
    <w:p w14:paraId="45D4D5A4" w14:textId="77777777" w:rsidR="00C9374E" w:rsidRPr="000A0070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SCOPE</w:t>
      </w:r>
    </w:p>
    <w:p w14:paraId="1114C7FA" w14:textId="605CBC88" w:rsidR="00C9374E" w:rsidRPr="000A0070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This SOP applies to all members of Fog City Rocketry wh</w:t>
      </w:r>
      <w:r w:rsidR="00866443">
        <w:t>o oversee and initiate the</w:t>
      </w:r>
      <w:r w:rsidR="00855608">
        <w:t xml:space="preserve"> procedures for the</w:t>
      </w:r>
      <w:r w:rsidR="00866443">
        <w:t xml:space="preserve"> rocket launch.</w:t>
      </w:r>
    </w:p>
    <w:p w14:paraId="65487BAA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RESPONSIBILITIES</w:t>
      </w:r>
    </w:p>
    <w:p w14:paraId="28BD0B4A" w14:textId="77777777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Executive Responsible for Enforcement: </w:t>
      </w:r>
      <w:r>
        <w:t>Oskar Garcia, President.</w:t>
      </w:r>
    </w:p>
    <w:p w14:paraId="2BBAED55" w14:textId="2349DC00" w:rsidR="006A45CD" w:rsidRDefault="006A45CD" w:rsidP="00C9374E">
      <w:pPr>
        <w:pStyle w:val="ListParagraph"/>
        <w:numPr>
          <w:ilvl w:val="1"/>
          <w:numId w:val="1"/>
        </w:numPr>
        <w:spacing w:line="360" w:lineRule="auto"/>
      </w:pPr>
      <w:r>
        <w:t xml:space="preserve">Personnel who are involved in </w:t>
      </w:r>
      <w:r w:rsidR="00504156">
        <w:t xml:space="preserve">the rocket launch </w:t>
      </w:r>
      <w:r>
        <w:t>shall be responsible fo</w:t>
      </w:r>
      <w:r w:rsidR="00504156">
        <w:t xml:space="preserve">r </w:t>
      </w:r>
      <w:r w:rsidR="00186F75">
        <w:t xml:space="preserve">transporting rocket equipment, setting up a safety zone for launching a rocket, </w:t>
      </w:r>
      <w:r w:rsidR="00BA7DEF">
        <w:t xml:space="preserve">and </w:t>
      </w:r>
      <w:r w:rsidR="00966693">
        <w:t xml:space="preserve">conducting a pre-launch </w:t>
      </w:r>
      <w:r w:rsidR="005D3D93">
        <w:t xml:space="preserve">and post-launch </w:t>
      </w:r>
      <w:r w:rsidR="00966693">
        <w:t>safety check</w:t>
      </w:r>
      <w:r w:rsidR="00BA7DEF">
        <w:t>.</w:t>
      </w:r>
    </w:p>
    <w:p w14:paraId="67337348" w14:textId="77777777" w:rsidR="00C9374E" w:rsidRPr="007D5DB3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PROCEDURE</w:t>
      </w:r>
    </w:p>
    <w:p w14:paraId="5DADA5E0" w14:textId="587B2889" w:rsidR="00C9374E" w:rsidRDefault="009D4B33" w:rsidP="001D2487">
      <w:pPr>
        <w:pStyle w:val="ListParagraph"/>
        <w:numPr>
          <w:ilvl w:val="1"/>
          <w:numId w:val="1"/>
        </w:numPr>
        <w:spacing w:line="360" w:lineRule="auto"/>
      </w:pPr>
      <w:r>
        <w:t>For</w:t>
      </w:r>
      <w:r w:rsidR="00EE728A">
        <w:t xml:space="preserve"> </w:t>
      </w:r>
      <w:r w:rsidR="003E143B">
        <w:t xml:space="preserve">transporting equipment to the launch site, </w:t>
      </w:r>
      <w:r w:rsidR="000A102D">
        <w:t xml:space="preserve">the </w:t>
      </w:r>
      <w:r w:rsidR="00EE728A">
        <w:t>rocket</w:t>
      </w:r>
      <w:r w:rsidR="00B275EA">
        <w:t xml:space="preserve"> components including fuel and rocket model are to be </w:t>
      </w:r>
      <w:r w:rsidR="00C74243">
        <w:t>packed</w:t>
      </w:r>
      <w:r w:rsidR="00145A37">
        <w:t xml:space="preserve"> and shipped</w:t>
      </w:r>
      <w:r w:rsidR="00C74243">
        <w:t xml:space="preserve"> separately to minimize the possibility of </w:t>
      </w:r>
      <w:r w:rsidR="002262F8">
        <w:t xml:space="preserve">damaging </w:t>
      </w:r>
      <w:r w:rsidR="00145A37">
        <w:t xml:space="preserve">personnel, </w:t>
      </w:r>
      <w:proofErr w:type="gramStart"/>
      <w:r w:rsidR="00145A37">
        <w:t>property</w:t>
      </w:r>
      <w:proofErr w:type="gramEnd"/>
      <w:r w:rsidR="00145A37">
        <w:t xml:space="preserve"> and environment.</w:t>
      </w:r>
      <w:r w:rsidR="001E2D5C">
        <w:t xml:space="preserve"> The fuel for the rocket is to be handled carefully</w:t>
      </w:r>
      <w:r w:rsidR="00C70E59">
        <w:t xml:space="preserve"> in the transportation process.</w:t>
      </w:r>
    </w:p>
    <w:p w14:paraId="0685EBA8" w14:textId="3D4E7045" w:rsidR="00203A78" w:rsidRDefault="009D4B33" w:rsidP="007A6D1D">
      <w:pPr>
        <w:pStyle w:val="ListParagraph"/>
        <w:numPr>
          <w:ilvl w:val="1"/>
          <w:numId w:val="1"/>
        </w:numPr>
        <w:spacing w:line="360" w:lineRule="auto"/>
      </w:pPr>
      <w:r>
        <w:t xml:space="preserve">When arriving at the launch site, </w:t>
      </w:r>
      <w:r w:rsidR="006540DD">
        <w:t>ensure that the area is clear and unobstructed</w:t>
      </w:r>
      <w:r w:rsidR="00B122FB">
        <w:t xml:space="preserve">. Reserve a wide area </w:t>
      </w:r>
      <w:r w:rsidR="00050692">
        <w:t xml:space="preserve">called a safety zone to </w:t>
      </w:r>
      <w:r w:rsidR="001100F6">
        <w:t>protect personnel and property.</w:t>
      </w:r>
      <w:r w:rsidR="00B122FB">
        <w:t xml:space="preserve"> </w:t>
      </w:r>
      <w:r w:rsidR="00A576AD">
        <w:t xml:space="preserve">The fuel is to be added after the rocket is setup securely </w:t>
      </w:r>
      <w:r w:rsidR="00E86580">
        <w:t xml:space="preserve">on </w:t>
      </w:r>
      <w:r w:rsidR="00617A29">
        <w:t>the</w:t>
      </w:r>
      <w:r w:rsidR="00A576AD">
        <w:t xml:space="preserve"> launch pad.</w:t>
      </w:r>
    </w:p>
    <w:p w14:paraId="5E8D6309" w14:textId="7A4BCAC8" w:rsidR="000D69BA" w:rsidRPr="007D5DB3" w:rsidRDefault="000D69BA" w:rsidP="007A6D1D">
      <w:pPr>
        <w:pStyle w:val="ListParagraph"/>
        <w:numPr>
          <w:ilvl w:val="1"/>
          <w:numId w:val="1"/>
        </w:numPr>
        <w:spacing w:line="360" w:lineRule="auto"/>
      </w:pPr>
      <w:r>
        <w:t xml:space="preserve">As you set up the rocket, ensure that all the systems from </w:t>
      </w:r>
      <w:r w:rsidR="00FD6A8F">
        <w:t xml:space="preserve">propulsion to control </w:t>
      </w:r>
      <w:r w:rsidR="00E4771F">
        <w:t xml:space="preserve">[avionics] </w:t>
      </w:r>
      <w:r>
        <w:t>are in working order</w:t>
      </w:r>
      <w:r w:rsidR="00E4771F">
        <w:t xml:space="preserve">. Inspect the surrounding environment </w:t>
      </w:r>
      <w:r w:rsidR="00DD4402">
        <w:t>for any possible obstructions before</w:t>
      </w:r>
      <w:r w:rsidR="003936CD">
        <w:t xml:space="preserve"> launch.</w:t>
      </w:r>
      <w:r w:rsidR="0006352F">
        <w:t xml:space="preserve"> After the launch, make sure that the materials used</w:t>
      </w:r>
      <w:r w:rsidR="00E46302">
        <w:t>, like rocket parts and any remaining fuel, is handled and disposed properly.</w:t>
      </w:r>
    </w:p>
    <w:p w14:paraId="39C87264" w14:textId="77777777" w:rsidR="00C9374E" w:rsidRPr="00D41E44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SAFETY</w:t>
      </w:r>
    </w:p>
    <w:p w14:paraId="0E580989" w14:textId="7A6197B9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Possible safety considerations include</w:t>
      </w:r>
      <w:r w:rsidR="00A2659D">
        <w:t xml:space="preserve"> </w:t>
      </w:r>
      <w:r w:rsidR="004F4E6C">
        <w:t xml:space="preserve">potential damage to surrounding property </w:t>
      </w:r>
      <w:r w:rsidR="002D53C5">
        <w:t>and injury of personnel.</w:t>
      </w:r>
    </w:p>
    <w:p w14:paraId="437F6392" w14:textId="1097FA13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Hazards can be prevented by</w:t>
      </w:r>
      <w:r w:rsidR="00512B25">
        <w:t xml:space="preserve"> </w:t>
      </w:r>
      <w:r w:rsidR="00A576AD">
        <w:t>conducting a pre-launch safety check</w:t>
      </w:r>
      <w:r w:rsidR="00865C82">
        <w:t>, ensuring that the propulsion</w:t>
      </w:r>
      <w:r w:rsidR="00C873A7">
        <w:t xml:space="preserve"> and the control</w:t>
      </w:r>
      <w:r w:rsidR="00865C82">
        <w:t xml:space="preserve"> system</w:t>
      </w:r>
      <w:r w:rsidR="00C873A7">
        <w:t xml:space="preserve">s are </w:t>
      </w:r>
      <w:proofErr w:type="gramStart"/>
      <w:r w:rsidR="00C873A7">
        <w:t>functional</w:t>
      </w:r>
      <w:proofErr w:type="gramEnd"/>
      <w:r w:rsidR="0052714E">
        <w:t xml:space="preserve"> and the surrounding area is not within range of the </w:t>
      </w:r>
      <w:r w:rsidR="00942872">
        <w:t>safety zone.</w:t>
      </w:r>
    </w:p>
    <w:p w14:paraId="3A612B97" w14:textId="4511D729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Hazards can be mitigated by</w:t>
      </w:r>
      <w:r w:rsidR="000321A0">
        <w:t xml:space="preserve"> </w:t>
      </w:r>
      <w:r w:rsidR="00096837">
        <w:t xml:space="preserve">implementing exclusion zones </w:t>
      </w:r>
      <w:r w:rsidR="0071622B">
        <w:t xml:space="preserve">and notifying nearby residents </w:t>
      </w:r>
      <w:r w:rsidR="00FE5FB3">
        <w:t>of the rocket launch and the potential hazards</w:t>
      </w:r>
      <w:r w:rsidR="00A23B55">
        <w:t xml:space="preserve">. </w:t>
      </w:r>
      <w:r w:rsidR="00101200">
        <w:t xml:space="preserve">Materials used for the launch </w:t>
      </w:r>
      <w:r w:rsidR="00674D0E">
        <w:t xml:space="preserve">will be disposed properly to minimize environmental </w:t>
      </w:r>
      <w:r w:rsidR="006A119A">
        <w:t xml:space="preserve">impact. </w:t>
      </w:r>
    </w:p>
    <w:p w14:paraId="6149A4F6" w14:textId="480ED188" w:rsidR="00C9374E" w:rsidRPr="000A0070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In the event of an incident, the proper response shall be</w:t>
      </w:r>
      <w:r w:rsidR="00B41A99">
        <w:t xml:space="preserve"> administering first-aid in </w:t>
      </w:r>
      <w:r w:rsidR="00BE61C9">
        <w:t xml:space="preserve">case of an injury and </w:t>
      </w:r>
      <w:r w:rsidR="006A119A">
        <w:t>emergency services will be contacted if necessary.</w:t>
      </w:r>
      <w:r w:rsidR="004430CD">
        <w:t xml:space="preserve"> For environmental damage,</w:t>
      </w:r>
      <w:r w:rsidR="003935AB">
        <w:t xml:space="preserve"> please reach out to</w:t>
      </w:r>
      <w:r w:rsidR="004430CD">
        <w:t xml:space="preserve"> </w:t>
      </w:r>
      <w:r w:rsidR="005E5F2B">
        <w:t xml:space="preserve">emergency </w:t>
      </w:r>
      <w:r w:rsidR="00517A45">
        <w:t>services.</w:t>
      </w:r>
    </w:p>
    <w:p w14:paraId="62727EBF" w14:textId="77777777" w:rsidR="00C9374E" w:rsidRPr="0001298A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REFERENCES AND RESOURCES</w:t>
      </w:r>
    </w:p>
    <w:p w14:paraId="5D754525" w14:textId="419639A1" w:rsidR="00C9374E" w:rsidRPr="000A0070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Author, “Title,” Web URL</w:t>
      </w:r>
    </w:p>
    <w:p w14:paraId="76EA7B86" w14:textId="77777777" w:rsidR="00C9374E" w:rsidRPr="006B3E38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REVIEW AND APPROVAL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42"/>
        <w:gridCol w:w="2891"/>
        <w:gridCol w:w="2997"/>
      </w:tblGrid>
      <w:tr w:rsidR="00C9374E" w14:paraId="0850BB50" w14:textId="77777777" w:rsidTr="00366703">
        <w:tc>
          <w:tcPr>
            <w:tcW w:w="3116" w:type="dxa"/>
          </w:tcPr>
          <w:p w14:paraId="1C91B0C7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</w:t>
            </w:r>
          </w:p>
        </w:tc>
        <w:tc>
          <w:tcPr>
            <w:tcW w:w="3117" w:type="dxa"/>
          </w:tcPr>
          <w:p w14:paraId="1C3787C1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Date</w:t>
            </w:r>
          </w:p>
        </w:tc>
        <w:tc>
          <w:tcPr>
            <w:tcW w:w="3117" w:type="dxa"/>
          </w:tcPr>
          <w:p w14:paraId="195FB934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Done/Approved By</w:t>
            </w:r>
          </w:p>
        </w:tc>
      </w:tr>
      <w:tr w:rsidR="00C9374E" w14:paraId="0BBABD8F" w14:textId="77777777" w:rsidTr="00366703">
        <w:tc>
          <w:tcPr>
            <w:tcW w:w="3116" w:type="dxa"/>
          </w:tcPr>
          <w:p w14:paraId="1C2EA1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Drafted</w:t>
            </w:r>
          </w:p>
        </w:tc>
        <w:tc>
          <w:tcPr>
            <w:tcW w:w="3117" w:type="dxa"/>
          </w:tcPr>
          <w:p w14:paraId="43E7A01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MAY 27, 2023</w:t>
            </w:r>
          </w:p>
        </w:tc>
        <w:tc>
          <w:tcPr>
            <w:tcW w:w="3117" w:type="dxa"/>
          </w:tcPr>
          <w:p w14:paraId="27F561E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Ethan Hanlon, CAO</w:t>
            </w:r>
          </w:p>
        </w:tc>
      </w:tr>
      <w:tr w:rsidR="00C9374E" w14:paraId="1448091D" w14:textId="77777777" w:rsidTr="00366703">
        <w:tc>
          <w:tcPr>
            <w:tcW w:w="3116" w:type="dxa"/>
          </w:tcPr>
          <w:p w14:paraId="1606BF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Approved by Safety Officer</w:t>
            </w:r>
          </w:p>
        </w:tc>
        <w:tc>
          <w:tcPr>
            <w:tcW w:w="3117" w:type="dxa"/>
          </w:tcPr>
          <w:p w14:paraId="1BDE7CC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1667FF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6376BF6" w14:textId="77777777" w:rsidTr="00366703">
        <w:tc>
          <w:tcPr>
            <w:tcW w:w="3116" w:type="dxa"/>
          </w:tcPr>
          <w:p w14:paraId="2A9263F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Approved by President/Committee</w:t>
            </w:r>
          </w:p>
        </w:tc>
        <w:tc>
          <w:tcPr>
            <w:tcW w:w="3117" w:type="dxa"/>
          </w:tcPr>
          <w:p w14:paraId="4D11F10B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459059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9EEA533" w14:textId="77777777" w:rsidTr="00366703">
        <w:tc>
          <w:tcPr>
            <w:tcW w:w="3116" w:type="dxa"/>
          </w:tcPr>
          <w:p w14:paraId="37357F8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Effective</w:t>
            </w:r>
          </w:p>
        </w:tc>
        <w:tc>
          <w:tcPr>
            <w:tcW w:w="3117" w:type="dxa"/>
          </w:tcPr>
          <w:p w14:paraId="1A6948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5400489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AA22F0E" w14:textId="77777777" w:rsidTr="00366703">
        <w:tc>
          <w:tcPr>
            <w:tcW w:w="3116" w:type="dxa"/>
          </w:tcPr>
          <w:p w14:paraId="43445A29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Revised</w:t>
            </w:r>
          </w:p>
        </w:tc>
        <w:tc>
          <w:tcPr>
            <w:tcW w:w="3117" w:type="dxa"/>
          </w:tcPr>
          <w:p w14:paraId="3043BF6C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3213549F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</w:tbl>
    <w:p w14:paraId="2AF3F704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6C582081" w14:textId="77777777" w:rsidR="00C9374E" w:rsidRPr="005369B1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REVISION HISTORY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73"/>
        <w:gridCol w:w="2983"/>
        <w:gridCol w:w="2974"/>
      </w:tblGrid>
      <w:tr w:rsidR="00C9374E" w14:paraId="1EC44ED1" w14:textId="77777777" w:rsidTr="00366703">
        <w:tc>
          <w:tcPr>
            <w:tcW w:w="2973" w:type="dxa"/>
          </w:tcPr>
          <w:p w14:paraId="0BE3DCB8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Version</w:t>
            </w:r>
          </w:p>
        </w:tc>
        <w:tc>
          <w:tcPr>
            <w:tcW w:w="2983" w:type="dxa"/>
          </w:tcPr>
          <w:p w14:paraId="3F972907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Effective Date</w:t>
            </w:r>
          </w:p>
        </w:tc>
        <w:tc>
          <w:tcPr>
            <w:tcW w:w="2974" w:type="dxa"/>
          </w:tcPr>
          <w:p w14:paraId="250DD580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</w:tc>
      </w:tr>
      <w:tr w:rsidR="00C9374E" w14:paraId="19095EF9" w14:textId="77777777" w:rsidTr="00366703">
        <w:tc>
          <w:tcPr>
            <w:tcW w:w="2973" w:type="dxa"/>
          </w:tcPr>
          <w:p w14:paraId="6C106E0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1.0.0</w:t>
            </w:r>
          </w:p>
        </w:tc>
        <w:tc>
          <w:tcPr>
            <w:tcW w:w="2983" w:type="dxa"/>
          </w:tcPr>
          <w:p w14:paraId="4D5B0FE3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JUNE 1, 2023</w:t>
            </w:r>
          </w:p>
        </w:tc>
        <w:tc>
          <w:tcPr>
            <w:tcW w:w="2974" w:type="dxa"/>
          </w:tcPr>
          <w:p w14:paraId="397D5A9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Original version</w:t>
            </w:r>
          </w:p>
        </w:tc>
      </w:tr>
    </w:tbl>
    <w:p w14:paraId="178D4390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4B455CBF" w14:textId="77777777" w:rsidR="00C9374E" w:rsidRDefault="00C9374E"/>
    <w:sectPr w:rsidR="00C9374E" w:rsidSect="00C937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5735" w14:textId="77777777" w:rsidR="00A21EDD" w:rsidRDefault="00A21EDD" w:rsidP="00C9374E">
      <w:r>
        <w:separator/>
      </w:r>
    </w:p>
  </w:endnote>
  <w:endnote w:type="continuationSeparator" w:id="0">
    <w:p w14:paraId="375D9877" w14:textId="77777777" w:rsidR="00A21EDD" w:rsidRDefault="00A21EDD" w:rsidP="00C9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A901" w14:textId="77777777" w:rsidR="00312D2B" w:rsidRDefault="0031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8EDC" w14:textId="77777777" w:rsidR="00312D2B" w:rsidRDefault="0031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B397" w14:textId="77777777" w:rsidR="00312D2B" w:rsidRDefault="0031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F32E" w14:textId="77777777" w:rsidR="00A21EDD" w:rsidRDefault="00A21EDD" w:rsidP="00C9374E">
      <w:r>
        <w:separator/>
      </w:r>
    </w:p>
  </w:footnote>
  <w:footnote w:type="continuationSeparator" w:id="0">
    <w:p w14:paraId="5BE79A38" w14:textId="77777777" w:rsidR="00A21EDD" w:rsidRDefault="00A21EDD" w:rsidP="00C9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592B" w14:textId="44F0865F" w:rsidR="00312D2B" w:rsidRDefault="00F01576">
    <w:pPr>
      <w:pStyle w:val="Header"/>
    </w:pPr>
    <w:r>
      <w:rPr>
        <w:noProof/>
      </w:rPr>
    </w:r>
    <w:r w:rsidR="00F01576">
      <w:rPr>
        <w:noProof/>
      </w:rPr>
      <w:pict w14:anchorId="5A5FD5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3" o:spid="_x0000_s1027" type="#_x0000_t136" alt="" style="position:absolute;margin-left:0;margin-top:0;width:494.9pt;height:164.9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308E" w14:textId="70C22966" w:rsidR="00C9374E" w:rsidRDefault="00F01576">
    <w:pPr>
      <w:pStyle w:val="Header"/>
    </w:pPr>
    <w:r>
      <w:rPr>
        <w:noProof/>
      </w:rPr>
    </w:r>
    <w:r w:rsidR="00F01576">
      <w:rPr>
        <w:noProof/>
      </w:rPr>
      <w:pict w14:anchorId="63BB18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4" o:spid="_x0000_s1026" type="#_x0000_t136" alt="" style="position:absolute;margin-left:0;margin-top:0;width:494.9pt;height:164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77B185EF" w14:textId="77777777" w:rsidR="00C9374E" w:rsidRDefault="00C937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9374E" w14:paraId="706B2307" w14:textId="77777777" w:rsidTr="00366703">
      <w:tc>
        <w:tcPr>
          <w:tcW w:w="4675" w:type="dxa"/>
        </w:tcPr>
        <w:p w14:paraId="23E7C344" w14:textId="5AC367FD" w:rsidR="00C9374E" w:rsidRDefault="00C9374E" w:rsidP="00C9374E">
          <w:pPr>
            <w:pStyle w:val="Header"/>
          </w:pPr>
          <w:r>
            <w:rPr>
              <w:noProof/>
            </w:rPr>
            <w:drawing>
              <wp:inline distT="0" distB="0" distL="0" distR="0" wp14:anchorId="4589BB00" wp14:editId="4FD7BD26">
                <wp:extent cx="1464658" cy="446961"/>
                <wp:effectExtent l="0" t="0" r="0" b="0"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526" cy="507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3ABFD4" w14:textId="77777777" w:rsidR="00C9374E" w:rsidRDefault="00C9374E" w:rsidP="00C9374E">
          <w:pPr>
            <w:pStyle w:val="Header"/>
            <w:rPr>
              <w:b/>
              <w:bCs/>
            </w:rPr>
          </w:pPr>
        </w:p>
        <w:p w14:paraId="21DDDD5E" w14:textId="77777777" w:rsidR="00C9374E" w:rsidRDefault="00C9374E" w:rsidP="00C9374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Fog City Rocketry – SFSU</w:t>
          </w:r>
        </w:p>
        <w:p w14:paraId="57821F36" w14:textId="77777777" w:rsidR="00C9374E" w:rsidRPr="00FB48CE" w:rsidRDefault="00C9374E" w:rsidP="00C9374E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Standard Operating Procedure</w:t>
          </w:r>
        </w:p>
      </w:tc>
      <w:tc>
        <w:tcPr>
          <w:tcW w:w="4675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24"/>
            <w:gridCol w:w="2225"/>
          </w:tblGrid>
          <w:tr w:rsidR="00C9374E" w14:paraId="2E393ACB" w14:textId="77777777" w:rsidTr="00366703">
            <w:tc>
              <w:tcPr>
                <w:tcW w:w="2224" w:type="dxa"/>
              </w:tcPr>
              <w:p w14:paraId="35F44012" w14:textId="77777777" w:rsidR="00C9374E" w:rsidRDefault="00C9374E" w:rsidP="00C9374E">
                <w:pPr>
                  <w:pStyle w:val="Header"/>
                  <w:jc w:val="right"/>
                </w:pPr>
                <w:r>
                  <w:t>Procedure</w:t>
                </w:r>
              </w:p>
            </w:tc>
            <w:tc>
              <w:tcPr>
                <w:tcW w:w="2225" w:type="dxa"/>
              </w:tcPr>
              <w:p w14:paraId="764ACA21" w14:textId="77777777" w:rsidR="00C9374E" w:rsidRDefault="00C9374E" w:rsidP="00C9374E">
                <w:pPr>
                  <w:pStyle w:val="Header"/>
                  <w:jc w:val="right"/>
                </w:pPr>
                <w:r>
                  <w:t>SOP-999-23-01</w:t>
                </w:r>
              </w:p>
            </w:tc>
          </w:tr>
          <w:tr w:rsidR="00C9374E" w14:paraId="5966F3D1" w14:textId="77777777" w:rsidTr="00366703">
            <w:tc>
              <w:tcPr>
                <w:tcW w:w="2224" w:type="dxa"/>
              </w:tcPr>
              <w:p w14:paraId="64913950" w14:textId="77777777" w:rsidR="00C9374E" w:rsidRDefault="00C9374E" w:rsidP="00C9374E">
                <w:pPr>
                  <w:pStyle w:val="Header"/>
                  <w:jc w:val="right"/>
                </w:pPr>
                <w:r>
                  <w:t>Version</w:t>
                </w:r>
              </w:p>
            </w:tc>
            <w:tc>
              <w:tcPr>
                <w:tcW w:w="2225" w:type="dxa"/>
              </w:tcPr>
              <w:p w14:paraId="32509B6A" w14:textId="77777777" w:rsidR="00C9374E" w:rsidRDefault="00C9374E" w:rsidP="00C9374E">
                <w:pPr>
                  <w:pStyle w:val="Header"/>
                  <w:jc w:val="right"/>
                </w:pPr>
                <w:r>
                  <w:t>1.0.0</w:t>
                </w:r>
              </w:p>
            </w:tc>
          </w:tr>
          <w:tr w:rsidR="00C9374E" w14:paraId="10CE9CAC" w14:textId="77777777" w:rsidTr="00366703">
            <w:tc>
              <w:tcPr>
                <w:tcW w:w="2224" w:type="dxa"/>
              </w:tcPr>
              <w:p w14:paraId="5DA48F9C" w14:textId="77777777" w:rsidR="00C9374E" w:rsidRDefault="00C9374E" w:rsidP="00C9374E">
                <w:pPr>
                  <w:pStyle w:val="Header"/>
                  <w:jc w:val="right"/>
                </w:pPr>
                <w:r>
                  <w:t>Approved?</w:t>
                </w:r>
              </w:p>
            </w:tc>
            <w:tc>
              <w:tcPr>
                <w:tcW w:w="2225" w:type="dxa"/>
              </w:tcPr>
              <w:p w14:paraId="0D264917" w14:textId="77777777" w:rsidR="00C9374E" w:rsidRPr="00220652" w:rsidRDefault="00C9374E" w:rsidP="00C9374E">
                <w:pPr>
                  <w:pStyle w:val="Header"/>
                  <w:jc w:val="right"/>
                  <w:rPr>
                    <w:color w:val="FF0000"/>
                  </w:rPr>
                </w:pPr>
                <w:r w:rsidRPr="00220652">
                  <w:rPr>
                    <w:color w:val="C00000"/>
                  </w:rPr>
                  <w:t>NO</w:t>
                </w:r>
              </w:p>
            </w:tc>
          </w:tr>
          <w:tr w:rsidR="00C9374E" w14:paraId="79E4C36F" w14:textId="77777777" w:rsidTr="00366703">
            <w:tc>
              <w:tcPr>
                <w:tcW w:w="2224" w:type="dxa"/>
              </w:tcPr>
              <w:p w14:paraId="615D377E" w14:textId="77777777" w:rsidR="00C9374E" w:rsidRDefault="00C9374E" w:rsidP="00C9374E">
                <w:pPr>
                  <w:pStyle w:val="Header"/>
                  <w:jc w:val="right"/>
                </w:pPr>
                <w:r>
                  <w:t>Effective Dates</w:t>
                </w:r>
              </w:p>
            </w:tc>
            <w:tc>
              <w:tcPr>
                <w:tcW w:w="2225" w:type="dxa"/>
              </w:tcPr>
              <w:p w14:paraId="5026C1C7" w14:textId="77777777" w:rsidR="00C9374E" w:rsidRPr="00FB48CE" w:rsidRDefault="00C9374E" w:rsidP="00C9374E">
                <w:pPr>
                  <w:pStyle w:val="Header"/>
                  <w:jc w:val="right"/>
                </w:pPr>
                <w:r>
                  <w:t>JUNE 1, 2023, to JUNE 1, 2024</w:t>
                </w:r>
              </w:p>
            </w:tc>
          </w:tr>
        </w:tbl>
        <w:p w14:paraId="582A78DA" w14:textId="77777777" w:rsidR="00C9374E" w:rsidRPr="00FB48CE" w:rsidRDefault="00C9374E" w:rsidP="00C9374E">
          <w:pPr>
            <w:pStyle w:val="Header"/>
          </w:pPr>
        </w:p>
      </w:tc>
    </w:tr>
  </w:tbl>
  <w:p w14:paraId="086DE2C7" w14:textId="6B49CDAA" w:rsidR="00C9374E" w:rsidRDefault="00F01576" w:rsidP="00C9374E">
    <w:pPr>
      <w:pStyle w:val="Header"/>
      <w:pBdr>
        <w:bottom w:val="single" w:sz="6" w:space="1" w:color="auto"/>
      </w:pBdr>
      <w:jc w:val="center"/>
    </w:pPr>
    <w:r>
      <w:rPr>
        <w:noProof/>
      </w:rPr>
    </w:r>
    <w:r w:rsidR="00F01576">
      <w:rPr>
        <w:noProof/>
      </w:rPr>
      <w:pict w14:anchorId="0963E1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785232" o:spid="_x0000_s1025" type="#_x0000_t136" alt="" style="position:absolute;left:0;text-align:left;margin-left:0;margin-top:0;width:494.9pt;height:164.9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BAD"/>
    <w:multiLevelType w:val="multilevel"/>
    <w:tmpl w:val="55564782"/>
    <w:lvl w:ilvl="0">
      <w:start w:val="1"/>
      <w:numFmt w:val="decimal"/>
      <w:lvlText w:val="%1.0"/>
      <w:lvlJc w:val="left"/>
      <w:pPr>
        <w:ind w:left="42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5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  <w:u w:val="none"/>
      </w:rPr>
    </w:lvl>
  </w:abstractNum>
  <w:num w:numId="1" w16cid:durableId="14355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4E"/>
    <w:rsid w:val="00013662"/>
    <w:rsid w:val="000321A0"/>
    <w:rsid w:val="00050692"/>
    <w:rsid w:val="0006352F"/>
    <w:rsid w:val="00096837"/>
    <w:rsid w:val="000A102D"/>
    <w:rsid w:val="000D69BA"/>
    <w:rsid w:val="00101200"/>
    <w:rsid w:val="001100F6"/>
    <w:rsid w:val="00145A37"/>
    <w:rsid w:val="00186F75"/>
    <w:rsid w:val="001D2487"/>
    <w:rsid w:val="001E2D5C"/>
    <w:rsid w:val="00203A78"/>
    <w:rsid w:val="002262F8"/>
    <w:rsid w:val="002A32B9"/>
    <w:rsid w:val="002D11A3"/>
    <w:rsid w:val="002D53C5"/>
    <w:rsid w:val="00312D2B"/>
    <w:rsid w:val="00372433"/>
    <w:rsid w:val="003935AB"/>
    <w:rsid w:val="003936CD"/>
    <w:rsid w:val="003E143B"/>
    <w:rsid w:val="004430CD"/>
    <w:rsid w:val="004E5025"/>
    <w:rsid w:val="004F4E6C"/>
    <w:rsid w:val="00504156"/>
    <w:rsid w:val="00512B25"/>
    <w:rsid w:val="00517A45"/>
    <w:rsid w:val="0052714E"/>
    <w:rsid w:val="00534D2C"/>
    <w:rsid w:val="005D3D93"/>
    <w:rsid w:val="005E5F2B"/>
    <w:rsid w:val="00611D44"/>
    <w:rsid w:val="00617A29"/>
    <w:rsid w:val="00623AC7"/>
    <w:rsid w:val="006540DD"/>
    <w:rsid w:val="00674D0E"/>
    <w:rsid w:val="006A119A"/>
    <w:rsid w:val="006A45CD"/>
    <w:rsid w:val="0071622B"/>
    <w:rsid w:val="00744373"/>
    <w:rsid w:val="007A6D1D"/>
    <w:rsid w:val="00855608"/>
    <w:rsid w:val="00865C82"/>
    <w:rsid w:val="00866443"/>
    <w:rsid w:val="00884211"/>
    <w:rsid w:val="008D348F"/>
    <w:rsid w:val="00942872"/>
    <w:rsid w:val="00966693"/>
    <w:rsid w:val="009D4B33"/>
    <w:rsid w:val="00A04271"/>
    <w:rsid w:val="00A21EDD"/>
    <w:rsid w:val="00A23B55"/>
    <w:rsid w:val="00A2659D"/>
    <w:rsid w:val="00A576AD"/>
    <w:rsid w:val="00AA2862"/>
    <w:rsid w:val="00B122FB"/>
    <w:rsid w:val="00B275EA"/>
    <w:rsid w:val="00B41A99"/>
    <w:rsid w:val="00BA7DEF"/>
    <w:rsid w:val="00BE61C9"/>
    <w:rsid w:val="00BF2967"/>
    <w:rsid w:val="00C53E08"/>
    <w:rsid w:val="00C70E59"/>
    <w:rsid w:val="00C74243"/>
    <w:rsid w:val="00C873A7"/>
    <w:rsid w:val="00C9374E"/>
    <w:rsid w:val="00D519A8"/>
    <w:rsid w:val="00DD4402"/>
    <w:rsid w:val="00DE6768"/>
    <w:rsid w:val="00E46302"/>
    <w:rsid w:val="00E4771F"/>
    <w:rsid w:val="00E86580"/>
    <w:rsid w:val="00EE728A"/>
    <w:rsid w:val="00F01576"/>
    <w:rsid w:val="00F55422"/>
    <w:rsid w:val="00F92F3D"/>
    <w:rsid w:val="00FC516D"/>
    <w:rsid w:val="00FD6A8F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C6E5F"/>
  <w15:chartTrackingRefBased/>
  <w15:docId w15:val="{5B4E5268-E6EB-064D-8C0B-17A1352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4E"/>
  </w:style>
  <w:style w:type="paragraph" w:styleId="Footer">
    <w:name w:val="footer"/>
    <w:basedOn w:val="Normal"/>
    <w:link w:val="Foot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4E"/>
  </w:style>
  <w:style w:type="table" w:styleId="TableGrid">
    <w:name w:val="Table Grid"/>
    <w:basedOn w:val="TableNormal"/>
    <w:uiPriority w:val="39"/>
    <w:rsid w:val="00C9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Francis Hanlon</dc:creator>
  <cp:keywords/>
  <dc:description/>
  <cp:lastModifiedBy>Ethan Francis Hanlon</cp:lastModifiedBy>
  <cp:revision>2</cp:revision>
  <cp:lastPrinted>2023-06-13T00:22:00Z</cp:lastPrinted>
  <dcterms:created xsi:type="dcterms:W3CDTF">2023-07-04T02:44:00Z</dcterms:created>
  <dcterms:modified xsi:type="dcterms:W3CDTF">2023-07-04T02:44:00Z</dcterms:modified>
</cp:coreProperties>
</file>