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43F94"/>
  <w:body>
    <w:p w:rsidR="00AB026F" w:rsidRDefault="00AB026F" w:rsidP="00AB026F">
      <w:pPr>
        <w:spacing w:after="92" w:line="240" w:lineRule="auto"/>
        <w:ind w:firstLine="567"/>
        <w:jc w:val="center"/>
        <w:rPr>
          <w:rFonts w:ascii="Arial" w:eastAsia="Times New Roman" w:hAnsi="Arial" w:cs="Arial"/>
          <w:b/>
          <w:color w:val="1B1A19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noProof/>
          <w:color w:val="1B1A19"/>
          <w:sz w:val="28"/>
          <w:szCs w:val="28"/>
          <w:lang w:eastAsia="pt-BR"/>
        </w:rPr>
        <w:drawing>
          <wp:inline distT="0" distB="0" distL="0" distR="0">
            <wp:extent cx="1343924" cy="429895"/>
            <wp:effectExtent l="19050" t="0" r="8626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33" cy="43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  <w:t>ÁREA DE ATUAÇÃO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 xml:space="preserve">É uma empresa que nasceu para apoiar a transformação digital no setor público e privado. O </w:t>
      </w:r>
      <w:r w:rsidR="00AB7920"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portfólio</w:t>
      </w: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 xml:space="preserve"> de soluções abrange serviços de </w:t>
      </w:r>
      <w:proofErr w:type="gramStart"/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outsourcing(</w:t>
      </w:r>
      <w:proofErr w:type="gramEnd"/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 xml:space="preserve">processo de terceirização) e produtos como um </w:t>
      </w:r>
      <w:proofErr w:type="spellStart"/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i-ERP</w:t>
      </w:r>
      <w:proofErr w:type="spellEnd"/>
      <w:r w:rsidR="00AB792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 xml:space="preserve"> </w:t>
      </w: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(softwares que as organizações usam para gerenciar as atividades diárias), para pequenas a grandes empresas, gestão do comércio, de conselhos profissionais e também soluções de gestão.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  <w:t>VALORES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Integridade, responsabilidade e honestidade, para respeitar as regras de mercado, governo e diferentes culturas.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Comprometimento e profissionalismo no relacionamento com os clientes.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Busca constante pelo desenvolvimento de inovações tecnológicas.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Ética e postura de mercado frente à concorrência.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Valorização do relacionamento e do trabalho em equipe.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  <w:t>OBJETIVOS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Fornecer serviços para a Transformação Digital como solução competitiva ao mercado.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Satisfazer e superar as expectativas dos clientes por meio da geração de resultados.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Desenvolver parcerias de valor com o mercado.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Gerar resultados positivos para os acionistas e colaboradores.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Contribuir com o bem-estar e a qualidade de vida das pessoas.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Ser parte integrante no desenvolvimento econômico e social do País.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  <w:t>CRESCIMENTO E CAPACITAÇÃO DOS COLABORADORES.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 xml:space="preserve">A empresa investe na qualidade de </w:t>
      </w:r>
      <w:proofErr w:type="gramStart"/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trabalho,</w:t>
      </w:r>
      <w:proofErr w:type="gramEnd"/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 xml:space="preserve">capacitação e crescimento profissional dos seus colaboradores,anualmente é disponibilizado um passaporte no valor de $150 </w:t>
      </w:r>
      <w:r w:rsidRPr="00AB792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dólares</w:t>
      </w: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, que dá direito ao colaborador realizar provas de certificação,a empresa acredita que o aprendizado é um processo contínuo e buscam proporcionar aprendizado durante todo o tempo que o colaborador estiver com a empresa,investe em programas de capacitação para seus colaboradores  e novos talentos.</w:t>
      </w:r>
    </w:p>
    <w:p w:rsidR="00AB7920" w:rsidRPr="00AB7920" w:rsidRDefault="00AB792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</w:p>
    <w:p w:rsidR="005344C0" w:rsidRPr="005344C0" w:rsidRDefault="005344C0" w:rsidP="005344C0">
      <w:pPr>
        <w:spacing w:after="92" w:line="240" w:lineRule="auto"/>
        <w:ind w:firstLine="567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  <w:t>DEPOIMENTO DOS COLABORADORES</w:t>
      </w: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.</w:t>
      </w: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AB7920" w:rsidRPr="00AB7920" w:rsidTr="00AB7920">
        <w:tc>
          <w:tcPr>
            <w:tcW w:w="5303" w:type="dxa"/>
          </w:tcPr>
          <w:p w:rsidR="00AB7920" w:rsidRPr="00AB7920" w:rsidRDefault="00AB7920" w:rsidP="005344C0">
            <w:pPr>
              <w:rPr>
                <w:color w:val="FFFFFF" w:themeColor="background1"/>
              </w:rPr>
            </w:pPr>
            <w:r w:rsidRPr="00AB7920">
              <w:rPr>
                <w:noProof/>
                <w:color w:val="FFFFFF" w:themeColor="background1"/>
                <w:lang w:eastAsia="pt-BR"/>
              </w:rPr>
              <w:drawing>
                <wp:inline distT="0" distB="0" distL="0" distR="0">
                  <wp:extent cx="1533705" cy="1332579"/>
                  <wp:effectExtent l="19050" t="0" r="9345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12" cy="133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7920">
              <w:rPr>
                <w:noProof/>
                <w:color w:val="FFFFFF" w:themeColor="background1"/>
                <w:lang w:eastAsia="pt-BR"/>
              </w:rPr>
              <w:drawing>
                <wp:inline distT="0" distB="0" distL="0" distR="0">
                  <wp:extent cx="1464693" cy="1309272"/>
                  <wp:effectExtent l="19050" t="0" r="2157" b="0"/>
                  <wp:docPr id="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135" cy="1311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AB7920" w:rsidRPr="00AB7920" w:rsidRDefault="00AB7920" w:rsidP="005344C0">
            <w:pPr>
              <w:rPr>
                <w:color w:val="FFFFFF" w:themeColor="background1"/>
              </w:rPr>
            </w:pPr>
            <w:r w:rsidRPr="00AB7920">
              <w:rPr>
                <w:noProof/>
                <w:color w:val="FFFFFF" w:themeColor="background1"/>
                <w:lang w:eastAsia="pt-BR"/>
              </w:rPr>
              <w:drawing>
                <wp:inline distT="0" distB="0" distL="0" distR="0">
                  <wp:extent cx="3043327" cy="2224817"/>
                  <wp:effectExtent l="19050" t="0" r="4673" b="0"/>
                  <wp:docPr id="2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280" cy="2227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920" w:rsidRPr="00AB7920" w:rsidRDefault="00AB7920" w:rsidP="005344C0">
      <w:pPr>
        <w:rPr>
          <w:color w:val="FFFFFF" w:themeColor="background1"/>
        </w:rPr>
      </w:pPr>
      <w:r w:rsidRPr="00AB7920">
        <w:rPr>
          <w:rFonts w:ascii="Arial" w:hAnsi="Arial" w:cs="Arial"/>
          <w:color w:val="FFFFFF" w:themeColor="background1"/>
          <w:sz w:val="19"/>
          <w:szCs w:val="19"/>
          <w:highlight w:val="darkBlue"/>
          <w:shd w:val="clear" w:color="auto" w:fill="202124"/>
        </w:rPr>
        <w:t>Rua República Argentina, Ponta Aguda, </w:t>
      </w:r>
      <w:r w:rsidRPr="00AB7920">
        <w:rPr>
          <w:rStyle w:val="nfase"/>
          <w:rFonts w:ascii="Arial" w:hAnsi="Arial" w:cs="Arial"/>
          <w:b/>
          <w:bCs/>
          <w:i w:val="0"/>
          <w:iCs w:val="0"/>
          <w:color w:val="FFFFFF" w:themeColor="background1"/>
          <w:sz w:val="19"/>
          <w:szCs w:val="19"/>
          <w:highlight w:val="darkBlue"/>
          <w:shd w:val="clear" w:color="auto" w:fill="202124"/>
        </w:rPr>
        <w:t>Blumenau</w:t>
      </w:r>
      <w:r w:rsidRPr="00AB7920">
        <w:rPr>
          <w:rFonts w:ascii="Arial" w:hAnsi="Arial" w:cs="Arial"/>
          <w:color w:val="FFFFFF" w:themeColor="background1"/>
          <w:sz w:val="19"/>
          <w:szCs w:val="19"/>
          <w:highlight w:val="darkBlue"/>
          <w:shd w:val="clear" w:color="auto" w:fill="202124"/>
        </w:rPr>
        <w:t xml:space="preserve">, SC - </w:t>
      </w:r>
      <w:proofErr w:type="gramStart"/>
      <w:r w:rsidRPr="00AB7920">
        <w:rPr>
          <w:rFonts w:ascii="Arial" w:hAnsi="Arial" w:cs="Arial"/>
          <w:color w:val="FFFFFF" w:themeColor="background1"/>
          <w:sz w:val="19"/>
          <w:szCs w:val="19"/>
          <w:highlight w:val="darkBlue"/>
          <w:shd w:val="clear" w:color="auto" w:fill="202124"/>
        </w:rPr>
        <w:t>89050100</w:t>
      </w:r>
      <w:proofErr w:type="gramEnd"/>
    </w:p>
    <w:p w:rsidR="00AB026F" w:rsidRPr="00AB7920" w:rsidRDefault="00AB7920" w:rsidP="005344C0">
      <w:pPr>
        <w:rPr>
          <w:color w:val="FFFFFF" w:themeColor="background1"/>
        </w:rPr>
      </w:pPr>
      <w:r w:rsidRPr="00AB7920">
        <w:rPr>
          <w:noProof/>
          <w:color w:val="FFFFFF" w:themeColor="background1"/>
          <w:lang w:eastAsia="pt-BR"/>
        </w:rPr>
        <w:drawing>
          <wp:inline distT="0" distB="0" distL="0" distR="0">
            <wp:extent cx="2973011" cy="776378"/>
            <wp:effectExtent l="19050" t="0" r="0" b="0"/>
            <wp:docPr id="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16" cy="78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026F" w:rsidRPr="00AB7920">
        <w:rPr>
          <w:noProof/>
          <w:color w:val="FFFFFF" w:themeColor="background1"/>
          <w:lang w:eastAsia="pt-BR"/>
        </w:rPr>
        <w:drawing>
          <wp:inline distT="0" distB="0" distL="0" distR="0">
            <wp:extent cx="3336625" cy="86287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349" cy="86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C0" w:rsidRPr="005344C0" w:rsidRDefault="005344C0" w:rsidP="005344C0">
      <w:r>
        <w:rPr>
          <w:noProof/>
          <w:lang w:eastAsia="pt-BR"/>
        </w:rPr>
        <w:lastRenderedPageBreak/>
        <w:drawing>
          <wp:inline distT="0" distB="0" distL="0" distR="0">
            <wp:extent cx="6645910" cy="1418997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44C0" w:rsidRPr="005344C0" w:rsidSect="00534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344C0"/>
    <w:rsid w:val="005344C0"/>
    <w:rsid w:val="00920152"/>
    <w:rsid w:val="00AB026F"/>
    <w:rsid w:val="00AB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7439d,#223b8a,#243f94"/>
      <o:colormenu v:ext="edit" fillcolor="#243f94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4C0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AB7920"/>
    <w:rPr>
      <w:i/>
      <w:iCs/>
    </w:rPr>
  </w:style>
  <w:style w:type="table" w:styleId="Tabelacomgrade">
    <w:name w:val="Table Grid"/>
    <w:basedOn w:val="Tabelanormal"/>
    <w:uiPriority w:val="59"/>
    <w:rsid w:val="00AB7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7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879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CDB3F-1CD9-4A86-B53D-82A16758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1</cp:revision>
  <dcterms:created xsi:type="dcterms:W3CDTF">2022-06-19T22:16:00Z</dcterms:created>
  <dcterms:modified xsi:type="dcterms:W3CDTF">2022-06-19T22:49:00Z</dcterms:modified>
</cp:coreProperties>
</file>