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43F94"/>
  <w:body>
    <w:p w:rsidR="009F66EF" w:rsidRDefault="004232C5">
      <w:pPr>
        <w:spacing w:after="92" w:line="240" w:lineRule="auto"/>
        <w:ind w:firstLine="567"/>
        <w:jc w:val="center"/>
        <w:rPr>
          <w:rFonts w:ascii="Arial" w:eastAsia="Arial" w:hAnsi="Arial" w:cs="Arial"/>
          <w:b/>
          <w:color w:val="1B1A19"/>
          <w:sz w:val="20"/>
          <w:szCs w:val="20"/>
        </w:rPr>
      </w:pPr>
      <w:r>
        <w:rPr>
          <w:rFonts w:ascii="Arial" w:eastAsia="Arial" w:hAnsi="Arial" w:cs="Arial"/>
          <w:b/>
          <w:noProof/>
          <w:color w:val="1B1A19"/>
          <w:sz w:val="28"/>
          <w:szCs w:val="28"/>
        </w:rPr>
        <w:drawing>
          <wp:inline distT="0" distB="0" distL="0" distR="0">
            <wp:extent cx="1345233" cy="430314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233" cy="430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5758" w:rsidRPr="00A35758" w:rsidRDefault="00A35758" w:rsidP="00A35758">
      <w:pPr>
        <w:ind w:firstLine="567"/>
        <w:rPr>
          <w:color w:val="808080" w:themeColor="background1" w:themeShade="80"/>
          <w:sz w:val="18"/>
          <w:szCs w:val="18"/>
        </w:rPr>
      </w:pPr>
      <w:r w:rsidRPr="00A35758">
        <w:rPr>
          <w:b/>
          <w:color w:val="808080" w:themeColor="background1" w:themeShade="80"/>
          <w:sz w:val="16"/>
          <w:szCs w:val="16"/>
        </w:rPr>
        <w:t>Integrantes da equipa</w:t>
      </w:r>
      <w:r w:rsidRPr="00A35758">
        <w:rPr>
          <w:color w:val="808080" w:themeColor="background1" w:themeShade="80"/>
          <w:sz w:val="16"/>
          <w:szCs w:val="16"/>
        </w:rPr>
        <w:t xml:space="preserve">: </w:t>
      </w:r>
      <w:r w:rsidRPr="00A35758">
        <w:rPr>
          <w:color w:val="808080" w:themeColor="background1" w:themeShade="80"/>
          <w:sz w:val="18"/>
          <w:szCs w:val="18"/>
        </w:rPr>
        <w:t xml:space="preserve">Claudia </w:t>
      </w:r>
      <w:proofErr w:type="spellStart"/>
      <w:r w:rsidRPr="00A35758">
        <w:rPr>
          <w:color w:val="808080" w:themeColor="background1" w:themeShade="80"/>
          <w:sz w:val="18"/>
          <w:szCs w:val="18"/>
        </w:rPr>
        <w:t>Emilly</w:t>
      </w:r>
      <w:proofErr w:type="spellEnd"/>
      <w:r w:rsidRPr="00A35758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A35758">
        <w:rPr>
          <w:color w:val="808080" w:themeColor="background1" w:themeShade="80"/>
          <w:sz w:val="18"/>
          <w:szCs w:val="18"/>
        </w:rPr>
        <w:t>Schluetter</w:t>
      </w:r>
      <w:proofErr w:type="spellEnd"/>
      <w:r w:rsidRPr="00A35758">
        <w:rPr>
          <w:color w:val="808080" w:themeColor="background1" w:themeShade="80"/>
          <w:sz w:val="18"/>
          <w:szCs w:val="18"/>
        </w:rPr>
        <w:t xml:space="preserve">, </w:t>
      </w:r>
      <w:proofErr w:type="spellStart"/>
      <w:r w:rsidRPr="00A35758">
        <w:rPr>
          <w:color w:val="808080" w:themeColor="background1" w:themeShade="80"/>
          <w:sz w:val="18"/>
          <w:szCs w:val="18"/>
        </w:rPr>
        <w:t>Jalmir</w:t>
      </w:r>
      <w:proofErr w:type="spellEnd"/>
      <w:r w:rsidRPr="00A35758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A35758">
        <w:rPr>
          <w:color w:val="808080" w:themeColor="background1" w:themeShade="80"/>
          <w:sz w:val="18"/>
          <w:szCs w:val="18"/>
        </w:rPr>
        <w:t>Winter</w:t>
      </w:r>
      <w:proofErr w:type="spellEnd"/>
      <w:r w:rsidRPr="00A35758">
        <w:rPr>
          <w:color w:val="808080" w:themeColor="background1" w:themeShade="80"/>
          <w:sz w:val="18"/>
          <w:szCs w:val="18"/>
        </w:rPr>
        <w:t xml:space="preserve">, Wesley </w:t>
      </w:r>
      <w:proofErr w:type="spellStart"/>
      <w:r w:rsidRPr="00A35758">
        <w:rPr>
          <w:color w:val="808080" w:themeColor="background1" w:themeShade="80"/>
          <w:sz w:val="18"/>
          <w:szCs w:val="18"/>
        </w:rPr>
        <w:t>Jaguaracy</w:t>
      </w:r>
      <w:proofErr w:type="spellEnd"/>
      <w:r w:rsidRPr="00A35758">
        <w:rPr>
          <w:color w:val="808080" w:themeColor="background1" w:themeShade="80"/>
          <w:sz w:val="18"/>
          <w:szCs w:val="18"/>
        </w:rPr>
        <w:t xml:space="preserve"> de Oliveira Santos, Luiz Eduardo </w:t>
      </w:r>
      <w:proofErr w:type="spellStart"/>
      <w:r w:rsidRPr="00A35758">
        <w:rPr>
          <w:color w:val="808080" w:themeColor="background1" w:themeShade="80"/>
          <w:sz w:val="18"/>
          <w:szCs w:val="18"/>
        </w:rPr>
        <w:t>Carturano</w:t>
      </w:r>
      <w:proofErr w:type="spellEnd"/>
      <w:r w:rsidRPr="00A35758">
        <w:rPr>
          <w:color w:val="808080" w:themeColor="background1" w:themeShade="80"/>
          <w:sz w:val="18"/>
          <w:szCs w:val="18"/>
        </w:rPr>
        <w:t xml:space="preserve"> Pacheco, João Batista Roma Matos Filho e Sérgio Felipe Starke.</w:t>
      </w:r>
    </w:p>
    <w:tbl>
      <w:tblPr>
        <w:tblStyle w:val="a"/>
        <w:tblW w:w="10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03"/>
        <w:gridCol w:w="5303"/>
      </w:tblGrid>
      <w:tr w:rsidR="009F66EF" w:rsidTr="004232C5">
        <w:tc>
          <w:tcPr>
            <w:tcW w:w="5303" w:type="dxa"/>
          </w:tcPr>
          <w:p w:rsidR="009F66EF" w:rsidRDefault="009F66EF">
            <w:pPr>
              <w:spacing w:after="92"/>
              <w:ind w:firstLine="56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:rsidR="009F66EF" w:rsidRDefault="009F66EF">
            <w:pPr>
              <w:spacing w:after="92"/>
              <w:ind w:firstLine="56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:rsidR="009F66EF" w:rsidRDefault="004232C5">
            <w:pPr>
              <w:spacing w:after="92"/>
              <w:ind w:firstLine="56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ÁREA DE ATUAÇÃO</w:t>
            </w:r>
          </w:p>
          <w:p w:rsidR="009F66EF" w:rsidRDefault="004232C5">
            <w:pPr>
              <w:spacing w:after="92"/>
              <w:ind w:firstLine="567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 xml:space="preserve">É uma empresa que nasceu para apoiar a transformação digital no setor público e privado. O portfólio de soluções abrange serviços de </w:t>
            </w:r>
            <w:r w:rsidRPr="00A21EED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outsourcing</w:t>
            </w:r>
            <w:r w:rsidR="00A21EED">
              <w:rPr>
                <w:rFonts w:ascii="Arial" w:eastAsia="Arial" w:hAnsi="Arial" w:cs="Arial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 xml:space="preserve">(processo de terceirização) e produtos como um </w:t>
            </w:r>
            <w:proofErr w:type="spellStart"/>
            <w:r w:rsidRPr="00A21EED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i-ERP</w:t>
            </w:r>
            <w:proofErr w:type="spellEnd"/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 xml:space="preserve"> (softwares que as organizações usam para gerenciar as ativi</w:t>
            </w: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dades diárias), para pequenas a grandes empresas, gestão do comércio, de conselhos profissionais e também soluções de gestão.</w:t>
            </w:r>
          </w:p>
        </w:tc>
        <w:tc>
          <w:tcPr>
            <w:tcW w:w="5303" w:type="dxa"/>
          </w:tcPr>
          <w:p w:rsidR="009F66EF" w:rsidRDefault="004232C5">
            <w:pPr>
              <w:spacing w:after="92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  <w:color w:val="FFFFFF"/>
              </w:rPr>
              <w:drawing>
                <wp:inline distT="0" distB="0" distL="0" distR="0">
                  <wp:extent cx="3047280" cy="2227707"/>
                  <wp:effectExtent l="0" t="0" r="0" b="0"/>
                  <wp:docPr id="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280" cy="22277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2C5" w:rsidTr="004232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5303" w:type="dxa"/>
          </w:tcPr>
          <w:p w:rsidR="004232C5" w:rsidRDefault="004232C5" w:rsidP="00BE5FBD">
            <w:pPr>
              <w:spacing w:after="92"/>
              <w:rPr>
                <w:b/>
                <w:color w:val="FFFFFF"/>
                <w:sz w:val="16"/>
                <w:szCs w:val="16"/>
              </w:rPr>
            </w:pPr>
          </w:p>
          <w:p w:rsidR="004232C5" w:rsidRDefault="004232C5" w:rsidP="00BE5FBD">
            <w:pPr>
              <w:spacing w:after="92"/>
              <w:rPr>
                <w:color w:val="FFFFFF"/>
                <w:sz w:val="16"/>
                <w:szCs w:val="16"/>
              </w:rPr>
            </w:pPr>
            <w:proofErr w:type="spellStart"/>
            <w:r w:rsidRPr="00A21EED">
              <w:rPr>
                <w:b/>
                <w:color w:val="FFFFFF"/>
                <w:sz w:val="16"/>
                <w:szCs w:val="16"/>
              </w:rPr>
              <w:t>Capability</w:t>
            </w:r>
            <w:proofErr w:type="spellEnd"/>
            <w:r w:rsidRPr="00A21EED">
              <w:rPr>
                <w:b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A21EED">
              <w:rPr>
                <w:b/>
                <w:color w:val="FFFFFF"/>
                <w:sz w:val="16"/>
                <w:szCs w:val="16"/>
              </w:rPr>
              <w:t>Maturity</w:t>
            </w:r>
            <w:proofErr w:type="spellEnd"/>
            <w:r w:rsidRPr="00A21EED">
              <w:rPr>
                <w:b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A21EED">
              <w:rPr>
                <w:b/>
                <w:color w:val="FFFFFF"/>
                <w:sz w:val="16"/>
                <w:szCs w:val="16"/>
              </w:rPr>
              <w:t>Model</w:t>
            </w:r>
            <w:proofErr w:type="spellEnd"/>
            <w:r w:rsidRPr="00A21EED">
              <w:rPr>
                <w:b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A21EED">
              <w:rPr>
                <w:b/>
                <w:color w:val="FFFFFF"/>
                <w:sz w:val="16"/>
                <w:szCs w:val="16"/>
              </w:rPr>
              <w:t>integration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“CMMI”: </w:t>
            </w:r>
          </w:p>
          <w:p w:rsidR="004232C5" w:rsidRDefault="004232C5" w:rsidP="00BE5FBD">
            <w:pPr>
              <w:spacing w:after="92"/>
              <w:ind w:firstLine="284"/>
              <w:rPr>
                <w:b/>
                <w:color w:val="FFFFFF"/>
                <w:sz w:val="16"/>
                <w:szCs w:val="16"/>
              </w:rPr>
            </w:pPr>
            <w:proofErr w:type="gramStart"/>
            <w:r w:rsidRPr="00935913">
              <w:rPr>
                <w:b/>
                <w:color w:val="FFFFFF"/>
                <w:sz w:val="16"/>
                <w:szCs w:val="16"/>
              </w:rPr>
              <w:t>Modelo de referencia, que contem praticas</w:t>
            </w:r>
            <w:proofErr w:type="gramEnd"/>
            <w:r w:rsidRPr="00935913">
              <w:rPr>
                <w:b/>
                <w:color w:val="FFFFFF"/>
                <w:sz w:val="16"/>
                <w:szCs w:val="16"/>
              </w:rPr>
              <w:t xml:space="preserve"> necessárias para maturidade do processo de desenvolvimento de software.</w:t>
            </w:r>
          </w:p>
          <w:p w:rsidR="004232C5" w:rsidRDefault="004232C5" w:rsidP="00BE5FBD">
            <w:pPr>
              <w:spacing w:after="92"/>
              <w:ind w:firstLine="284"/>
              <w:rPr>
                <w:color w:val="FFFFFF"/>
                <w:sz w:val="16"/>
                <w:szCs w:val="16"/>
              </w:rPr>
            </w:pPr>
            <w:r w:rsidRPr="009E2183">
              <w:rPr>
                <w:color w:val="FFFFFF"/>
                <w:sz w:val="16"/>
                <w:szCs w:val="16"/>
              </w:rPr>
              <w:t>Para adquirir os créditos são necessários ama boa equipe “grupos” de gestão como: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 w:rsidRPr="00935913">
              <w:rPr>
                <w:b/>
                <w:color w:val="FFFFFF"/>
                <w:sz w:val="16"/>
                <w:szCs w:val="16"/>
              </w:rPr>
              <w:t>SQA</w:t>
            </w:r>
            <w:r w:rsidRPr="001A6ECB">
              <w:rPr>
                <w:b/>
                <w:color w:val="FFFFFF" w:themeColor="background1"/>
                <w:sz w:val="16"/>
                <w:szCs w:val="16"/>
              </w:rPr>
              <w:t>,</w:t>
            </w:r>
            <w:r w:rsidRPr="001A6ECB">
              <w:rPr>
                <w:color w:val="FFFFFF" w:themeColor="background1"/>
                <w:sz w:val="16"/>
                <w:szCs w:val="16"/>
              </w:rPr>
              <w:t xml:space="preserve"> (</w:t>
            </w:r>
            <w:r w:rsidRPr="001A6ECB">
              <w:rPr>
                <w:color w:val="A6A6A6" w:themeColor="background1" w:themeShade="A6"/>
                <w:sz w:val="16"/>
                <w:szCs w:val="16"/>
              </w:rPr>
              <w:t xml:space="preserve">Software </w:t>
            </w:r>
            <w:proofErr w:type="spellStart"/>
            <w:r w:rsidRPr="001A6ECB">
              <w:rPr>
                <w:color w:val="A6A6A6" w:themeColor="background1" w:themeShade="A6"/>
                <w:sz w:val="16"/>
                <w:szCs w:val="16"/>
              </w:rPr>
              <w:t>Quality</w:t>
            </w:r>
            <w:proofErr w:type="spellEnd"/>
            <w:r w:rsidRPr="001A6ECB">
              <w:rPr>
                <w:color w:val="A6A6A6" w:themeColor="background1" w:themeShade="A6"/>
                <w:sz w:val="16"/>
                <w:szCs w:val="16"/>
              </w:rPr>
              <w:t xml:space="preserve"> </w:t>
            </w:r>
            <w:proofErr w:type="spellStart"/>
            <w:r w:rsidRPr="001A6ECB">
              <w:rPr>
                <w:color w:val="A6A6A6" w:themeColor="background1" w:themeShade="A6"/>
                <w:sz w:val="16"/>
                <w:szCs w:val="16"/>
              </w:rPr>
              <w:t>Asuurance</w:t>
            </w:r>
            <w:proofErr w:type="spellEnd"/>
            <w:r w:rsidRPr="001A6ECB">
              <w:rPr>
                <w:color w:val="FFFFFF" w:themeColor="background1"/>
                <w:sz w:val="16"/>
                <w:szCs w:val="16"/>
              </w:rPr>
              <w:t>)</w:t>
            </w:r>
            <w:r>
              <w:rPr>
                <w:color w:val="FFFFFF"/>
                <w:sz w:val="16"/>
                <w:szCs w:val="16"/>
              </w:rPr>
              <w:t xml:space="preserve"> G</w:t>
            </w:r>
            <w:r w:rsidRPr="00935913">
              <w:rPr>
                <w:color w:val="FFFFFF"/>
                <w:sz w:val="16"/>
                <w:szCs w:val="16"/>
              </w:rPr>
              <w:t>arante a qualidade do software</w:t>
            </w:r>
            <w:r>
              <w:rPr>
                <w:color w:val="FFFFFF"/>
                <w:sz w:val="16"/>
                <w:szCs w:val="16"/>
              </w:rPr>
              <w:t xml:space="preserve">. </w:t>
            </w:r>
            <w:r w:rsidRPr="009E2183">
              <w:rPr>
                <w:b/>
                <w:color w:val="FFFFFF"/>
                <w:sz w:val="16"/>
                <w:szCs w:val="16"/>
              </w:rPr>
              <w:t>S</w:t>
            </w:r>
            <w:r>
              <w:rPr>
                <w:b/>
                <w:color w:val="FFFFFF"/>
                <w:sz w:val="16"/>
                <w:szCs w:val="16"/>
              </w:rPr>
              <w:t>E</w:t>
            </w:r>
            <w:r w:rsidRPr="009E2183">
              <w:rPr>
                <w:b/>
                <w:color w:val="FFFFFF"/>
                <w:sz w:val="16"/>
                <w:szCs w:val="16"/>
              </w:rPr>
              <w:t>PG</w:t>
            </w:r>
            <w:r>
              <w:rPr>
                <w:b/>
                <w:color w:val="FFFFFF"/>
                <w:sz w:val="16"/>
                <w:szCs w:val="16"/>
              </w:rPr>
              <w:t xml:space="preserve">, </w:t>
            </w:r>
            <w:r w:rsidRPr="001A6ECB">
              <w:rPr>
                <w:color w:val="FFFFFF" w:themeColor="background1"/>
                <w:sz w:val="16"/>
                <w:szCs w:val="16"/>
              </w:rPr>
              <w:t>(</w:t>
            </w:r>
            <w:r w:rsidRPr="001A6ECB">
              <w:rPr>
                <w:color w:val="A6A6A6" w:themeColor="background1" w:themeShade="A6"/>
                <w:sz w:val="16"/>
                <w:szCs w:val="16"/>
              </w:rPr>
              <w:t xml:space="preserve">Software </w:t>
            </w:r>
            <w:proofErr w:type="spellStart"/>
            <w:r w:rsidRPr="001A6ECB">
              <w:rPr>
                <w:color w:val="A6A6A6" w:themeColor="background1" w:themeShade="A6"/>
                <w:sz w:val="16"/>
                <w:szCs w:val="16"/>
              </w:rPr>
              <w:t>Engineering</w:t>
            </w:r>
            <w:proofErr w:type="spellEnd"/>
            <w:r w:rsidRPr="001A6ECB">
              <w:rPr>
                <w:color w:val="A6A6A6" w:themeColor="background1" w:themeShade="A6"/>
                <w:sz w:val="16"/>
                <w:szCs w:val="16"/>
              </w:rPr>
              <w:t xml:space="preserve"> </w:t>
            </w:r>
            <w:proofErr w:type="spellStart"/>
            <w:r w:rsidRPr="001A6ECB">
              <w:rPr>
                <w:color w:val="A6A6A6" w:themeColor="background1" w:themeShade="A6"/>
                <w:sz w:val="16"/>
                <w:szCs w:val="16"/>
              </w:rPr>
              <w:t>Process</w:t>
            </w:r>
            <w:proofErr w:type="spellEnd"/>
            <w:r w:rsidRPr="001A6ECB">
              <w:rPr>
                <w:color w:val="A6A6A6" w:themeColor="background1" w:themeShade="A6"/>
                <w:sz w:val="16"/>
                <w:szCs w:val="16"/>
              </w:rPr>
              <w:t xml:space="preserve"> </w:t>
            </w:r>
            <w:proofErr w:type="spellStart"/>
            <w:r w:rsidRPr="001A6ECB">
              <w:rPr>
                <w:color w:val="A6A6A6" w:themeColor="background1" w:themeShade="A6"/>
                <w:sz w:val="16"/>
                <w:szCs w:val="16"/>
              </w:rPr>
              <w:t>Group</w:t>
            </w:r>
            <w:proofErr w:type="spellEnd"/>
            <w:r w:rsidRPr="001A6ECB">
              <w:rPr>
                <w:color w:val="FFFFFF" w:themeColor="background1"/>
                <w:sz w:val="16"/>
                <w:szCs w:val="16"/>
              </w:rPr>
              <w:t>)</w:t>
            </w:r>
            <w:r>
              <w:rPr>
                <w:color w:val="FFFFFF"/>
                <w:sz w:val="16"/>
                <w:szCs w:val="16"/>
              </w:rPr>
              <w:t xml:space="preserve"> G</w:t>
            </w:r>
            <w:r w:rsidRPr="009E2183">
              <w:rPr>
                <w:color w:val="FFFFFF"/>
                <w:sz w:val="16"/>
                <w:szCs w:val="16"/>
              </w:rPr>
              <w:t>rupo</w:t>
            </w:r>
            <w:r>
              <w:rPr>
                <w:color w:val="FFFFFF"/>
                <w:sz w:val="16"/>
                <w:szCs w:val="16"/>
              </w:rPr>
              <w:t xml:space="preserve"> </w:t>
            </w:r>
            <w:r w:rsidRPr="009E2183">
              <w:rPr>
                <w:color w:val="FFFFFF"/>
                <w:sz w:val="16"/>
                <w:szCs w:val="16"/>
              </w:rPr>
              <w:t>de</w:t>
            </w:r>
            <w:proofErr w:type="gramStart"/>
            <w:r w:rsidRPr="009E2183">
              <w:rPr>
                <w:color w:val="FFFFFF"/>
                <w:sz w:val="16"/>
                <w:szCs w:val="16"/>
              </w:rPr>
              <w:t xml:space="preserve">  </w:t>
            </w:r>
            <w:proofErr w:type="gramEnd"/>
            <w:r w:rsidRPr="009E2183">
              <w:rPr>
                <w:color w:val="FFFFFF"/>
                <w:sz w:val="16"/>
                <w:szCs w:val="16"/>
              </w:rPr>
              <w:t>Engenharia de software</w:t>
            </w:r>
            <w:r>
              <w:rPr>
                <w:color w:val="FFFFFF"/>
                <w:sz w:val="16"/>
                <w:szCs w:val="16"/>
              </w:rPr>
              <w:t>, que se reúne para melhorar e definir processos.</w:t>
            </w:r>
          </w:p>
          <w:p w:rsidR="004232C5" w:rsidRDefault="004232C5" w:rsidP="00BE5FBD">
            <w:pPr>
              <w:spacing w:after="92"/>
              <w:ind w:firstLine="284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Modelo por estágio, nível de maturidade:</w:t>
            </w:r>
          </w:p>
          <w:p w:rsidR="004232C5" w:rsidRDefault="004232C5" w:rsidP="00BE5FBD">
            <w:pPr>
              <w:spacing w:after="92"/>
              <w:ind w:firstLine="284"/>
              <w:rPr>
                <w:color w:val="FFFFFF"/>
                <w:sz w:val="16"/>
                <w:szCs w:val="16"/>
              </w:rPr>
            </w:pPr>
            <w:r>
              <w:rPr>
                <w:noProof/>
                <w:color w:val="FFFFFF"/>
                <w:sz w:val="16"/>
                <w:szCs w:val="16"/>
              </w:rPr>
              <w:drawing>
                <wp:inline distT="0" distB="0" distL="0" distR="0">
                  <wp:extent cx="1817066" cy="837934"/>
                  <wp:effectExtent l="19050" t="0" r="0" b="0"/>
                  <wp:docPr id="14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777" cy="837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2C5" w:rsidRPr="00935913" w:rsidRDefault="004232C5" w:rsidP="00BE5FBD">
            <w:pPr>
              <w:spacing w:after="92"/>
              <w:ind w:firstLine="284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Criado pelo Departamento de Defesa dos USA, nos anos 80.</w:t>
            </w:r>
          </w:p>
        </w:tc>
        <w:tc>
          <w:tcPr>
            <w:tcW w:w="5303" w:type="dxa"/>
          </w:tcPr>
          <w:p w:rsidR="004232C5" w:rsidRDefault="004232C5" w:rsidP="00BE5FBD">
            <w:pPr>
              <w:spacing w:after="92"/>
              <w:jc w:val="right"/>
              <w:rPr>
                <w:color w:val="FFFFFF"/>
                <w:sz w:val="16"/>
                <w:szCs w:val="16"/>
              </w:rPr>
            </w:pPr>
          </w:p>
          <w:p w:rsidR="004232C5" w:rsidRDefault="004232C5" w:rsidP="00BE5FBD">
            <w:pPr>
              <w:spacing w:after="92"/>
              <w:jc w:val="right"/>
              <w:rPr>
                <w:color w:val="FFFFFF"/>
                <w:sz w:val="16"/>
                <w:szCs w:val="16"/>
              </w:rPr>
            </w:pP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>
                  <wp:extent cx="1678848" cy="2324107"/>
                  <wp:effectExtent l="19050" t="0" r="0" b="0"/>
                  <wp:docPr id="1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189" cy="2325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>
                  <wp:extent cx="1115568" cy="2231136"/>
                  <wp:effectExtent l="19050" t="0" r="8382" b="0"/>
                  <wp:docPr id="1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444" cy="2240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6EF" w:rsidRDefault="009F66EF">
      <w:pPr>
        <w:spacing w:after="92" w:line="240" w:lineRule="auto"/>
        <w:ind w:firstLine="567"/>
        <w:rPr>
          <w:rFonts w:ascii="Arial" w:eastAsia="Arial" w:hAnsi="Arial" w:cs="Arial"/>
          <w:b/>
          <w:color w:val="FFFFFF"/>
          <w:sz w:val="20"/>
          <w:szCs w:val="20"/>
        </w:rPr>
      </w:pP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</w:rPr>
        <w:t>VALORES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• Integridade, responsabilidade e honestidade, para respeitar as regras de mercado, governo e diferentes culturas.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• C</w:t>
      </w:r>
      <w:r>
        <w:rPr>
          <w:rFonts w:ascii="Arial" w:eastAsia="Arial" w:hAnsi="Arial" w:cs="Arial"/>
          <w:color w:val="FFFFFF"/>
          <w:sz w:val="20"/>
          <w:szCs w:val="20"/>
        </w:rPr>
        <w:t>omprometimento e profissionalismo no relacionamento com os clientes.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• Busca constante pelo desenvolvimento de inovações tecnológicas.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• Ética e postura de mercado frente à concorrência.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• Valorização do relacionamento e do trabalho em equipe.</w:t>
      </w:r>
    </w:p>
    <w:p w:rsidR="009F66EF" w:rsidRDefault="009F66EF">
      <w:pPr>
        <w:spacing w:after="92" w:line="240" w:lineRule="auto"/>
        <w:ind w:firstLine="567"/>
        <w:rPr>
          <w:rFonts w:ascii="Arial" w:eastAsia="Arial" w:hAnsi="Arial" w:cs="Arial"/>
          <w:b/>
          <w:color w:val="FFFFFF"/>
          <w:sz w:val="20"/>
          <w:szCs w:val="20"/>
        </w:rPr>
      </w:pP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</w:rPr>
        <w:t>OBJETIVOS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• Fornecer serviços para a Transformação Digital como solução competitiva ao mercado.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• Satisfazer e superar as expectativas dos clientes por meio da geração de resultados.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• Desenvolver parcerias de valor com o mercado.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• Gerar resultados positivos para o</w:t>
      </w:r>
      <w:r>
        <w:rPr>
          <w:rFonts w:ascii="Arial" w:eastAsia="Arial" w:hAnsi="Arial" w:cs="Arial"/>
          <w:color w:val="FFFFFF"/>
          <w:sz w:val="20"/>
          <w:szCs w:val="20"/>
        </w:rPr>
        <w:t>s acionistas e colaboradores.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• Contribuir com o bem-estar e a qualidade de vida das pessoas.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• Ser parte integrante no desenvolvimento econômico e social do País.</w:t>
      </w:r>
    </w:p>
    <w:p w:rsidR="009F66EF" w:rsidRDefault="009F66EF">
      <w:pPr>
        <w:spacing w:after="92" w:line="240" w:lineRule="auto"/>
        <w:ind w:firstLine="567"/>
        <w:rPr>
          <w:rFonts w:ascii="Arial" w:eastAsia="Arial" w:hAnsi="Arial" w:cs="Arial"/>
          <w:b/>
          <w:color w:val="FFFFFF"/>
          <w:sz w:val="20"/>
          <w:szCs w:val="20"/>
        </w:rPr>
      </w:pP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</w:rPr>
        <w:t>CRESCIMENTO E CAPACITAÇÃO DOS COLABORADORES.</w:t>
      </w:r>
    </w:p>
    <w:p w:rsidR="009F66EF" w:rsidRDefault="004232C5">
      <w:pPr>
        <w:spacing w:after="92" w:line="240" w:lineRule="auto"/>
        <w:ind w:firstLine="567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A empresa investe na qualidade de trabalho,</w:t>
      </w:r>
      <w:r w:rsidR="00BF0B3C">
        <w:rPr>
          <w:rFonts w:ascii="Arial" w:eastAsia="Arial" w:hAnsi="Arial" w:cs="Arial"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z w:val="20"/>
          <w:szCs w:val="20"/>
        </w:rPr>
        <w:t>cap</w:t>
      </w:r>
      <w:r>
        <w:rPr>
          <w:rFonts w:ascii="Arial" w:eastAsia="Arial" w:hAnsi="Arial" w:cs="Arial"/>
          <w:color w:val="FFFFFF"/>
          <w:sz w:val="20"/>
          <w:szCs w:val="20"/>
        </w:rPr>
        <w:t>acitação e crescimento profissional dos seus colaboradores,</w:t>
      </w:r>
      <w:r w:rsidR="00BF0B3C">
        <w:rPr>
          <w:rFonts w:ascii="Arial" w:eastAsia="Arial" w:hAnsi="Arial" w:cs="Arial"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z w:val="20"/>
          <w:szCs w:val="20"/>
        </w:rPr>
        <w:t xml:space="preserve">anualmente </w:t>
      </w:r>
      <w:proofErr w:type="gramStart"/>
      <w:r>
        <w:rPr>
          <w:rFonts w:ascii="Arial" w:eastAsia="Arial" w:hAnsi="Arial" w:cs="Arial"/>
          <w:color w:val="FFFFFF"/>
          <w:sz w:val="20"/>
          <w:szCs w:val="20"/>
        </w:rPr>
        <w:t>é</w:t>
      </w:r>
      <w:proofErr w:type="gramEnd"/>
      <w:r>
        <w:rPr>
          <w:rFonts w:ascii="Arial" w:eastAsia="Arial" w:hAnsi="Arial" w:cs="Arial"/>
          <w:color w:val="FFFFFF"/>
          <w:sz w:val="20"/>
          <w:szCs w:val="20"/>
        </w:rPr>
        <w:t xml:space="preserve"> disponibilizado um passaporte no valor de $150 dólares, que dá direito ao colaborador realizar provas </w:t>
      </w:r>
      <w:r>
        <w:rPr>
          <w:rFonts w:ascii="Arial" w:eastAsia="Arial" w:hAnsi="Arial" w:cs="Arial"/>
          <w:color w:val="FFFFFF"/>
          <w:sz w:val="20"/>
          <w:szCs w:val="20"/>
        </w:rPr>
        <w:lastRenderedPageBreak/>
        <w:t>de certificação,</w:t>
      </w:r>
      <w:r w:rsidR="00BF0B3C">
        <w:rPr>
          <w:rFonts w:ascii="Arial" w:eastAsia="Arial" w:hAnsi="Arial" w:cs="Arial"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z w:val="20"/>
          <w:szCs w:val="20"/>
        </w:rPr>
        <w:t>a empresa acredita que o aprendizado é um processo contínuo e busc</w:t>
      </w:r>
      <w:r>
        <w:rPr>
          <w:rFonts w:ascii="Arial" w:eastAsia="Arial" w:hAnsi="Arial" w:cs="Arial"/>
          <w:color w:val="FFFFFF"/>
          <w:sz w:val="20"/>
          <w:szCs w:val="20"/>
        </w:rPr>
        <w:t>am proporcionar aprendizado durante todo o tempo que o colaborador estiver com a empresa,</w:t>
      </w:r>
      <w:r w:rsidR="00BF0B3C">
        <w:rPr>
          <w:rFonts w:ascii="Arial" w:eastAsia="Arial" w:hAnsi="Arial" w:cs="Arial"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z w:val="20"/>
          <w:szCs w:val="20"/>
        </w:rPr>
        <w:t xml:space="preserve">investe em programas de capacitação para seus colaboradores </w:t>
      </w:r>
      <w:r>
        <w:rPr>
          <w:rFonts w:ascii="Arial" w:eastAsia="Arial" w:hAnsi="Arial" w:cs="Arial"/>
          <w:color w:val="FFFFFF"/>
          <w:sz w:val="20"/>
          <w:szCs w:val="20"/>
        </w:rPr>
        <w:t>e novos talentos.</w:t>
      </w:r>
    </w:p>
    <w:p w:rsidR="009F66EF" w:rsidRDefault="009F66EF">
      <w:pPr>
        <w:spacing w:after="92" w:line="240" w:lineRule="auto"/>
        <w:ind w:firstLine="567"/>
        <w:jc w:val="center"/>
        <w:rPr>
          <w:color w:val="FFFFFF"/>
        </w:rPr>
      </w:pPr>
    </w:p>
    <w:tbl>
      <w:tblPr>
        <w:tblStyle w:val="Tabelacomgrade"/>
        <w:tblW w:w="0" w:type="auto"/>
        <w:tblLook w:val="04A0"/>
      </w:tblPr>
      <w:tblGrid>
        <w:gridCol w:w="5070"/>
        <w:gridCol w:w="5536"/>
      </w:tblGrid>
      <w:tr w:rsidR="00925EAE" w:rsidTr="00925EAE">
        <w:trPr>
          <w:trHeight w:val="2422"/>
        </w:trPr>
        <w:tc>
          <w:tcPr>
            <w:tcW w:w="5070" w:type="dxa"/>
          </w:tcPr>
          <w:p w:rsidR="00925EAE" w:rsidRDefault="00925EAE" w:rsidP="00925EAE">
            <w:pPr>
              <w:spacing w:after="92"/>
              <w:ind w:firstLine="567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DEPOIMENTO DOS COLABORADORES</w:t>
            </w: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.</w:t>
            </w:r>
          </w:p>
          <w:p w:rsidR="00925EAE" w:rsidRDefault="00925EAE">
            <w:pPr>
              <w:spacing w:after="92"/>
              <w:jc w:val="center"/>
              <w:rPr>
                <w:color w:val="FFFFFF"/>
              </w:rPr>
            </w:pPr>
            <w:r>
              <w:rPr>
                <w:noProof/>
                <w:color w:val="FFFFFF"/>
              </w:rPr>
              <w:drawing>
                <wp:inline distT="0" distB="0" distL="0" distR="0">
                  <wp:extent cx="1536192" cy="1338682"/>
                  <wp:effectExtent l="19050" t="0" r="6858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12" cy="1339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/>
              </w:rPr>
              <w:drawing>
                <wp:inline distT="0" distB="0" distL="0" distR="0">
                  <wp:extent cx="1497583" cy="1338674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583" cy="13386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6" w:type="dxa"/>
          </w:tcPr>
          <w:p w:rsidR="00925EAE" w:rsidRPr="0062500F" w:rsidRDefault="00925EAE" w:rsidP="00925EAE">
            <w:pPr>
              <w:spacing w:after="92"/>
              <w:ind w:firstLine="567"/>
              <w:jc w:val="center"/>
              <w:rPr>
                <w:b/>
                <w:color w:val="FFFFFF"/>
              </w:rPr>
            </w:pPr>
            <w:r w:rsidRPr="0062500F">
              <w:rPr>
                <w:b/>
                <w:color w:val="FFFFFF"/>
              </w:rPr>
              <w:t>CLIENTES:</w:t>
            </w:r>
          </w:p>
          <w:p w:rsidR="00925EAE" w:rsidRDefault="00925EAE" w:rsidP="00925EAE">
            <w:pPr>
              <w:spacing w:after="92"/>
              <w:ind w:firstLine="567"/>
              <w:rPr>
                <w:rFonts w:ascii="Arial" w:eastAsia="Arial" w:hAnsi="Arial" w:cs="Arial"/>
                <w:color w:val="FFFFFF"/>
                <w:sz w:val="16"/>
                <w:szCs w:val="16"/>
                <w:highlight w:val="darkBlue"/>
              </w:rPr>
            </w:pPr>
            <w:r>
              <w:rPr>
                <w:noProof/>
                <w:color w:val="FFFFFF"/>
              </w:rPr>
              <w:drawing>
                <wp:inline distT="114300" distB="114300" distL="114300" distR="114300">
                  <wp:extent cx="1253795" cy="877824"/>
                  <wp:effectExtent l="19050" t="0" r="3505" b="0"/>
                  <wp:docPr id="3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655" cy="8798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/>
              </w:rPr>
              <w:drawing>
                <wp:inline distT="114300" distB="114300" distL="114300" distR="114300">
                  <wp:extent cx="1499616" cy="876816"/>
                  <wp:effectExtent l="19050" t="0" r="5334" b="0"/>
                  <wp:docPr id="2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514" cy="8779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25EAE">
              <w:rPr>
                <w:rFonts w:ascii="Arial" w:eastAsia="Arial" w:hAnsi="Arial" w:cs="Arial"/>
                <w:color w:val="FFFFFF"/>
                <w:sz w:val="16"/>
                <w:szCs w:val="16"/>
                <w:highlight w:val="darkBlue"/>
              </w:rPr>
              <w:t xml:space="preserve"> </w:t>
            </w:r>
          </w:p>
          <w:p w:rsidR="00925EAE" w:rsidRPr="00925EAE" w:rsidRDefault="00925EAE" w:rsidP="00925EAE">
            <w:pPr>
              <w:spacing w:after="92"/>
              <w:ind w:firstLine="567"/>
              <w:jc w:val="center"/>
              <w:rPr>
                <w:color w:val="FFFFFF"/>
                <w:sz w:val="16"/>
                <w:szCs w:val="16"/>
              </w:rPr>
            </w:pPr>
            <w:r w:rsidRPr="00925EAE">
              <w:rPr>
                <w:rFonts w:ascii="Arial" w:eastAsia="Arial" w:hAnsi="Arial" w:cs="Arial"/>
                <w:color w:val="FFFFFF"/>
                <w:sz w:val="16"/>
                <w:szCs w:val="16"/>
                <w:highlight w:val="darkBlue"/>
              </w:rPr>
              <w:t>Rua República Argentina, Ponta Aguda, </w:t>
            </w:r>
            <w:r w:rsidRPr="00925EAE">
              <w:rPr>
                <w:rFonts w:ascii="Arial" w:eastAsia="Arial" w:hAnsi="Arial" w:cs="Arial"/>
                <w:b/>
                <w:color w:val="FFFFFF"/>
                <w:sz w:val="16"/>
                <w:szCs w:val="16"/>
                <w:highlight w:val="darkBlue"/>
              </w:rPr>
              <w:t>Blumenau</w:t>
            </w:r>
            <w:r w:rsidRPr="00925EAE">
              <w:rPr>
                <w:rFonts w:ascii="Arial" w:eastAsia="Arial" w:hAnsi="Arial" w:cs="Arial"/>
                <w:color w:val="FFFFFF"/>
                <w:sz w:val="16"/>
                <w:szCs w:val="16"/>
                <w:highlight w:val="darkBlue"/>
              </w:rPr>
              <w:t xml:space="preserve">, SC - </w:t>
            </w:r>
            <w:proofErr w:type="gramStart"/>
            <w:r w:rsidRPr="00925EAE">
              <w:rPr>
                <w:rFonts w:ascii="Arial" w:eastAsia="Arial" w:hAnsi="Arial" w:cs="Arial"/>
                <w:color w:val="FFFFFF"/>
                <w:sz w:val="16"/>
                <w:szCs w:val="16"/>
                <w:highlight w:val="darkBlue"/>
              </w:rPr>
              <w:t>89050100</w:t>
            </w:r>
            <w:proofErr w:type="gramEnd"/>
          </w:p>
        </w:tc>
      </w:tr>
    </w:tbl>
    <w:p w:rsidR="00A35758" w:rsidRPr="00925EAE" w:rsidRDefault="00A35758" w:rsidP="00925EAE">
      <w:pPr>
        <w:jc w:val="center"/>
        <w:rPr>
          <w:color w:val="FFFFFF" w:themeColor="background1"/>
          <w:sz w:val="16"/>
          <w:szCs w:val="16"/>
        </w:rPr>
      </w:pPr>
    </w:p>
    <w:sectPr w:rsidR="00A35758" w:rsidRPr="00925EAE" w:rsidSect="009F66E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compat/>
  <w:rsids>
    <w:rsidRoot w:val="009F66EF"/>
    <w:rsid w:val="001A6ECB"/>
    <w:rsid w:val="004232C5"/>
    <w:rsid w:val="0062500F"/>
    <w:rsid w:val="00891118"/>
    <w:rsid w:val="00925EAE"/>
    <w:rsid w:val="00935913"/>
    <w:rsid w:val="009E2183"/>
    <w:rsid w:val="009F66EF"/>
    <w:rsid w:val="00A21EED"/>
    <w:rsid w:val="00A35758"/>
    <w:rsid w:val="00BF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152"/>
  </w:style>
  <w:style w:type="paragraph" w:styleId="Ttulo1">
    <w:name w:val="heading 1"/>
    <w:basedOn w:val="normal0"/>
    <w:next w:val="normal0"/>
    <w:rsid w:val="009F66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9F66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C24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0"/>
    <w:next w:val="normal0"/>
    <w:rsid w:val="009F66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9F66E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9F66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F66EF"/>
  </w:style>
  <w:style w:type="table" w:customStyle="1" w:styleId="TableNormal">
    <w:name w:val="Table Normal"/>
    <w:rsid w:val="009F66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F66EF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4C0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AB7920"/>
    <w:rPr>
      <w:i/>
      <w:iCs/>
    </w:rPr>
  </w:style>
  <w:style w:type="table" w:styleId="Tabelacomgrade">
    <w:name w:val="Table Grid"/>
    <w:basedOn w:val="Tabelanormal"/>
    <w:uiPriority w:val="59"/>
    <w:rsid w:val="00AB7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C24B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4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9F66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66EF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QPRAYr0M7hyrutwMm67qCvAMg==">AMUW2mXpmHxFHDJ9jV9lOAD1TRpS8xcLhxpbjoOQ/Srr3UpuInK25ou2IUkmyp7cn3G06CKQM3ZlpJ48VLuMtPRw4VIIv3rmtdr9PBiT0NHVKsQeoO/usas=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4</cp:revision>
  <dcterms:created xsi:type="dcterms:W3CDTF">2022-06-19T22:16:00Z</dcterms:created>
  <dcterms:modified xsi:type="dcterms:W3CDTF">2022-07-03T21:10:00Z</dcterms:modified>
</cp:coreProperties>
</file>