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OPLTest_3: sortByRemainder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03.9062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sortByRemainder() sorts the parties by their remainder.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sortByRemainder()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getParties()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getRemainder()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vector with the parties in the correct order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opl-&gt;remainder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opl-&gt;sortByRemainder()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opl’s party vector is equal to the correct vector created in step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Party vector has been sorted by their remainder.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dE2lkMJudJKCRDWTGMhZ4QwIQ==">AMUW2mUwN4YCdzNKyMzGB7MSJs+/iYtiE7Ph1XZcQX67Wcc7CeYRpJWO9KltDTtGPYKbJRMSlLos2azhOWm9jPw4NSRZ+n3OPzAeIWQRacneUlBNjM9qUdM=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