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Tests that the string input taken for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an IRballot returns the correct index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if it’s supposed to.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IRBallotToIndex()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___X_____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used for the tests have been set up correctly.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garbage = "fjdkasl;";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empty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"";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string with no zeroes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no_ones = ",,,,";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a 1 in the first position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;std::string first_pos = "1,,,,";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a 1 in the third position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third_pos_only_one = ",,1,,";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a 1 in the third position with a string full of numbers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third_pos_full = “2,3,1,4,5”;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the correct int when the string is a valid string.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ZAEH3ncIoi757Cnj1Lokqe5pQ==">AMUW2mWa8BFepupiHLd15LwKXdiSHRS2kuPHycthJdESe92S5WslRxOEr5RwhQsckWBv88+GzWDjd06zrNjk4VnYXG0KYnY1DkHx9Lcu+GWrrHQES50kYa0=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