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IRTest_2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Michael/Lucky/Grant/Donald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TEST_F (IRTest, findWinnerNoWinnernoTie)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Checks for functionality of findWinners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Where there is a winner or a tie.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IRTest.cpp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findWinner()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data for the IR Election was set up correctly.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up the first candidate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&amp;ir-&gt;getCandidates()[0]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candidate has a majority.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 temp = (float)ir-&gt;getElim()-&gt;getNumBallots() / 6.0;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EXPECT_LE(temp, 0.5) = 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EXPECT_LE(temp, 0.5) = 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The candidate should have a majority.</w:t>
      </w:r>
    </w:p>
    <w:p w:rsidR="00000000" w:rsidDel="00000000" w:rsidP="00000000" w:rsidRDefault="00000000" w:rsidRPr="00000000" w14:paraId="0000004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crY1oqfh4jehvbjAH3tN4CnM7A==">AMUW2mV0sl3NWhMqOqPVgcY6CAM79j+Rk2LoUTzcDZ3WWtgVBhV4o8f4ZXO1WPrON3YVMWKDWnvgkUBqWiMHCnEBvcHbZaxfnLz9gubJAJnCE0PGcW58o7Y=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