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30922" w14:textId="51FFC34D" w:rsidR="002A746E" w:rsidRDefault="002A746E">
      <w:pPr>
        <w:spacing w:after="292" w:line="259" w:lineRule="auto"/>
        <w:ind w:left="0" w:firstLine="0"/>
      </w:pPr>
    </w:p>
    <w:sdt>
      <w:sdtPr>
        <w:id w:val="1317224255"/>
        <w:docPartObj>
          <w:docPartGallery w:val="Table of Contents"/>
        </w:docPartObj>
      </w:sdtPr>
      <w:sdtEndPr/>
      <w:sdtContent>
        <w:p w14:paraId="42724AAC" w14:textId="77777777" w:rsidR="002A746E" w:rsidRDefault="007E6071">
          <w:pPr>
            <w:spacing w:after="0" w:line="259" w:lineRule="auto"/>
            <w:ind w:left="0" w:firstLine="0"/>
          </w:pPr>
          <w:r>
            <w:rPr>
              <w:rFonts w:ascii="Calibri" w:eastAsia="Calibri" w:hAnsi="Calibri" w:cs="Calibri"/>
              <w:color w:val="0F4761"/>
              <w:sz w:val="32"/>
            </w:rPr>
            <w:t xml:space="preserve">Contents </w:t>
          </w:r>
        </w:p>
        <w:p w14:paraId="35A782EC" w14:textId="77777777" w:rsidR="002A746E" w:rsidRDefault="007E6071">
          <w:pPr>
            <w:pStyle w:val="TOC1"/>
            <w:tabs>
              <w:tab w:val="right" w:leader="dot" w:pos="9356"/>
            </w:tabs>
          </w:pPr>
          <w:r>
            <w:fldChar w:fldCharType="begin"/>
          </w:r>
          <w:r>
            <w:instrText xml:space="preserve"> TOC \o "1-2" \h \z \u </w:instrText>
          </w:r>
          <w:r>
            <w:fldChar w:fldCharType="separate"/>
          </w:r>
          <w:hyperlink w:anchor="_Toc7467">
            <w:r w:rsidR="002A746E">
              <w:t>1. General Observations</w:t>
            </w:r>
            <w:r w:rsidR="002A746E">
              <w:tab/>
            </w:r>
            <w:r w:rsidR="002A746E">
              <w:fldChar w:fldCharType="begin"/>
            </w:r>
            <w:r w:rsidR="002A746E">
              <w:instrText>PAGEREF _Toc7467 \h</w:instrText>
            </w:r>
            <w:r w:rsidR="002A746E">
              <w:fldChar w:fldCharType="separate"/>
            </w:r>
            <w:r w:rsidR="002A746E">
              <w:t xml:space="preserve">2 </w:t>
            </w:r>
            <w:r w:rsidR="002A746E">
              <w:fldChar w:fldCharType="end"/>
            </w:r>
          </w:hyperlink>
        </w:p>
        <w:p w14:paraId="76567AC9" w14:textId="77777777" w:rsidR="002A746E" w:rsidRDefault="002A746E">
          <w:pPr>
            <w:pStyle w:val="TOC1"/>
            <w:tabs>
              <w:tab w:val="right" w:leader="dot" w:pos="9356"/>
            </w:tabs>
          </w:pPr>
          <w:hyperlink w:anchor="_Toc7468">
            <w:r>
              <w:t>2. Scope of Services (Section: Scope of Services)</w:t>
            </w:r>
            <w:r>
              <w:tab/>
            </w:r>
            <w:r>
              <w:fldChar w:fldCharType="begin"/>
            </w:r>
            <w:r>
              <w:instrText>PAGEREF _Toc7468 \h</w:instrText>
            </w:r>
            <w:r>
              <w:fldChar w:fldCharType="separate"/>
            </w:r>
            <w:r>
              <w:t xml:space="preserve">2 </w:t>
            </w:r>
            <w:r>
              <w:fldChar w:fldCharType="end"/>
            </w:r>
          </w:hyperlink>
        </w:p>
        <w:p w14:paraId="6EB1762A" w14:textId="77777777" w:rsidR="002A746E" w:rsidRDefault="002A746E">
          <w:pPr>
            <w:pStyle w:val="TOC2"/>
            <w:tabs>
              <w:tab w:val="right" w:leader="dot" w:pos="9356"/>
            </w:tabs>
          </w:pPr>
          <w:hyperlink w:anchor="_Toc7469">
            <w:r>
              <w:t>2.1 Idempotent Pipeline Remediation</w:t>
            </w:r>
            <w:r>
              <w:tab/>
            </w:r>
            <w:r>
              <w:fldChar w:fldCharType="begin"/>
            </w:r>
            <w:r>
              <w:instrText>PAGEREF _Toc7469 \h</w:instrText>
            </w:r>
            <w:r>
              <w:fldChar w:fldCharType="separate"/>
            </w:r>
            <w:r>
              <w:t xml:space="preserve">2 </w:t>
            </w:r>
            <w:r>
              <w:fldChar w:fldCharType="end"/>
            </w:r>
          </w:hyperlink>
        </w:p>
        <w:p w14:paraId="290F20EC" w14:textId="77777777" w:rsidR="002A746E" w:rsidRDefault="002A746E">
          <w:pPr>
            <w:pStyle w:val="TOC2"/>
            <w:tabs>
              <w:tab w:val="right" w:leader="dot" w:pos="9356"/>
            </w:tabs>
          </w:pPr>
          <w:hyperlink w:anchor="_Toc7470">
            <w:r>
              <w:t>2.2 Structured Error Logging</w:t>
            </w:r>
            <w:r>
              <w:tab/>
            </w:r>
            <w:r>
              <w:fldChar w:fldCharType="begin"/>
            </w:r>
            <w:r>
              <w:instrText>PAGEREF _Toc7470 \h</w:instrText>
            </w:r>
            <w:r>
              <w:fldChar w:fldCharType="separate"/>
            </w:r>
            <w:r>
              <w:t xml:space="preserve">3 </w:t>
            </w:r>
            <w:r>
              <w:fldChar w:fldCharType="end"/>
            </w:r>
          </w:hyperlink>
        </w:p>
        <w:p w14:paraId="446EB45B" w14:textId="77777777" w:rsidR="002A746E" w:rsidRDefault="002A746E">
          <w:pPr>
            <w:pStyle w:val="TOC2"/>
            <w:tabs>
              <w:tab w:val="right" w:leader="dot" w:pos="9356"/>
            </w:tabs>
          </w:pPr>
          <w:hyperlink w:anchor="_Toc7471">
            <w:r>
              <w:t>2.3 Database Cleanup and Recovery Procedures</w:t>
            </w:r>
            <w:r>
              <w:tab/>
            </w:r>
            <w:r>
              <w:fldChar w:fldCharType="begin"/>
            </w:r>
            <w:r>
              <w:instrText>PAGEREF _Toc7471 \h</w:instrText>
            </w:r>
            <w:r>
              <w:fldChar w:fldCharType="separate"/>
            </w:r>
            <w:r>
              <w:t xml:space="preserve">3 </w:t>
            </w:r>
            <w:r>
              <w:fldChar w:fldCharType="end"/>
            </w:r>
          </w:hyperlink>
        </w:p>
        <w:p w14:paraId="6609F0DB" w14:textId="77777777" w:rsidR="002A746E" w:rsidRDefault="002A746E">
          <w:pPr>
            <w:pStyle w:val="TOC2"/>
            <w:tabs>
              <w:tab w:val="right" w:leader="dot" w:pos="9356"/>
            </w:tabs>
          </w:pPr>
          <w:hyperlink w:anchor="_Toc7472">
            <w:r>
              <w:t>2.4 Automated Data Validation</w:t>
            </w:r>
            <w:r>
              <w:tab/>
            </w:r>
            <w:r>
              <w:fldChar w:fldCharType="begin"/>
            </w:r>
            <w:r>
              <w:instrText>PAGEREF _Toc7472 \h</w:instrText>
            </w:r>
            <w:r>
              <w:fldChar w:fldCharType="separate"/>
            </w:r>
            <w:r>
              <w:t xml:space="preserve">3 </w:t>
            </w:r>
            <w:r>
              <w:fldChar w:fldCharType="end"/>
            </w:r>
          </w:hyperlink>
        </w:p>
        <w:p w14:paraId="2669EDAF" w14:textId="77777777" w:rsidR="002A746E" w:rsidRDefault="002A746E">
          <w:pPr>
            <w:pStyle w:val="TOC2"/>
            <w:tabs>
              <w:tab w:val="right" w:leader="dot" w:pos="9356"/>
            </w:tabs>
          </w:pPr>
          <w:hyperlink w:anchor="_Toc7473">
            <w:r>
              <w:t>2.5 QAD Connectivity Issue Resolution</w:t>
            </w:r>
            <w:r>
              <w:tab/>
            </w:r>
            <w:r>
              <w:fldChar w:fldCharType="begin"/>
            </w:r>
            <w:r>
              <w:instrText>PAGEREF _Toc7473 \h</w:instrText>
            </w:r>
            <w:r>
              <w:fldChar w:fldCharType="separate"/>
            </w:r>
            <w:r>
              <w:t xml:space="preserve">4 </w:t>
            </w:r>
            <w:r>
              <w:fldChar w:fldCharType="end"/>
            </w:r>
          </w:hyperlink>
        </w:p>
        <w:p w14:paraId="48D00A2C" w14:textId="77777777" w:rsidR="002A746E" w:rsidRDefault="002A746E">
          <w:pPr>
            <w:pStyle w:val="TOC2"/>
            <w:tabs>
              <w:tab w:val="right" w:leader="dot" w:pos="9356"/>
            </w:tabs>
          </w:pPr>
          <w:hyperlink w:anchor="_Toc7474">
            <w:r>
              <w:t>2.6 Knowledge Transfer Completion</w:t>
            </w:r>
            <w:r>
              <w:tab/>
            </w:r>
            <w:r>
              <w:fldChar w:fldCharType="begin"/>
            </w:r>
            <w:r>
              <w:instrText>PAGEREF _Toc7474 \h</w:instrText>
            </w:r>
            <w:r>
              <w:fldChar w:fldCharType="separate"/>
            </w:r>
            <w:r>
              <w:t xml:space="preserve">4 </w:t>
            </w:r>
            <w:r>
              <w:fldChar w:fldCharType="end"/>
            </w:r>
          </w:hyperlink>
        </w:p>
        <w:p w14:paraId="70230B47" w14:textId="77777777" w:rsidR="002A746E" w:rsidRDefault="002A746E">
          <w:pPr>
            <w:pStyle w:val="TOC1"/>
            <w:tabs>
              <w:tab w:val="right" w:leader="dot" w:pos="9356"/>
            </w:tabs>
          </w:pPr>
          <w:hyperlink w:anchor="_Toc7475">
            <w:r>
              <w:t>3. Assumptions (Section: Assumptions)</w:t>
            </w:r>
            <w:r>
              <w:tab/>
            </w:r>
            <w:r>
              <w:fldChar w:fldCharType="begin"/>
            </w:r>
            <w:r>
              <w:instrText>PAGEREF _Toc7475 \h</w:instrText>
            </w:r>
            <w:r>
              <w:fldChar w:fldCharType="separate"/>
            </w:r>
            <w:r>
              <w:t xml:space="preserve">5 </w:t>
            </w:r>
            <w:r>
              <w:fldChar w:fldCharType="end"/>
            </w:r>
          </w:hyperlink>
        </w:p>
        <w:p w14:paraId="0B74A612" w14:textId="77777777" w:rsidR="002A746E" w:rsidRDefault="002A746E">
          <w:pPr>
            <w:pStyle w:val="TOC1"/>
            <w:tabs>
              <w:tab w:val="right" w:leader="dot" w:pos="9356"/>
            </w:tabs>
          </w:pPr>
          <w:hyperlink w:anchor="_Toc7476">
            <w:r>
              <w:t>4. Timeline and Plan (Section: Timeline and Plan)</w:t>
            </w:r>
            <w:r>
              <w:tab/>
            </w:r>
            <w:r>
              <w:fldChar w:fldCharType="begin"/>
            </w:r>
            <w:r>
              <w:instrText>PAGEREF _Toc7476 \h</w:instrText>
            </w:r>
            <w:r>
              <w:fldChar w:fldCharType="separate"/>
            </w:r>
            <w:r>
              <w:t xml:space="preserve">5 </w:t>
            </w:r>
            <w:r>
              <w:fldChar w:fldCharType="end"/>
            </w:r>
          </w:hyperlink>
        </w:p>
        <w:p w14:paraId="1513BD02" w14:textId="77777777" w:rsidR="002A746E" w:rsidRDefault="002A746E">
          <w:pPr>
            <w:pStyle w:val="TOC1"/>
            <w:tabs>
              <w:tab w:val="right" w:leader="dot" w:pos="9356"/>
            </w:tabs>
          </w:pPr>
          <w:hyperlink w:anchor="_Toc7477">
            <w:r>
              <w:t>5. Charges and Fees (Section: Charges and Fees)</w:t>
            </w:r>
            <w:r>
              <w:tab/>
            </w:r>
            <w:r>
              <w:fldChar w:fldCharType="begin"/>
            </w:r>
            <w:r>
              <w:instrText>PAGEREF _Toc7477 \h</w:instrText>
            </w:r>
            <w:r>
              <w:fldChar w:fldCharType="separate"/>
            </w:r>
            <w:r>
              <w:t xml:space="preserve">5 </w:t>
            </w:r>
            <w:r>
              <w:fldChar w:fldCharType="end"/>
            </w:r>
          </w:hyperlink>
        </w:p>
        <w:p w14:paraId="3146BF9B" w14:textId="77777777" w:rsidR="002A746E" w:rsidRDefault="002A746E">
          <w:pPr>
            <w:pStyle w:val="TOC1"/>
            <w:tabs>
              <w:tab w:val="right" w:leader="dot" w:pos="9356"/>
            </w:tabs>
          </w:pPr>
          <w:hyperlink w:anchor="_Toc7478">
            <w:r>
              <w:t>6. New Section: Completion Criteria and Exit Conditions</w:t>
            </w:r>
            <w:r>
              <w:tab/>
            </w:r>
            <w:r>
              <w:fldChar w:fldCharType="begin"/>
            </w:r>
            <w:r>
              <w:instrText>PAGEREF _Toc7478 \h</w:instrText>
            </w:r>
            <w:r>
              <w:fldChar w:fldCharType="separate"/>
            </w:r>
            <w:r>
              <w:t xml:space="preserve">6 </w:t>
            </w:r>
            <w:r>
              <w:fldChar w:fldCharType="end"/>
            </w:r>
          </w:hyperlink>
        </w:p>
        <w:p w14:paraId="02317AE6" w14:textId="77777777" w:rsidR="002A746E" w:rsidRDefault="002A746E">
          <w:pPr>
            <w:pStyle w:val="TOC1"/>
            <w:tabs>
              <w:tab w:val="right" w:leader="dot" w:pos="9356"/>
            </w:tabs>
          </w:pPr>
          <w:hyperlink w:anchor="_Toc7479">
            <w:r>
              <w:t>7. New Section: Service Levels and Quality Standards</w:t>
            </w:r>
            <w:r>
              <w:tab/>
            </w:r>
            <w:r>
              <w:fldChar w:fldCharType="begin"/>
            </w:r>
            <w:r>
              <w:instrText>PAGEREF _Toc7479 \h</w:instrText>
            </w:r>
            <w:r>
              <w:fldChar w:fldCharType="separate"/>
            </w:r>
            <w:r>
              <w:t xml:space="preserve">6 </w:t>
            </w:r>
            <w:r>
              <w:fldChar w:fldCharType="end"/>
            </w:r>
          </w:hyperlink>
        </w:p>
        <w:p w14:paraId="3F447803" w14:textId="77777777" w:rsidR="002A746E" w:rsidRDefault="007E6071">
          <w:r>
            <w:fldChar w:fldCharType="end"/>
          </w:r>
        </w:p>
      </w:sdtContent>
    </w:sdt>
    <w:p w14:paraId="40BCD63F" w14:textId="77777777" w:rsidR="002A746E" w:rsidRDefault="007E6071">
      <w:pPr>
        <w:spacing w:after="18" w:line="259" w:lineRule="auto"/>
        <w:ind w:left="0" w:firstLine="0"/>
      </w:pPr>
      <w:r>
        <w:rPr>
          <w:color w:val="000000"/>
        </w:rPr>
        <w:t xml:space="preserve"> </w:t>
      </w:r>
    </w:p>
    <w:p w14:paraId="2774007C" w14:textId="77777777" w:rsidR="002A746E" w:rsidRDefault="007E6071">
      <w:pPr>
        <w:spacing w:after="0" w:line="259" w:lineRule="auto"/>
        <w:ind w:left="0" w:firstLine="0"/>
      </w:pPr>
      <w:r>
        <w:rPr>
          <w:b/>
          <w:color w:val="000000"/>
          <w:sz w:val="24"/>
        </w:rPr>
        <w:t xml:space="preserve"> </w:t>
      </w:r>
      <w:r>
        <w:rPr>
          <w:b/>
          <w:color w:val="000000"/>
          <w:sz w:val="24"/>
        </w:rPr>
        <w:tab/>
        <w:t xml:space="preserve"> </w:t>
      </w:r>
    </w:p>
    <w:p w14:paraId="28436778" w14:textId="77777777" w:rsidR="002A746E" w:rsidRDefault="007E6071">
      <w:pPr>
        <w:spacing w:after="0" w:line="259" w:lineRule="auto"/>
        <w:ind w:left="0" w:firstLine="0"/>
      </w:pPr>
      <w:r>
        <w:rPr>
          <w:b/>
          <w:color w:val="000000"/>
          <w:sz w:val="24"/>
        </w:rPr>
        <w:t>Legend</w:t>
      </w:r>
      <w:r>
        <w:rPr>
          <w:color w:val="000000"/>
        </w:rPr>
        <w:t xml:space="preserve"> </w:t>
      </w:r>
    </w:p>
    <w:p w14:paraId="3CE538F1" w14:textId="77777777" w:rsidR="002A746E" w:rsidRDefault="007E6071">
      <w:pPr>
        <w:spacing w:after="127" w:line="259" w:lineRule="auto"/>
        <w:ind w:left="-29" w:right="-34" w:firstLine="0"/>
      </w:pPr>
      <w:r>
        <w:rPr>
          <w:rFonts w:ascii="Calibri" w:eastAsia="Calibri" w:hAnsi="Calibri" w:cs="Calibri"/>
          <w:noProof/>
          <w:color w:val="000000"/>
        </w:rPr>
        <mc:AlternateContent>
          <mc:Choice Requires="wpg">
            <w:drawing>
              <wp:inline distT="0" distB="0" distL="0" distR="0" wp14:anchorId="3D2D3490" wp14:editId="0A464019">
                <wp:extent cx="5981065" cy="9144"/>
                <wp:effectExtent l="0" t="0" r="0" b="0"/>
                <wp:docPr id="6134" name="Group 6134"/>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7712" name="Shape 771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6134" style="width:470.95pt;height:0.719971pt;mso-position-horizontal-relative:char;mso-position-vertical-relative:line" coordsize="59810,91">
                <v:shape id="Shape 7713" style="position:absolute;width:59810;height:91;left:0;top:0;" coordsize="5981065,9144" path="m0,0l5981065,0l5981065,9144l0,9144l0,0">
                  <v:stroke weight="0pt" endcap="flat" joinstyle="miter" miterlimit="10" on="false" color="#000000" opacity="0"/>
                  <v:fill on="true" color="#2e75b6"/>
                </v:shape>
              </v:group>
            </w:pict>
          </mc:Fallback>
        </mc:AlternateContent>
      </w:r>
    </w:p>
    <w:p w14:paraId="40C640EE" w14:textId="77777777" w:rsidR="002A746E" w:rsidRDefault="007E6071">
      <w:pPr>
        <w:spacing w:after="47"/>
        <w:ind w:left="-5"/>
      </w:pPr>
      <w:r>
        <w:rPr>
          <w:b/>
        </w:rPr>
        <w:t>Red text</w:t>
      </w:r>
      <w:r>
        <w:rPr>
          <w:color w:val="000000"/>
        </w:rPr>
        <w:t xml:space="preserve"> = Proposed additions or modifications to SOW language </w:t>
      </w:r>
    </w:p>
    <w:p w14:paraId="10B5B9F7" w14:textId="77777777" w:rsidR="002A746E" w:rsidRDefault="007E6071">
      <w:pPr>
        <w:spacing w:after="443"/>
        <w:ind w:left="-5"/>
      </w:pPr>
      <w:r>
        <w:rPr>
          <w:b/>
          <w:color w:val="000000"/>
        </w:rPr>
        <w:t>Black text</w:t>
      </w:r>
      <w:r>
        <w:rPr>
          <w:color w:val="000000"/>
        </w:rPr>
        <w:t xml:space="preserve"> = Commentary and rationale (not for inclusion in SOW) </w:t>
      </w:r>
    </w:p>
    <w:p w14:paraId="26ABE17E" w14:textId="77777777" w:rsidR="002A746E" w:rsidRDefault="007E6071">
      <w:pPr>
        <w:pStyle w:val="Heading1"/>
        <w:ind w:left="340" w:hanging="355"/>
      </w:pPr>
      <w:bookmarkStart w:id="0" w:name="_Toc7467"/>
      <w:r>
        <w:t xml:space="preserve">General Observations </w:t>
      </w:r>
      <w:bookmarkEnd w:id="0"/>
    </w:p>
    <w:p w14:paraId="2AF6716C" w14:textId="77777777" w:rsidR="002A746E" w:rsidRDefault="007E6071">
      <w:pPr>
        <w:ind w:left="-5"/>
      </w:pPr>
      <w:r>
        <w:rPr>
          <w:color w:val="000000"/>
        </w:rPr>
        <w:t xml:space="preserve">The current SOW is structured as a time-and-materials body-shop engagement: one offshore data engineer at $3,800/month for 19 working days, with no defined deliverables, acceptance criteria, or specific work items. For an engagement intended to remediate known engineering gaps and complete a handover to internal staff, this structure provides insufficient accountability. The following comments propose specific deliverables with measurable completion criteria. </w:t>
      </w:r>
    </w:p>
    <w:p w14:paraId="4B69FD1F" w14:textId="77777777" w:rsidR="002A746E" w:rsidRDefault="007E6071">
      <w:pPr>
        <w:spacing w:after="446"/>
        <w:ind w:left="-5"/>
      </w:pPr>
      <w:r>
        <w:rPr>
          <w:color w:val="000000"/>
        </w:rPr>
        <w:t xml:space="preserve">Additionally, the pricing table references "3 FTE" in the quantity column while the description states one data engineer for three months. This must be clarified before execution. </w:t>
      </w:r>
    </w:p>
    <w:p w14:paraId="3C2073A4" w14:textId="77777777" w:rsidR="002A746E" w:rsidRDefault="007E6071">
      <w:pPr>
        <w:pStyle w:val="Heading1"/>
        <w:ind w:left="340" w:hanging="355"/>
      </w:pPr>
      <w:bookmarkStart w:id="1" w:name="_Toc7468"/>
      <w:r>
        <w:t xml:space="preserve">Scope of Services (Section: Scope of Services) </w:t>
      </w:r>
      <w:bookmarkEnd w:id="1"/>
    </w:p>
    <w:p w14:paraId="44012B33" w14:textId="77777777" w:rsidR="002A746E" w:rsidRDefault="007E6071" w:rsidP="00E078AE">
      <w:r>
        <w:t xml:space="preserve">The existing scope language is generic and could apply to any ADF engagement. It should be supplemented with specific remediation deliverables tied to the known gaps in the current platform. The following items should be added as named deliverables under the Scope of Services section. </w:t>
      </w:r>
    </w:p>
    <w:p w14:paraId="7BE32E72" w14:textId="77777777" w:rsidR="002A746E" w:rsidRDefault="007E6071">
      <w:pPr>
        <w:pStyle w:val="Heading2"/>
        <w:ind w:left="453" w:hanging="468"/>
      </w:pPr>
      <w:bookmarkStart w:id="2" w:name="_Toc7469"/>
      <w:r>
        <w:lastRenderedPageBreak/>
        <w:t xml:space="preserve">Idempotent Pipeline Remediation </w:t>
      </w:r>
      <w:bookmarkEnd w:id="2"/>
    </w:p>
    <w:p w14:paraId="5579D355" w14:textId="77777777" w:rsidR="002A746E" w:rsidRDefault="007E6071">
      <w:pPr>
        <w:ind w:left="-5"/>
      </w:pPr>
      <w:r>
        <w:t xml:space="preserve">All existing data loading pipelines must be modified to support safe re-execution without creating duplicate records. </w:t>
      </w:r>
      <w:r w:rsidRPr="00667594">
        <w:t>This requires implementing delete-then-insert</w:t>
      </w:r>
      <w:r>
        <w:t xml:space="preserve"> or </w:t>
      </w:r>
      <w:proofErr w:type="spellStart"/>
      <w:r>
        <w:t>upsert</w:t>
      </w:r>
      <w:proofErr w:type="spellEnd"/>
      <w:r>
        <w:t xml:space="preserve"> logic for every fact table pipeline that currently uses insert-only patterns.</w:t>
      </w:r>
      <w:r>
        <w:rPr>
          <w:color w:val="000000"/>
        </w:rPr>
        <w:t xml:space="preserve"> </w:t>
      </w:r>
    </w:p>
    <w:p w14:paraId="3DAD50E6" w14:textId="77777777" w:rsidR="002A746E" w:rsidRDefault="007E6071">
      <w:pPr>
        <w:ind w:left="-5"/>
      </w:pPr>
      <w:r>
        <w:rPr>
          <w:b/>
        </w:rPr>
        <w:t xml:space="preserve">Deliverable: </w:t>
      </w:r>
      <w:r>
        <w:t>Updated pipelines in Dev environment, tested and promoted to Prod.</w:t>
      </w:r>
      <w:r>
        <w:rPr>
          <w:color w:val="000000"/>
        </w:rPr>
        <w:t xml:space="preserve"> </w:t>
      </w:r>
    </w:p>
    <w:p w14:paraId="3D056C69" w14:textId="77777777" w:rsidR="002A746E" w:rsidRDefault="007E6071">
      <w:pPr>
        <w:ind w:left="-5"/>
      </w:pPr>
      <w:r>
        <w:rPr>
          <w:b/>
        </w:rPr>
        <w:t xml:space="preserve">Acceptance Criteria: </w:t>
      </w:r>
      <w:r>
        <w:t>Each modified pipeline can be executed twice consecutively against the same source dataset without producing duplicate rows in the target tables. Test results to be documented and provided to HSIO.</w:t>
      </w:r>
      <w:r>
        <w:rPr>
          <w:color w:val="000000"/>
        </w:rPr>
        <w:t xml:space="preserve"> </w:t>
      </w:r>
    </w:p>
    <w:p w14:paraId="141CBE5B" w14:textId="77777777" w:rsidR="002A746E" w:rsidRDefault="007E6071">
      <w:pPr>
        <w:spacing w:after="234" w:line="239" w:lineRule="auto"/>
        <w:ind w:left="-5"/>
        <w:rPr>
          <w:color w:val="000000"/>
        </w:rPr>
      </w:pPr>
      <w:r>
        <w:rPr>
          <w:i/>
          <w:color w:val="000000"/>
        </w:rPr>
        <w:t>Rationale: This was identified as a gap by the HSIO data engineer in September 2025 and documented as a required improvement ("Intelligent Data Reloading"). It remains unimplemented. Without idempotent pipelines, any failure requiring a re-run risks data corruption in production tables that feed financial reporting.</w:t>
      </w:r>
      <w:r>
        <w:rPr>
          <w:color w:val="000000"/>
        </w:rPr>
        <w:t xml:space="preserve"> </w:t>
      </w:r>
    </w:p>
    <w:p w14:paraId="03A2195C" w14:textId="77777777" w:rsidR="00D63B7D" w:rsidRPr="00D63B7D" w:rsidRDefault="00D63B7D" w:rsidP="00D63B7D">
      <w:pPr>
        <w:pStyle w:val="DIgitusResponse"/>
        <w:rPr>
          <w:b/>
          <w:bCs/>
        </w:rPr>
      </w:pPr>
      <w:r w:rsidRPr="00D63B7D">
        <w:rPr>
          <w:b/>
          <w:bCs/>
        </w:rPr>
        <w:t>Digitus Response:</w:t>
      </w:r>
    </w:p>
    <w:p w14:paraId="7CB39484" w14:textId="77777777" w:rsidR="00D63B7D" w:rsidRPr="00D63B7D" w:rsidRDefault="00D63B7D" w:rsidP="00D63B7D">
      <w:pPr>
        <w:pStyle w:val="DIgitusResponse"/>
      </w:pPr>
      <w:r w:rsidRPr="00D63B7D">
        <w:t>There are currently no duplicate records being created in the existing process. All data pipelines are designed to support idempotent execution.</w:t>
      </w:r>
    </w:p>
    <w:p w14:paraId="105591B4" w14:textId="77777777" w:rsidR="00D63B7D" w:rsidRPr="00D63B7D" w:rsidRDefault="00D63B7D" w:rsidP="00D63B7D">
      <w:pPr>
        <w:pStyle w:val="DIgitusResponse"/>
      </w:pPr>
      <w:r w:rsidRPr="00D63B7D">
        <w:t xml:space="preserve">• Dimensions: Dimension tables are processed using an </w:t>
      </w:r>
      <w:proofErr w:type="spellStart"/>
      <w:r w:rsidRPr="00D63B7D">
        <w:t>Upsert</w:t>
      </w:r>
      <w:proofErr w:type="spellEnd"/>
      <w:r w:rsidRPr="00D63B7D">
        <w:t xml:space="preserve"> logic based on the SCD Type 1 approach, ensuring existing records are updated and new records are inserted without creating duplicates.</w:t>
      </w:r>
    </w:p>
    <w:p w14:paraId="3DC362B5" w14:textId="77777777" w:rsidR="00D63B7D" w:rsidRPr="00D63B7D" w:rsidRDefault="00D63B7D" w:rsidP="00D63B7D">
      <w:pPr>
        <w:pStyle w:val="DIgitusResponse"/>
      </w:pPr>
      <w:r w:rsidRPr="00D63B7D">
        <w:t>• Facts: Fact tables follow an incremental loading pattern, where records are inserted only if they do not already exist in the target table.</w:t>
      </w:r>
    </w:p>
    <w:p w14:paraId="0BAE9C10" w14:textId="77777777" w:rsidR="00D63B7D" w:rsidRPr="00D63B7D" w:rsidRDefault="00D63B7D" w:rsidP="00D63B7D">
      <w:pPr>
        <w:pStyle w:val="DIgitusResponse"/>
      </w:pPr>
      <w:r w:rsidRPr="00D63B7D">
        <w:t xml:space="preserve">• Mapping and </w:t>
      </w:r>
      <w:proofErr w:type="spellStart"/>
      <w:r w:rsidRPr="00D63B7D">
        <w:t>Dim_Item</w:t>
      </w:r>
      <w:proofErr w:type="spellEnd"/>
      <w:r w:rsidRPr="00D63B7D">
        <w:t xml:space="preserve"> hierarchy: For these datasets, two sets of tables are maintained. The main table is truncated and fully reloaded during each run to ensure a consistent dataset. Historical data is maintained in a separate history table using an SCD Type 2 approach.</w:t>
      </w:r>
    </w:p>
    <w:p w14:paraId="44A5D147" w14:textId="7F6815CB" w:rsidR="00D63B7D" w:rsidRDefault="00D63B7D" w:rsidP="00D63B7D">
      <w:pPr>
        <w:pStyle w:val="DIgitusResponse"/>
      </w:pPr>
      <w:r w:rsidRPr="00D63B7D">
        <w:t>• Finance Adjustment and Accrual files: These loads also follow an "insert if not exists" strategy to prevent duplicate records during reprocessing</w:t>
      </w:r>
      <w:r w:rsidR="00574D39">
        <w:t xml:space="preserve">. Duplication can </w:t>
      </w:r>
      <w:r w:rsidR="008A52FC">
        <w:t>only happen when same file is sent multiple  time within month.</w:t>
      </w:r>
    </w:p>
    <w:p w14:paraId="78A505EA" w14:textId="08179075" w:rsidR="008A52FC" w:rsidRPr="00D63B7D" w:rsidRDefault="008A52FC" w:rsidP="00D63B7D">
      <w:pPr>
        <w:pStyle w:val="DIgitusResponse"/>
      </w:pPr>
      <w:r>
        <w:t xml:space="preserve">Detailed clarification is needed on what is meant by the </w:t>
      </w:r>
      <w:proofErr w:type="spellStart"/>
      <w:r>
        <w:t>Inteligent</w:t>
      </w:r>
      <w:proofErr w:type="spellEnd"/>
      <w:r>
        <w:t xml:space="preserve"> reloading process.</w:t>
      </w:r>
    </w:p>
    <w:p w14:paraId="210948CF" w14:textId="77777777" w:rsidR="00667594" w:rsidRDefault="00667594" w:rsidP="00667594"/>
    <w:p w14:paraId="2DBF641B" w14:textId="77777777" w:rsidR="002A746E" w:rsidRDefault="007E6071">
      <w:pPr>
        <w:spacing w:after="0" w:line="259" w:lineRule="auto"/>
        <w:ind w:left="0" w:firstLine="0"/>
      </w:pPr>
      <w:r>
        <w:rPr>
          <w:color w:val="000000"/>
        </w:rPr>
        <w:t xml:space="preserve"> </w:t>
      </w:r>
      <w:r>
        <w:rPr>
          <w:color w:val="000000"/>
        </w:rPr>
        <w:tab/>
      </w:r>
      <w:r>
        <w:rPr>
          <w:b/>
          <w:color w:val="000000"/>
          <w:sz w:val="28"/>
        </w:rPr>
        <w:t xml:space="preserve"> </w:t>
      </w:r>
    </w:p>
    <w:p w14:paraId="22701862" w14:textId="77777777" w:rsidR="002A746E" w:rsidRDefault="007E6071">
      <w:pPr>
        <w:pStyle w:val="Heading2"/>
        <w:ind w:left="453" w:hanging="468"/>
      </w:pPr>
      <w:bookmarkStart w:id="3" w:name="_Toc7470"/>
      <w:r>
        <w:t xml:space="preserve">Structured Error Logging </w:t>
      </w:r>
      <w:bookmarkEnd w:id="3"/>
    </w:p>
    <w:p w14:paraId="41642066" w14:textId="77777777" w:rsidR="002A746E" w:rsidRDefault="007E6071">
      <w:pPr>
        <w:spacing w:after="10"/>
        <w:ind w:left="-5"/>
      </w:pPr>
      <w:r>
        <w:t xml:space="preserve">Implement a centralized error logging table in the Azure SQL database (e.g., </w:t>
      </w:r>
    </w:p>
    <w:p w14:paraId="393BB6C2" w14:textId="77777777" w:rsidR="002A746E" w:rsidRDefault="007E6071">
      <w:pPr>
        <w:ind w:left="-5"/>
      </w:pPr>
      <w:r>
        <w:t>CTL_ERROR_LOG) that captures the following fields for every pipeline failure: Pipeline Name, Pipeline Run ID, Activity Name, Error Message, Error Code, Expected Record Count, Actual Record Count, and Timestamp.</w:t>
      </w:r>
      <w:r>
        <w:rPr>
          <w:color w:val="000000"/>
        </w:rPr>
        <w:t xml:space="preserve"> </w:t>
      </w:r>
    </w:p>
    <w:p w14:paraId="42DEF1D0" w14:textId="77777777" w:rsidR="002A746E" w:rsidRDefault="007E6071">
      <w:pPr>
        <w:ind w:left="-5"/>
      </w:pPr>
      <w:r>
        <w:t>All master pipelines (PL_MASTER_WD, PL_MASTER_WE) and sub-pipelines must write to this table on failure.</w:t>
      </w:r>
      <w:r>
        <w:rPr>
          <w:color w:val="000000"/>
        </w:rPr>
        <w:t xml:space="preserve"> </w:t>
      </w:r>
    </w:p>
    <w:p w14:paraId="7DEFA162" w14:textId="77777777" w:rsidR="002A746E" w:rsidRDefault="007E6071">
      <w:pPr>
        <w:ind w:left="-5"/>
      </w:pPr>
      <w:r>
        <w:rPr>
          <w:b/>
        </w:rPr>
        <w:t xml:space="preserve">Deliverable: </w:t>
      </w:r>
      <w:r>
        <w:t>Error logging table DDL, updated pipeline error handling across all pipelines, documentation of logging schema.</w:t>
      </w:r>
      <w:r>
        <w:rPr>
          <w:color w:val="000000"/>
        </w:rPr>
        <w:t xml:space="preserve"> </w:t>
      </w:r>
    </w:p>
    <w:p w14:paraId="6D0F3139" w14:textId="77777777" w:rsidR="002A746E" w:rsidRDefault="007E6071">
      <w:pPr>
        <w:ind w:left="-5"/>
      </w:pPr>
      <w:r>
        <w:rPr>
          <w:b/>
        </w:rPr>
        <w:lastRenderedPageBreak/>
        <w:t xml:space="preserve">Acceptance Criteria: </w:t>
      </w:r>
      <w:r>
        <w:t xml:space="preserve">Any pipeline failure results in a </w:t>
      </w:r>
      <w:proofErr w:type="spellStart"/>
      <w:r>
        <w:t>queryable</w:t>
      </w:r>
      <w:proofErr w:type="spellEnd"/>
      <w:r>
        <w:t xml:space="preserve"> error record in CTL_ERROR_LOG within the same pipeline run. HSIO can query failure history without accessing ADF Monitor.</w:t>
      </w:r>
      <w:r>
        <w:rPr>
          <w:color w:val="000000"/>
        </w:rPr>
        <w:t xml:space="preserve"> </w:t>
      </w:r>
    </w:p>
    <w:p w14:paraId="7AE04506" w14:textId="77777777" w:rsidR="002A746E" w:rsidRDefault="007E6071">
      <w:pPr>
        <w:spacing w:after="292" w:line="239" w:lineRule="auto"/>
        <w:ind w:left="-5"/>
        <w:rPr>
          <w:color w:val="000000"/>
        </w:rPr>
      </w:pPr>
      <w:r>
        <w:rPr>
          <w:i/>
          <w:color w:val="000000"/>
        </w:rPr>
        <w:t xml:space="preserve">Rationale: Current error handling relies on email notifications and manual ADF Monitor log review. There is no structured, </w:t>
      </w:r>
      <w:proofErr w:type="spellStart"/>
      <w:r>
        <w:rPr>
          <w:i/>
          <w:color w:val="000000"/>
        </w:rPr>
        <w:t>queryable</w:t>
      </w:r>
      <w:proofErr w:type="spellEnd"/>
      <w:r>
        <w:rPr>
          <w:i/>
          <w:color w:val="000000"/>
        </w:rPr>
        <w:t xml:space="preserve"> record of failures. For a platform feeding financial reporting in a SOX-relevant environment, this is a baseline requirement.</w:t>
      </w:r>
      <w:r>
        <w:rPr>
          <w:color w:val="000000"/>
        </w:rPr>
        <w:t xml:space="preserve"> </w:t>
      </w:r>
    </w:p>
    <w:p w14:paraId="7AE47FFF" w14:textId="77777777" w:rsidR="00BE6AB0" w:rsidRPr="00BE6AB0" w:rsidRDefault="00BE6AB0" w:rsidP="00BE6AB0">
      <w:pPr>
        <w:pStyle w:val="DIgitusResponse"/>
        <w:rPr>
          <w:b/>
          <w:bCs/>
        </w:rPr>
      </w:pPr>
      <w:r w:rsidRPr="00BE6AB0">
        <w:rPr>
          <w:b/>
          <w:bCs/>
        </w:rPr>
        <w:t>Digitus Response:</w:t>
      </w:r>
    </w:p>
    <w:p w14:paraId="2B0F605C" w14:textId="77777777" w:rsidR="00BE6AB0" w:rsidRPr="00BE6AB0" w:rsidRDefault="00BE6AB0" w:rsidP="00BE6AB0">
      <w:pPr>
        <w:pStyle w:val="DIgitusResponse"/>
      </w:pPr>
      <w:r w:rsidRPr="00BE6AB0">
        <w:t xml:space="preserve">A similar mechanism already exists through the table </w:t>
      </w:r>
      <w:r w:rsidRPr="00BE6AB0">
        <w:rPr>
          <w:b/>
          <w:bCs/>
        </w:rPr>
        <w:t>CTE_PIPELINE_EXECUTION_DETAIL</w:t>
      </w:r>
      <w:r w:rsidRPr="00BE6AB0">
        <w:t>, which captures execution details of worker pipelines. This table currently records pipeline execution metadata and can be queried to review pipeline run status and related information.</w:t>
      </w:r>
    </w:p>
    <w:p w14:paraId="07F073AE" w14:textId="77777777" w:rsidR="00BE6AB0" w:rsidRPr="00BE6AB0" w:rsidRDefault="00BE6AB0" w:rsidP="00BE6AB0">
      <w:pPr>
        <w:pStyle w:val="DIgitusResponse"/>
      </w:pPr>
      <w:r w:rsidRPr="00BE6AB0">
        <w:t xml:space="preserve">At present, this table captures execution details only for worker pipelines. The pipelines </w:t>
      </w:r>
      <w:r w:rsidRPr="00BE6AB0">
        <w:rPr>
          <w:b/>
          <w:bCs/>
        </w:rPr>
        <w:t>PL_MASTER_WD</w:t>
      </w:r>
      <w:r w:rsidRPr="00BE6AB0">
        <w:t xml:space="preserve"> and </w:t>
      </w:r>
      <w:r w:rsidRPr="00BE6AB0">
        <w:rPr>
          <w:b/>
          <w:bCs/>
        </w:rPr>
        <w:t>PL_MASTER_WE</w:t>
      </w:r>
      <w:r w:rsidRPr="00BE6AB0">
        <w:t xml:space="preserve"> are master/orchestrator pipelines that primarily coordinate the execution of worker pipelines and do not directly perform data reads or writes to target tables.</w:t>
      </w:r>
    </w:p>
    <w:p w14:paraId="2E928DEA" w14:textId="77777777" w:rsidR="00BE6AB0" w:rsidRPr="00BE6AB0" w:rsidRDefault="00BE6AB0" w:rsidP="00BE6AB0">
      <w:pPr>
        <w:pStyle w:val="DIgitusResponse"/>
      </w:pPr>
      <w:r w:rsidRPr="00BE6AB0">
        <w:t xml:space="preserve">To improve visibility for these orchestrator pipelines, we can extend the existing logging approach by including additional metadata fields such as </w:t>
      </w:r>
      <w:r w:rsidRPr="00BE6AB0">
        <w:rPr>
          <w:b/>
          <w:bCs/>
        </w:rPr>
        <w:t>Orchestrator Pipeline Name</w:t>
      </w:r>
      <w:r w:rsidRPr="00BE6AB0">
        <w:t xml:space="preserve"> and </w:t>
      </w:r>
      <w:r w:rsidRPr="00BE6AB0">
        <w:rPr>
          <w:b/>
          <w:bCs/>
        </w:rPr>
        <w:t>Parent Pipeline Run ID</w:t>
      </w:r>
      <w:r w:rsidRPr="00BE6AB0">
        <w:t xml:space="preserve"> when a pipeline is triggered through an orchestrator or parent pipeline. This enhancement would allow tracking of the full execution hierarchy while continuing to use the existing logging framework.</w:t>
      </w:r>
    </w:p>
    <w:p w14:paraId="11DD1D59" w14:textId="77777777" w:rsidR="00BE6AB0" w:rsidRDefault="00BE6AB0">
      <w:pPr>
        <w:spacing w:after="292" w:line="239" w:lineRule="auto"/>
        <w:ind w:left="-5"/>
        <w:rPr>
          <w:color w:val="000000"/>
        </w:rPr>
      </w:pPr>
    </w:p>
    <w:p w14:paraId="08C4F7FC" w14:textId="77777777" w:rsidR="002A746E" w:rsidRDefault="007E6071">
      <w:pPr>
        <w:pStyle w:val="Heading2"/>
        <w:ind w:left="453" w:hanging="468"/>
      </w:pPr>
      <w:bookmarkStart w:id="4" w:name="_Toc7471"/>
      <w:r>
        <w:t xml:space="preserve">Database Cleanup and Recovery Procedures </w:t>
      </w:r>
      <w:bookmarkEnd w:id="4"/>
    </w:p>
    <w:p w14:paraId="076A3B51" w14:textId="77777777" w:rsidR="002A746E" w:rsidRDefault="007E6071">
      <w:pPr>
        <w:ind w:left="-5"/>
      </w:pPr>
      <w:r>
        <w:t>For each of the 10+ existing loading processes, document and (where feasible) automate the database cleanup steps required before re-running a pipeline after a partial failure. This includes identifying which tables require truncation or targeted deletes, which watermark values in CTL_WATERMARK need resetting, and the correct sequence of operations.</w:t>
      </w:r>
      <w:r>
        <w:rPr>
          <w:color w:val="000000"/>
        </w:rPr>
        <w:t xml:space="preserve"> </w:t>
      </w:r>
    </w:p>
    <w:p w14:paraId="117251D1" w14:textId="77777777" w:rsidR="002A746E" w:rsidRDefault="007E6071">
      <w:pPr>
        <w:ind w:left="-5"/>
      </w:pPr>
      <w:r>
        <w:rPr>
          <w:b/>
        </w:rPr>
        <w:t xml:space="preserve">Deliverable: </w:t>
      </w:r>
      <w:r>
        <w:t>Written recovery runbook per pipeline, plus stored procedures or SQL scripts to automate cleanup where feasible. Updated HSIO-</w:t>
      </w:r>
      <w:proofErr w:type="spellStart"/>
      <w:r>
        <w:t>DWH_ETL_Process_Guide</w:t>
      </w:r>
      <w:proofErr w:type="spellEnd"/>
      <w:r>
        <w:t xml:space="preserve"> to include recovery procedures for every pipeline.</w:t>
      </w:r>
      <w:r>
        <w:rPr>
          <w:color w:val="000000"/>
        </w:rPr>
        <w:t xml:space="preserve"> </w:t>
      </w:r>
    </w:p>
    <w:p w14:paraId="69B98C06" w14:textId="77777777" w:rsidR="002A746E" w:rsidRDefault="007E6071">
      <w:pPr>
        <w:ind w:left="-5"/>
      </w:pPr>
      <w:r>
        <w:rPr>
          <w:b/>
        </w:rPr>
        <w:t xml:space="preserve">Acceptance Criteria: </w:t>
      </w:r>
      <w:r>
        <w:t>HSIO data engineer can independently recover from any pipeline failure scenario using the documented procedures and provided scripts, without Digitus involvement. Demonstrated during KT sessions (see Section 2.6).</w:t>
      </w:r>
      <w:r>
        <w:rPr>
          <w:color w:val="000000"/>
        </w:rPr>
        <w:t xml:space="preserve"> </w:t>
      </w:r>
    </w:p>
    <w:p w14:paraId="0E3DBEDD" w14:textId="77777777" w:rsidR="002A746E" w:rsidRDefault="007E6071">
      <w:pPr>
        <w:spacing w:after="292" w:line="239" w:lineRule="auto"/>
        <w:ind w:left="-5"/>
        <w:rPr>
          <w:color w:val="000000"/>
        </w:rPr>
      </w:pPr>
      <w:r>
        <w:rPr>
          <w:i/>
          <w:color w:val="000000"/>
        </w:rPr>
        <w:t>Rationale: The current ETL Process Guide (V1.4) documents pipeline re-run steps but omits database cleanup procedures for partial failures. The HSIO data engineer has confirmed that database cleanup is required before re-</w:t>
      </w:r>
      <w:proofErr w:type="gramStart"/>
      <w:r>
        <w:rPr>
          <w:i/>
          <w:color w:val="000000"/>
        </w:rPr>
        <w:t>runs</w:t>
      </w:r>
      <w:proofErr w:type="gramEnd"/>
      <w:r>
        <w:rPr>
          <w:i/>
          <w:color w:val="000000"/>
        </w:rPr>
        <w:t xml:space="preserve"> but procedures are undocumented.</w:t>
      </w:r>
      <w:r>
        <w:rPr>
          <w:color w:val="000000"/>
        </w:rPr>
        <w:t xml:space="preserve"> </w:t>
      </w:r>
    </w:p>
    <w:p w14:paraId="7D6DE86F" w14:textId="77777777" w:rsidR="00EB3D63" w:rsidRPr="00BE6AB0" w:rsidRDefault="00EB3D63" w:rsidP="00EB3D63">
      <w:pPr>
        <w:pStyle w:val="DIgitusResponse"/>
        <w:rPr>
          <w:b/>
          <w:bCs/>
        </w:rPr>
      </w:pPr>
      <w:r w:rsidRPr="00BE6AB0">
        <w:rPr>
          <w:b/>
          <w:bCs/>
        </w:rPr>
        <w:t>Digitus Response:</w:t>
      </w:r>
    </w:p>
    <w:p w14:paraId="518C9BA9" w14:textId="77777777" w:rsidR="00BB73FD" w:rsidRDefault="00BB73FD">
      <w:pPr>
        <w:spacing w:after="292" w:line="239" w:lineRule="auto"/>
        <w:ind w:left="-5"/>
        <w:rPr>
          <w:color w:val="000000"/>
        </w:rPr>
      </w:pPr>
    </w:p>
    <w:p w14:paraId="20E673E6" w14:textId="24BAE858" w:rsidR="00BB73FD" w:rsidRDefault="00BB73FD" w:rsidP="00BB73FD">
      <w:pPr>
        <w:pStyle w:val="DIgitusResponse"/>
      </w:pPr>
      <w:r w:rsidRPr="00BB73FD">
        <w:t xml:space="preserve">Clarification is required regarding the scope of the requested database cleanup and recovery </w:t>
      </w:r>
      <w:proofErr w:type="spellStart"/>
      <w:r w:rsidRPr="00BB73FD">
        <w:t>procedures.</w:t>
      </w:r>
      <w:r w:rsidR="00EB3D63">
        <w:t>Is</w:t>
      </w:r>
      <w:proofErr w:type="spellEnd"/>
      <w:r w:rsidR="00EB3D63">
        <w:t xml:space="preserve"> this only specific to CTL_WATERMARK table or incremental loading .</w:t>
      </w:r>
    </w:p>
    <w:p w14:paraId="4C0AF9FA" w14:textId="77777777" w:rsidR="00EB3D63" w:rsidRDefault="00EB3D63" w:rsidP="00BB73FD">
      <w:pPr>
        <w:pStyle w:val="DIgitusResponse"/>
      </w:pPr>
    </w:p>
    <w:p w14:paraId="71CFE159" w14:textId="77777777" w:rsidR="002A746E" w:rsidRDefault="007E6071">
      <w:pPr>
        <w:pStyle w:val="Heading2"/>
        <w:ind w:left="455" w:hanging="470"/>
      </w:pPr>
      <w:bookmarkStart w:id="5" w:name="_Toc7472"/>
      <w:r>
        <w:t xml:space="preserve">Automated Data Validation </w:t>
      </w:r>
      <w:bookmarkEnd w:id="5"/>
    </w:p>
    <w:p w14:paraId="4F0514F5" w14:textId="77777777" w:rsidR="002A746E" w:rsidRDefault="007E6071">
      <w:pPr>
        <w:ind w:left="-5"/>
      </w:pPr>
      <w:r>
        <w:t>Replace the current manual post-load SQL validation checks with in-pipeline validation activities. At minimum, implement the following for each pipeline: row count reconciliation (source vs. target), null checks on required fields, and foreign key integrity checks against dimension tables.</w:t>
      </w:r>
      <w:r>
        <w:rPr>
          <w:color w:val="000000"/>
        </w:rPr>
        <w:t xml:space="preserve"> </w:t>
      </w:r>
    </w:p>
    <w:p w14:paraId="1101DE23" w14:textId="77777777" w:rsidR="002A746E" w:rsidRDefault="007E6071">
      <w:pPr>
        <w:ind w:left="-5"/>
      </w:pPr>
      <w:r>
        <w:t>Validation results must be logged to a control table (e.g., CTL_VALIDATION_LOG) and failures must trigger email alerts to the HSIO support distribution list.</w:t>
      </w:r>
      <w:r>
        <w:rPr>
          <w:color w:val="000000"/>
        </w:rPr>
        <w:t xml:space="preserve"> </w:t>
      </w:r>
    </w:p>
    <w:p w14:paraId="0FB3A41C" w14:textId="77777777" w:rsidR="002A746E" w:rsidRDefault="007E6071">
      <w:pPr>
        <w:ind w:left="-5"/>
      </w:pPr>
      <w:r>
        <w:rPr>
          <w:b/>
        </w:rPr>
        <w:t xml:space="preserve">Deliverable: </w:t>
      </w:r>
      <w:r>
        <w:t>Validation logic embedded in each pipeline, control table for validation results, alert configuration, documentation of validation rules per pipeline.</w:t>
      </w:r>
      <w:r>
        <w:rPr>
          <w:color w:val="000000"/>
        </w:rPr>
        <w:t xml:space="preserve"> </w:t>
      </w:r>
    </w:p>
    <w:p w14:paraId="79AB6CE8" w14:textId="77777777" w:rsidR="002A746E" w:rsidRDefault="007E6071">
      <w:pPr>
        <w:ind w:left="-5"/>
      </w:pPr>
      <w:r>
        <w:rPr>
          <w:b/>
        </w:rPr>
        <w:t xml:space="preserve">Acceptance Criteria: </w:t>
      </w:r>
      <w:r>
        <w:t xml:space="preserve">No pipeline completes with a "success" status without passing automated validation checks. Validation results are </w:t>
      </w:r>
      <w:proofErr w:type="spellStart"/>
      <w:r>
        <w:t>queryable</w:t>
      </w:r>
      <w:proofErr w:type="spellEnd"/>
      <w:r>
        <w:t xml:space="preserve"> in CTL_VALIDATION_LOG for audit purposes. Failed validation triggers an email alert within the same pipeline run.</w:t>
      </w:r>
      <w:r>
        <w:rPr>
          <w:color w:val="000000"/>
        </w:rPr>
        <w:t xml:space="preserve"> </w:t>
      </w:r>
    </w:p>
    <w:p w14:paraId="407DFCF6" w14:textId="77777777" w:rsidR="002A746E" w:rsidRDefault="007E6071">
      <w:pPr>
        <w:spacing w:after="292" w:line="239" w:lineRule="auto"/>
        <w:ind w:left="-5"/>
        <w:rPr>
          <w:color w:val="000000"/>
        </w:rPr>
      </w:pPr>
      <w:r>
        <w:rPr>
          <w:i/>
          <w:color w:val="000000"/>
        </w:rPr>
        <w:t>Rationale: Every file loading section in the current ETL Process Guide ends with manual SQL validation queries. This is not sustainable for a single-person support model and does not meet production standards for data quality assurance.</w:t>
      </w:r>
      <w:r>
        <w:rPr>
          <w:color w:val="000000"/>
        </w:rPr>
        <w:t xml:space="preserve"> </w:t>
      </w:r>
    </w:p>
    <w:p w14:paraId="4388E5F4" w14:textId="77777777" w:rsidR="004E4CC7" w:rsidRDefault="004E4CC7">
      <w:pPr>
        <w:spacing w:after="292" w:line="239" w:lineRule="auto"/>
        <w:ind w:left="-5"/>
      </w:pPr>
    </w:p>
    <w:p w14:paraId="3C5E4CCC" w14:textId="77777777" w:rsidR="002A746E" w:rsidRDefault="007E6071">
      <w:pPr>
        <w:pStyle w:val="Heading2"/>
        <w:ind w:left="453" w:hanging="468"/>
      </w:pPr>
      <w:bookmarkStart w:id="6" w:name="_Toc7473"/>
      <w:r>
        <w:t xml:space="preserve">QAD Connectivity Issue Resolution </w:t>
      </w:r>
      <w:bookmarkEnd w:id="6"/>
    </w:p>
    <w:p w14:paraId="08B50960" w14:textId="77777777" w:rsidR="002A746E" w:rsidRDefault="007E6071">
      <w:pPr>
        <w:ind w:left="-5"/>
      </w:pPr>
      <w:r>
        <w:t xml:space="preserve">Investigate and resolve the intermittent connectivity failures between Azure ADF and the QAD Cloud Progress database that are causing daily pipeline failures. If the root cause is determined to be on the QAD Cloud infrastructure side, Digitus will provide a documented escalation package </w:t>
      </w:r>
      <w:proofErr w:type="gramStart"/>
      <w:r>
        <w:t>including:</w:t>
      </w:r>
      <w:proofErr w:type="gramEnd"/>
      <w:r>
        <w:t xml:space="preserve"> reproduction steps, error logs with timestamps, frequency analysis, and recommended remediation for QAD Cloud support.</w:t>
      </w:r>
      <w:r>
        <w:rPr>
          <w:color w:val="000000"/>
        </w:rPr>
        <w:t xml:space="preserve"> </w:t>
      </w:r>
    </w:p>
    <w:p w14:paraId="2435647E" w14:textId="77777777" w:rsidR="002A746E" w:rsidRDefault="007E6071">
      <w:pPr>
        <w:ind w:left="-5"/>
      </w:pPr>
      <w:r>
        <w:rPr>
          <w:b/>
        </w:rPr>
        <w:t xml:space="preserve">Deliverable: </w:t>
      </w:r>
      <w:r>
        <w:t>Root cause analysis document. Either a deployed fix or a complete QAD escalation package with sufficient technical detail for resolution.</w:t>
      </w:r>
      <w:r>
        <w:rPr>
          <w:color w:val="000000"/>
        </w:rPr>
        <w:t xml:space="preserve"> </w:t>
      </w:r>
    </w:p>
    <w:p w14:paraId="2F5D0D97" w14:textId="77777777" w:rsidR="002A746E" w:rsidRDefault="007E6071">
      <w:pPr>
        <w:ind w:left="-5"/>
      </w:pPr>
      <w:r>
        <w:rPr>
          <w:b/>
        </w:rPr>
        <w:t xml:space="preserve">Acceptance Criteria: </w:t>
      </w:r>
      <w:r>
        <w:t>Daily pipeline success rate exceeds 95% over a rolling 30-day period, OR a QAD Cloud support ticket has been opened with the escalation package and is being actively tracked.</w:t>
      </w:r>
      <w:r>
        <w:rPr>
          <w:color w:val="000000"/>
        </w:rPr>
        <w:t xml:space="preserve"> </w:t>
      </w:r>
    </w:p>
    <w:p w14:paraId="1FDF2F33" w14:textId="77777777" w:rsidR="002A746E" w:rsidRDefault="007E6071">
      <w:pPr>
        <w:spacing w:after="292" w:line="239" w:lineRule="auto"/>
        <w:ind w:left="-5"/>
        <w:rPr>
          <w:color w:val="000000"/>
        </w:rPr>
      </w:pPr>
      <w:r>
        <w:rPr>
          <w:i/>
          <w:color w:val="000000"/>
        </w:rPr>
        <w:t xml:space="preserve">Rationale: Digitus identified this as the primary cause of recent pipeline failures in their March 5, </w:t>
      </w:r>
      <w:proofErr w:type="gramStart"/>
      <w:r>
        <w:rPr>
          <w:i/>
          <w:color w:val="000000"/>
        </w:rPr>
        <w:t>2026</w:t>
      </w:r>
      <w:proofErr w:type="gramEnd"/>
      <w:r>
        <w:rPr>
          <w:i/>
          <w:color w:val="000000"/>
        </w:rPr>
        <w:t xml:space="preserve"> response to Blossom. It remains unresolved. Daily load failures directly impact the business team's ability to access current reporting data.</w:t>
      </w:r>
      <w:r>
        <w:rPr>
          <w:color w:val="000000"/>
        </w:rPr>
        <w:t xml:space="preserve"> </w:t>
      </w:r>
    </w:p>
    <w:p w14:paraId="50565299" w14:textId="77777777" w:rsidR="00C77C8E" w:rsidRPr="00C77C8E" w:rsidRDefault="00C77C8E" w:rsidP="00C77C8E">
      <w:pPr>
        <w:pStyle w:val="DIgitusResponse"/>
      </w:pPr>
      <w:r w:rsidRPr="00C77C8E">
        <w:t>Digitus Response:</w:t>
      </w:r>
    </w:p>
    <w:p w14:paraId="1AABA5A7" w14:textId="77777777" w:rsidR="00C77C8E" w:rsidRPr="00C77C8E" w:rsidRDefault="00C77C8E" w:rsidP="00C77C8E">
      <w:pPr>
        <w:pStyle w:val="DIgitusResponse"/>
      </w:pPr>
      <w:r w:rsidRPr="00C77C8E">
        <w:t>The connectivity issue referenced appears to be related to the QAD Cloud Progress database environment rather than the ADF pipeline implementation.</w:t>
      </w:r>
    </w:p>
    <w:p w14:paraId="45FECAFD" w14:textId="77777777" w:rsidR="00C77C8E" w:rsidRPr="00C77C8E" w:rsidRDefault="00C77C8E" w:rsidP="00C77C8E">
      <w:pPr>
        <w:pStyle w:val="DIgitusResponse"/>
      </w:pPr>
      <w:r w:rsidRPr="00C77C8E">
        <w:t>Based on the production execution logs, the "Connection refused. Verify Host Name and Port Number." error has occurred intermittently on the following dates:</w:t>
      </w:r>
    </w:p>
    <w:p w14:paraId="5ABE2526" w14:textId="77777777" w:rsidR="00C77C8E" w:rsidRPr="00C77C8E" w:rsidRDefault="00C77C8E" w:rsidP="00C77C8E">
      <w:pPr>
        <w:pStyle w:val="DIgitusResponse"/>
      </w:pPr>
      <w:r w:rsidRPr="00C77C8E">
        <w:t>• 05-Feb-2026</w:t>
      </w:r>
      <w:r w:rsidRPr="00C77C8E">
        <w:br/>
        <w:t>• 23-Feb-2026</w:t>
      </w:r>
      <w:r w:rsidRPr="00C77C8E">
        <w:br/>
        <w:t>• 24-Feb-2026</w:t>
      </w:r>
      <w:r w:rsidRPr="00C77C8E">
        <w:br/>
      </w:r>
      <w:r w:rsidRPr="00C77C8E">
        <w:lastRenderedPageBreak/>
        <w:t>• 03-Mar-2026</w:t>
      </w:r>
      <w:r w:rsidRPr="00C77C8E">
        <w:br/>
        <w:t>• 04-Mar-2026</w:t>
      </w:r>
    </w:p>
    <w:p w14:paraId="182D4E0F" w14:textId="595F5E63" w:rsidR="00C77C8E" w:rsidRDefault="00C77C8E" w:rsidP="00265252">
      <w:pPr>
        <w:pStyle w:val="DIgitusResponse"/>
      </w:pPr>
      <w:r>
        <w:t xml:space="preserve">This show that this not </w:t>
      </w:r>
      <w:r w:rsidR="00790960">
        <w:t>a</w:t>
      </w:r>
      <w:r w:rsidR="00752F4C">
        <w:t xml:space="preserve"> daily occurring </w:t>
      </w:r>
      <w:r w:rsidR="00EB33FF">
        <w:t>error.</w:t>
      </w:r>
    </w:p>
    <w:p w14:paraId="682BA1A8" w14:textId="24C53492" w:rsidR="00BE067C" w:rsidRDefault="00BE067C" w:rsidP="00265252">
      <w:pPr>
        <w:pStyle w:val="DIgitusResponse"/>
      </w:pPr>
      <w:r w:rsidRPr="00BE067C">
        <w:t>Digitus will continue to monitor pipeline executions for a defined observation period to confirm stability. In the event of recurrence, detailed diagnostics including error logs, timestamps, and frequency analysis will be captured and shared with QAD Cloud support for further investigation.</w:t>
      </w:r>
    </w:p>
    <w:p w14:paraId="50228D18" w14:textId="77777777" w:rsidR="002A746E" w:rsidRDefault="007E6071">
      <w:pPr>
        <w:pStyle w:val="Heading2"/>
        <w:ind w:left="453" w:hanging="468"/>
      </w:pPr>
      <w:bookmarkStart w:id="7" w:name="_Toc7474"/>
      <w:r>
        <w:t xml:space="preserve">Knowledge Transfer Completion </w:t>
      </w:r>
      <w:bookmarkEnd w:id="7"/>
    </w:p>
    <w:p w14:paraId="588BBC31" w14:textId="77777777" w:rsidR="002A746E" w:rsidRDefault="007E6071">
      <w:pPr>
        <w:ind w:left="-5"/>
      </w:pPr>
      <w:r>
        <w:t xml:space="preserve">Conduct structured knowledge transfer sessions with the HSIO data engineer covering every production pipeline end-to-end, </w:t>
      </w:r>
      <w:proofErr w:type="gramStart"/>
      <w:r>
        <w:t>including:</w:t>
      </w:r>
      <w:proofErr w:type="gramEnd"/>
      <w:r>
        <w:t xml:space="preserve"> pipeline logic walkthrough, failure scenarios and recovery procedures, the new error handling and validation logic implemented under this SOW, and any configuration or environment dependencies.</w:t>
      </w:r>
      <w:r>
        <w:rPr>
          <w:color w:val="000000"/>
        </w:rPr>
        <w:t xml:space="preserve"> </w:t>
      </w:r>
    </w:p>
    <w:p w14:paraId="03BF81EA" w14:textId="77777777" w:rsidR="002A746E" w:rsidRDefault="007E6071">
      <w:pPr>
        <w:ind w:left="-5"/>
      </w:pPr>
      <w:r>
        <w:t xml:space="preserve">All KT sessions must be recorded and made available to HSIO. The </w:t>
      </w:r>
      <w:proofErr w:type="spellStart"/>
      <w:r>
        <w:t>HSIODWH_ETL_Process_Guide</w:t>
      </w:r>
      <w:proofErr w:type="spellEnd"/>
      <w:r>
        <w:t xml:space="preserve"> must be updated to reflect all changes made under this engagement.</w:t>
      </w:r>
      <w:r>
        <w:rPr>
          <w:color w:val="000000"/>
        </w:rPr>
        <w:t xml:space="preserve"> </w:t>
      </w:r>
    </w:p>
    <w:p w14:paraId="64E7A6E0" w14:textId="77777777" w:rsidR="002A746E" w:rsidRDefault="007E6071">
      <w:pPr>
        <w:ind w:left="-5"/>
      </w:pPr>
      <w:r>
        <w:rPr>
          <w:b/>
        </w:rPr>
        <w:t xml:space="preserve">Deliverable: </w:t>
      </w:r>
      <w:r>
        <w:t>Recorded KT sessions (minimum 4 sessions covering all pipeline types), updated HSIO-</w:t>
      </w:r>
      <w:proofErr w:type="spellStart"/>
      <w:r>
        <w:t>DWH_ETL_Process_Guide</w:t>
      </w:r>
      <w:proofErr w:type="spellEnd"/>
      <w:r>
        <w:t xml:space="preserve"> (next version), written sign-off from HSIO data engineer confirming independent operational capability.</w:t>
      </w:r>
      <w:r>
        <w:rPr>
          <w:color w:val="000000"/>
        </w:rPr>
        <w:t xml:space="preserve"> </w:t>
      </w:r>
    </w:p>
    <w:p w14:paraId="25F9DA69" w14:textId="77777777" w:rsidR="002A746E" w:rsidRDefault="007E6071">
      <w:pPr>
        <w:ind w:left="-5"/>
      </w:pPr>
      <w:r>
        <w:rPr>
          <w:b/>
        </w:rPr>
        <w:t xml:space="preserve">Acceptance Criteria: </w:t>
      </w:r>
      <w:r>
        <w:t>During the final two weeks of the engagement, the HSIO data engineer demonstrates independent execution of each loading process type (daily automated, weekly automated, monthly file loads, ad-hoc adjustment loads) without Digitus assistance. Any process the HSIO data engineer cannot independently execute is flagged and remediated before engagement completion.</w:t>
      </w:r>
      <w:r>
        <w:rPr>
          <w:color w:val="000000"/>
        </w:rPr>
        <w:t xml:space="preserve"> </w:t>
      </w:r>
    </w:p>
    <w:p w14:paraId="7D3CAB5C" w14:textId="77777777" w:rsidR="002A746E" w:rsidRDefault="007E6071">
      <w:pPr>
        <w:spacing w:after="292" w:line="239" w:lineRule="auto"/>
        <w:ind w:left="-5"/>
      </w:pPr>
      <w:r>
        <w:rPr>
          <w:i/>
          <w:color w:val="000000"/>
        </w:rPr>
        <w:t xml:space="preserve">Rationale: </w:t>
      </w:r>
      <w:proofErr w:type="spellStart"/>
      <w:r>
        <w:rPr>
          <w:i/>
          <w:color w:val="000000"/>
        </w:rPr>
        <w:t>Digitus's</w:t>
      </w:r>
      <w:proofErr w:type="spellEnd"/>
      <w:r>
        <w:rPr>
          <w:i/>
          <w:color w:val="000000"/>
        </w:rPr>
        <w:t xml:space="preserve"> March 5, </w:t>
      </w:r>
      <w:proofErr w:type="gramStart"/>
      <w:r>
        <w:rPr>
          <w:i/>
          <w:color w:val="000000"/>
        </w:rPr>
        <w:t>2026</w:t>
      </w:r>
      <w:proofErr w:type="gramEnd"/>
      <w:r>
        <w:rPr>
          <w:i/>
          <w:color w:val="000000"/>
        </w:rPr>
        <w:t xml:space="preserve"> response stated that all production processes have been handed over with SOP documentation. The evidence does not support this claim. As recently as February 2026, file loading requests from business users were still being directed to Digitus resources (Sudarshan) rather than the HSIO data engineer.</w:t>
      </w:r>
      <w:r>
        <w:rPr>
          <w:color w:val="000000"/>
        </w:rPr>
        <w:t xml:space="preserve"> </w:t>
      </w:r>
    </w:p>
    <w:p w14:paraId="1B86D1A0" w14:textId="77777777" w:rsidR="002A746E" w:rsidRDefault="007E6071">
      <w:pPr>
        <w:pStyle w:val="Heading1"/>
        <w:ind w:left="340" w:hanging="355"/>
      </w:pPr>
      <w:bookmarkStart w:id="8" w:name="_Toc7475"/>
      <w:r>
        <w:t xml:space="preserve">Assumptions (Section: Assumptions) </w:t>
      </w:r>
      <w:bookmarkEnd w:id="8"/>
    </w:p>
    <w:p w14:paraId="1E249B81" w14:textId="77777777" w:rsidR="002A746E" w:rsidRDefault="007E6071">
      <w:pPr>
        <w:spacing w:after="148"/>
        <w:ind w:left="-5"/>
      </w:pPr>
      <w:r>
        <w:rPr>
          <w:color w:val="000000"/>
        </w:rPr>
        <w:t xml:space="preserve">The following items should be added to the Assumptions section: </w:t>
      </w:r>
    </w:p>
    <w:p w14:paraId="7D6E5610" w14:textId="77777777" w:rsidR="002A746E" w:rsidRDefault="007E6071">
      <w:pPr>
        <w:ind w:left="-5"/>
      </w:pPr>
      <w:r>
        <w:rPr>
          <w:b/>
        </w:rPr>
        <w:t xml:space="preserve">Named Resource Requirement: </w:t>
      </w:r>
      <w:r>
        <w:t>Digitus will assign a named resource with direct, prior working experience on the HSIO ADF pipelines and Azure environment. A resource unfamiliar with the existing platform is not acceptable for a remediation and handover engagement. HSIO reserves the right to request a resource change within the first two weeks if the assigned engineer lacks sufficient working knowledge of the existing pipelines.</w:t>
      </w:r>
      <w:r>
        <w:rPr>
          <w:color w:val="000000"/>
        </w:rPr>
        <w:t xml:space="preserve"> </w:t>
      </w:r>
    </w:p>
    <w:p w14:paraId="0CE8987B" w14:textId="77777777" w:rsidR="002A746E" w:rsidRDefault="007E6071">
      <w:pPr>
        <w:ind w:left="-5"/>
      </w:pPr>
      <w:r>
        <w:rPr>
          <w:b/>
        </w:rPr>
        <w:t xml:space="preserve">Resource Confirmation: </w:t>
      </w:r>
      <w:r>
        <w:t>Digitus will confirm the name and relevant experience of the assigned resource prior to SOW execution.</w:t>
      </w:r>
      <w:r>
        <w:rPr>
          <w:color w:val="000000"/>
        </w:rPr>
        <w:t xml:space="preserve"> </w:t>
      </w:r>
    </w:p>
    <w:p w14:paraId="522E531E" w14:textId="77777777" w:rsidR="002A746E" w:rsidRDefault="007E6071">
      <w:pPr>
        <w:spacing w:after="446"/>
        <w:ind w:left="-5"/>
      </w:pPr>
      <w:r>
        <w:rPr>
          <w:b/>
        </w:rPr>
        <w:t xml:space="preserve">Environment Access: </w:t>
      </w:r>
      <w:r>
        <w:t>HSIO will maintain Dev and Prod environment access for the Digitus resource for the duration of the engagement. Access will be revoked upon engagement completion.</w:t>
      </w:r>
      <w:r>
        <w:rPr>
          <w:color w:val="000000"/>
        </w:rPr>
        <w:t xml:space="preserve"> </w:t>
      </w:r>
    </w:p>
    <w:p w14:paraId="563774B9" w14:textId="77777777" w:rsidR="002A746E" w:rsidRDefault="007E6071">
      <w:pPr>
        <w:pStyle w:val="Heading1"/>
        <w:ind w:left="340" w:hanging="355"/>
      </w:pPr>
      <w:bookmarkStart w:id="9" w:name="_Toc7476"/>
      <w:r>
        <w:lastRenderedPageBreak/>
        <w:t xml:space="preserve">Timeline and Plan (Section: Timeline and Plan) </w:t>
      </w:r>
      <w:bookmarkEnd w:id="9"/>
    </w:p>
    <w:p w14:paraId="2885BA58" w14:textId="77777777" w:rsidR="002A746E" w:rsidRDefault="007E6071">
      <w:pPr>
        <w:spacing w:after="10"/>
        <w:ind w:left="-5"/>
      </w:pPr>
      <w:r>
        <w:rPr>
          <w:color w:val="000000"/>
        </w:rPr>
        <w:t xml:space="preserve">The current timeline simply states March 1 to May 31 with no milestones. The following milestone structure should be added: </w:t>
      </w:r>
    </w:p>
    <w:tbl>
      <w:tblPr>
        <w:tblStyle w:val="TableGrid"/>
        <w:tblW w:w="9360" w:type="dxa"/>
        <w:tblInd w:w="0" w:type="dxa"/>
        <w:tblCellMar>
          <w:top w:w="91" w:type="dxa"/>
          <w:left w:w="120" w:type="dxa"/>
          <w:right w:w="108" w:type="dxa"/>
        </w:tblCellMar>
        <w:tblLook w:val="04A0" w:firstRow="1" w:lastRow="0" w:firstColumn="1" w:lastColumn="0" w:noHBand="0" w:noVBand="1"/>
      </w:tblPr>
      <w:tblGrid>
        <w:gridCol w:w="1200"/>
        <w:gridCol w:w="3201"/>
        <w:gridCol w:w="2680"/>
        <w:gridCol w:w="2279"/>
      </w:tblGrid>
      <w:tr w:rsidR="002A746E" w14:paraId="7B4EBAFE" w14:textId="77777777">
        <w:trPr>
          <w:trHeight w:val="331"/>
        </w:trPr>
        <w:tc>
          <w:tcPr>
            <w:tcW w:w="1200" w:type="dxa"/>
            <w:tcBorders>
              <w:top w:val="single" w:sz="2" w:space="0" w:color="CCCCCC"/>
              <w:left w:val="single" w:sz="2" w:space="0" w:color="CCCCCC"/>
              <w:bottom w:val="single" w:sz="2" w:space="0" w:color="CCCCCC"/>
              <w:right w:val="single" w:sz="2" w:space="0" w:color="CCCCCC"/>
            </w:tcBorders>
            <w:shd w:val="clear" w:color="auto" w:fill="2E75B6"/>
          </w:tcPr>
          <w:p w14:paraId="2D4A9358" w14:textId="77777777" w:rsidR="002A746E" w:rsidRDefault="007E6071">
            <w:pPr>
              <w:spacing w:after="0" w:line="259" w:lineRule="auto"/>
              <w:ind w:left="0" w:firstLine="0"/>
            </w:pPr>
            <w:r>
              <w:rPr>
                <w:b/>
                <w:color w:val="FFFFFF"/>
                <w:sz w:val="20"/>
              </w:rPr>
              <w:t>Month</w:t>
            </w:r>
            <w:r>
              <w:rPr>
                <w:color w:val="000000"/>
              </w:rPr>
              <w:t xml:space="preserve"> </w:t>
            </w:r>
          </w:p>
        </w:tc>
        <w:tc>
          <w:tcPr>
            <w:tcW w:w="3201" w:type="dxa"/>
            <w:tcBorders>
              <w:top w:val="single" w:sz="2" w:space="0" w:color="CCCCCC"/>
              <w:left w:val="single" w:sz="2" w:space="0" w:color="CCCCCC"/>
              <w:bottom w:val="single" w:sz="2" w:space="0" w:color="CCCCCC"/>
              <w:right w:val="single" w:sz="2" w:space="0" w:color="CCCCCC"/>
            </w:tcBorders>
            <w:shd w:val="clear" w:color="auto" w:fill="2E75B6"/>
          </w:tcPr>
          <w:p w14:paraId="2103547D" w14:textId="77777777" w:rsidR="002A746E" w:rsidRDefault="007E6071">
            <w:pPr>
              <w:spacing w:after="0" w:line="259" w:lineRule="auto"/>
              <w:ind w:left="0" w:firstLine="0"/>
            </w:pPr>
            <w:r>
              <w:rPr>
                <w:b/>
                <w:color w:val="FFFFFF"/>
                <w:sz w:val="20"/>
              </w:rPr>
              <w:t>Focus Area</w:t>
            </w:r>
            <w:r>
              <w:rPr>
                <w:color w:val="000000"/>
              </w:rPr>
              <w:t xml:space="preserve"> </w:t>
            </w:r>
          </w:p>
        </w:tc>
        <w:tc>
          <w:tcPr>
            <w:tcW w:w="2680" w:type="dxa"/>
            <w:tcBorders>
              <w:top w:val="single" w:sz="2" w:space="0" w:color="CCCCCC"/>
              <w:left w:val="single" w:sz="2" w:space="0" w:color="CCCCCC"/>
              <w:bottom w:val="single" w:sz="2" w:space="0" w:color="CCCCCC"/>
              <w:right w:val="single" w:sz="2" w:space="0" w:color="CCCCCC"/>
            </w:tcBorders>
            <w:shd w:val="clear" w:color="auto" w:fill="2E75B6"/>
          </w:tcPr>
          <w:p w14:paraId="17CCF7C2" w14:textId="77777777" w:rsidR="002A746E" w:rsidRDefault="007E6071">
            <w:pPr>
              <w:spacing w:after="0" w:line="259" w:lineRule="auto"/>
              <w:ind w:left="2" w:firstLine="0"/>
            </w:pPr>
            <w:r>
              <w:rPr>
                <w:b/>
                <w:color w:val="FFFFFF"/>
                <w:sz w:val="20"/>
              </w:rPr>
              <w:t>Key Deliverables</w:t>
            </w:r>
            <w:r>
              <w:rPr>
                <w:color w:val="000000"/>
              </w:rPr>
              <w:t xml:space="preserve"> </w:t>
            </w:r>
          </w:p>
        </w:tc>
        <w:tc>
          <w:tcPr>
            <w:tcW w:w="2279" w:type="dxa"/>
            <w:tcBorders>
              <w:top w:val="single" w:sz="2" w:space="0" w:color="CCCCCC"/>
              <w:left w:val="single" w:sz="2" w:space="0" w:color="CCCCCC"/>
              <w:bottom w:val="single" w:sz="2" w:space="0" w:color="CCCCCC"/>
              <w:right w:val="single" w:sz="2" w:space="0" w:color="CCCCCC"/>
            </w:tcBorders>
            <w:shd w:val="clear" w:color="auto" w:fill="2E75B6"/>
          </w:tcPr>
          <w:p w14:paraId="2D4997BB" w14:textId="77777777" w:rsidR="002A746E" w:rsidRDefault="007E6071">
            <w:pPr>
              <w:spacing w:after="0" w:line="259" w:lineRule="auto"/>
              <w:ind w:left="0" w:firstLine="0"/>
            </w:pPr>
            <w:r>
              <w:rPr>
                <w:b/>
                <w:color w:val="FFFFFF"/>
                <w:sz w:val="20"/>
              </w:rPr>
              <w:t>Acceptance Gate</w:t>
            </w:r>
            <w:r>
              <w:rPr>
                <w:color w:val="000000"/>
              </w:rPr>
              <w:t xml:space="preserve"> </w:t>
            </w:r>
          </w:p>
        </w:tc>
      </w:tr>
      <w:tr w:rsidR="002A746E" w14:paraId="059DE367" w14:textId="77777777">
        <w:trPr>
          <w:trHeight w:val="1112"/>
        </w:trPr>
        <w:tc>
          <w:tcPr>
            <w:tcW w:w="1200" w:type="dxa"/>
            <w:tcBorders>
              <w:top w:val="single" w:sz="2" w:space="0" w:color="CCCCCC"/>
              <w:left w:val="single" w:sz="2" w:space="0" w:color="CCCCCC"/>
              <w:bottom w:val="single" w:sz="2" w:space="0" w:color="CCCCCC"/>
              <w:right w:val="single" w:sz="2" w:space="0" w:color="CCCCCC"/>
            </w:tcBorders>
          </w:tcPr>
          <w:p w14:paraId="1668AF37" w14:textId="77777777" w:rsidR="002A746E" w:rsidRDefault="007E6071">
            <w:pPr>
              <w:spacing w:after="0" w:line="259" w:lineRule="auto"/>
              <w:ind w:left="0" w:firstLine="0"/>
            </w:pPr>
            <w:r>
              <w:rPr>
                <w:sz w:val="20"/>
              </w:rPr>
              <w:t>Month 1</w:t>
            </w:r>
            <w:r>
              <w:rPr>
                <w:color w:val="000000"/>
              </w:rPr>
              <w:t xml:space="preserve"> </w:t>
            </w:r>
          </w:p>
        </w:tc>
        <w:tc>
          <w:tcPr>
            <w:tcW w:w="3201" w:type="dxa"/>
            <w:tcBorders>
              <w:top w:val="single" w:sz="2" w:space="0" w:color="CCCCCC"/>
              <w:left w:val="single" w:sz="2" w:space="0" w:color="CCCCCC"/>
              <w:bottom w:val="single" w:sz="2" w:space="0" w:color="CCCCCC"/>
              <w:right w:val="single" w:sz="2" w:space="0" w:color="CCCCCC"/>
            </w:tcBorders>
          </w:tcPr>
          <w:p w14:paraId="49169E15" w14:textId="77777777" w:rsidR="002A746E" w:rsidRDefault="007E6071">
            <w:pPr>
              <w:spacing w:after="0" w:line="259" w:lineRule="auto"/>
              <w:ind w:left="0" w:firstLine="0"/>
            </w:pPr>
            <w:r>
              <w:rPr>
                <w:sz w:val="20"/>
              </w:rPr>
              <w:t>Remediation: Idempotent loading, error logging, QAD connectivity investigation</w:t>
            </w:r>
            <w:r>
              <w:rPr>
                <w:color w:val="000000"/>
              </w:rPr>
              <w:t xml:space="preserve"> </w:t>
            </w:r>
          </w:p>
        </w:tc>
        <w:tc>
          <w:tcPr>
            <w:tcW w:w="2680" w:type="dxa"/>
            <w:tcBorders>
              <w:top w:val="single" w:sz="2" w:space="0" w:color="CCCCCC"/>
              <w:left w:val="single" w:sz="2" w:space="0" w:color="CCCCCC"/>
              <w:bottom w:val="single" w:sz="2" w:space="0" w:color="CCCCCC"/>
              <w:right w:val="single" w:sz="2" w:space="0" w:color="CCCCCC"/>
            </w:tcBorders>
          </w:tcPr>
          <w:p w14:paraId="03BB61F3" w14:textId="77777777" w:rsidR="002A746E" w:rsidRDefault="007E6071">
            <w:pPr>
              <w:spacing w:after="0" w:line="259" w:lineRule="auto"/>
              <w:ind w:left="2" w:firstLine="0"/>
            </w:pPr>
            <w:r>
              <w:rPr>
                <w:sz w:val="20"/>
              </w:rPr>
              <w:t xml:space="preserve">CTL_ERROR_LOG </w:t>
            </w:r>
          </w:p>
          <w:p w14:paraId="46A96458" w14:textId="77777777" w:rsidR="002A746E" w:rsidRDefault="007E6071">
            <w:pPr>
              <w:spacing w:after="0" w:line="259" w:lineRule="auto"/>
              <w:ind w:left="2" w:firstLine="0"/>
            </w:pPr>
            <w:r>
              <w:rPr>
                <w:sz w:val="20"/>
              </w:rPr>
              <w:t>deployed. Idempotent loading implemented for top 5 pipelines.</w:t>
            </w:r>
            <w:r>
              <w:rPr>
                <w:color w:val="000000"/>
              </w:rPr>
              <w:t xml:space="preserve"> </w:t>
            </w:r>
          </w:p>
        </w:tc>
        <w:tc>
          <w:tcPr>
            <w:tcW w:w="2279" w:type="dxa"/>
            <w:tcBorders>
              <w:top w:val="single" w:sz="2" w:space="0" w:color="CCCCCC"/>
              <w:left w:val="single" w:sz="2" w:space="0" w:color="CCCCCC"/>
              <w:bottom w:val="single" w:sz="2" w:space="0" w:color="CCCCCC"/>
              <w:right w:val="single" w:sz="2" w:space="0" w:color="CCCCCC"/>
            </w:tcBorders>
          </w:tcPr>
          <w:p w14:paraId="6B7B5F3B" w14:textId="77777777" w:rsidR="002A746E" w:rsidRDefault="007E6071">
            <w:pPr>
              <w:spacing w:after="15" w:line="241" w:lineRule="auto"/>
              <w:ind w:left="0" w:firstLine="0"/>
            </w:pPr>
            <w:r>
              <w:rPr>
                <w:sz w:val="20"/>
              </w:rPr>
              <w:t xml:space="preserve">HSIO review and confirmation of Month </w:t>
            </w:r>
          </w:p>
          <w:p w14:paraId="77013D69" w14:textId="77777777" w:rsidR="002A746E" w:rsidRDefault="007E6071">
            <w:pPr>
              <w:spacing w:after="0" w:line="259" w:lineRule="auto"/>
              <w:ind w:left="0" w:firstLine="0"/>
            </w:pPr>
            <w:r>
              <w:rPr>
                <w:sz w:val="20"/>
              </w:rPr>
              <w:t xml:space="preserve">1 </w:t>
            </w:r>
            <w:proofErr w:type="gramStart"/>
            <w:r>
              <w:rPr>
                <w:sz w:val="20"/>
              </w:rPr>
              <w:t>deliverables</w:t>
            </w:r>
            <w:proofErr w:type="gramEnd"/>
            <w:r>
              <w:rPr>
                <w:color w:val="000000"/>
              </w:rPr>
              <w:t xml:space="preserve"> </w:t>
            </w:r>
          </w:p>
        </w:tc>
      </w:tr>
      <w:tr w:rsidR="002A746E" w14:paraId="55F3F510" w14:textId="77777777">
        <w:trPr>
          <w:trHeight w:val="1083"/>
        </w:trPr>
        <w:tc>
          <w:tcPr>
            <w:tcW w:w="1200" w:type="dxa"/>
            <w:tcBorders>
              <w:top w:val="single" w:sz="2" w:space="0" w:color="CCCCCC"/>
              <w:left w:val="single" w:sz="2" w:space="0" w:color="CCCCCC"/>
              <w:bottom w:val="single" w:sz="2" w:space="0" w:color="CCCCCC"/>
              <w:right w:val="single" w:sz="2" w:space="0" w:color="CCCCCC"/>
            </w:tcBorders>
          </w:tcPr>
          <w:p w14:paraId="15299C72" w14:textId="77777777" w:rsidR="002A746E" w:rsidRDefault="007E6071">
            <w:pPr>
              <w:spacing w:after="0" w:line="259" w:lineRule="auto"/>
              <w:ind w:left="0" w:firstLine="0"/>
            </w:pPr>
            <w:r>
              <w:rPr>
                <w:sz w:val="20"/>
              </w:rPr>
              <w:t>Month 2</w:t>
            </w:r>
            <w:r>
              <w:rPr>
                <w:color w:val="000000"/>
              </w:rPr>
              <w:t xml:space="preserve"> </w:t>
            </w:r>
          </w:p>
        </w:tc>
        <w:tc>
          <w:tcPr>
            <w:tcW w:w="3201" w:type="dxa"/>
            <w:tcBorders>
              <w:top w:val="single" w:sz="2" w:space="0" w:color="CCCCCC"/>
              <w:left w:val="single" w:sz="2" w:space="0" w:color="CCCCCC"/>
              <w:bottom w:val="single" w:sz="2" w:space="0" w:color="CCCCCC"/>
              <w:right w:val="single" w:sz="2" w:space="0" w:color="CCCCCC"/>
            </w:tcBorders>
          </w:tcPr>
          <w:p w14:paraId="78637377" w14:textId="77777777" w:rsidR="002A746E" w:rsidRDefault="007E6071">
            <w:pPr>
              <w:spacing w:after="0" w:line="259" w:lineRule="auto"/>
              <w:ind w:left="0" w:firstLine="0"/>
            </w:pPr>
            <w:r>
              <w:rPr>
                <w:sz w:val="20"/>
              </w:rPr>
              <w:t>Remediation: Remaining pipelines, automated validation, recovery procedures</w:t>
            </w:r>
            <w:r>
              <w:rPr>
                <w:color w:val="000000"/>
              </w:rPr>
              <w:t xml:space="preserve"> </w:t>
            </w:r>
          </w:p>
        </w:tc>
        <w:tc>
          <w:tcPr>
            <w:tcW w:w="2680" w:type="dxa"/>
            <w:tcBorders>
              <w:top w:val="single" w:sz="2" w:space="0" w:color="CCCCCC"/>
              <w:left w:val="single" w:sz="2" w:space="0" w:color="CCCCCC"/>
              <w:bottom w:val="single" w:sz="2" w:space="0" w:color="CCCCCC"/>
              <w:right w:val="single" w:sz="2" w:space="0" w:color="CCCCCC"/>
            </w:tcBorders>
          </w:tcPr>
          <w:p w14:paraId="1A5182F6" w14:textId="77777777" w:rsidR="002A746E" w:rsidRDefault="007E6071">
            <w:pPr>
              <w:spacing w:after="0" w:line="259" w:lineRule="auto"/>
              <w:ind w:left="2" w:firstLine="0"/>
            </w:pPr>
            <w:r>
              <w:rPr>
                <w:sz w:val="20"/>
              </w:rPr>
              <w:t xml:space="preserve">All pipelines </w:t>
            </w:r>
            <w:proofErr w:type="gramStart"/>
            <w:r>
              <w:rPr>
                <w:sz w:val="20"/>
              </w:rPr>
              <w:t>idempotent</w:t>
            </w:r>
            <w:proofErr w:type="gramEnd"/>
            <w:r>
              <w:rPr>
                <w:sz w:val="20"/>
              </w:rPr>
              <w:t xml:space="preserve">. </w:t>
            </w:r>
          </w:p>
          <w:p w14:paraId="4419CC0B" w14:textId="77777777" w:rsidR="002A746E" w:rsidRDefault="007E6071">
            <w:pPr>
              <w:spacing w:after="0" w:line="259" w:lineRule="auto"/>
              <w:ind w:left="2" w:firstLine="0"/>
            </w:pPr>
            <w:r>
              <w:rPr>
                <w:sz w:val="20"/>
              </w:rPr>
              <w:t>Validation logic deployed. Recovery runbooks complete.</w:t>
            </w:r>
            <w:r>
              <w:rPr>
                <w:color w:val="000000"/>
              </w:rPr>
              <w:t xml:space="preserve"> </w:t>
            </w:r>
          </w:p>
        </w:tc>
        <w:tc>
          <w:tcPr>
            <w:tcW w:w="2279" w:type="dxa"/>
            <w:tcBorders>
              <w:top w:val="single" w:sz="2" w:space="0" w:color="CCCCCC"/>
              <w:left w:val="single" w:sz="2" w:space="0" w:color="CCCCCC"/>
              <w:bottom w:val="single" w:sz="2" w:space="0" w:color="CCCCCC"/>
              <w:right w:val="single" w:sz="2" w:space="0" w:color="CCCCCC"/>
            </w:tcBorders>
          </w:tcPr>
          <w:p w14:paraId="2CB59013" w14:textId="77777777" w:rsidR="002A746E" w:rsidRDefault="007E6071">
            <w:pPr>
              <w:spacing w:after="13" w:line="241" w:lineRule="auto"/>
              <w:ind w:left="0" w:firstLine="0"/>
            </w:pPr>
            <w:r>
              <w:rPr>
                <w:sz w:val="20"/>
              </w:rPr>
              <w:t xml:space="preserve">HSIO review and confirmation of Month </w:t>
            </w:r>
          </w:p>
          <w:p w14:paraId="4C64E6B8" w14:textId="77777777" w:rsidR="002A746E" w:rsidRDefault="007E6071">
            <w:pPr>
              <w:spacing w:after="0" w:line="259" w:lineRule="auto"/>
              <w:ind w:left="0" w:firstLine="0"/>
            </w:pPr>
            <w:r>
              <w:rPr>
                <w:sz w:val="20"/>
              </w:rPr>
              <w:t>2 deliverables</w:t>
            </w:r>
            <w:r>
              <w:rPr>
                <w:color w:val="000000"/>
              </w:rPr>
              <w:t xml:space="preserve"> </w:t>
            </w:r>
          </w:p>
        </w:tc>
      </w:tr>
      <w:tr w:rsidR="002A746E" w14:paraId="6E2B67C0" w14:textId="77777777">
        <w:trPr>
          <w:trHeight w:val="1080"/>
        </w:trPr>
        <w:tc>
          <w:tcPr>
            <w:tcW w:w="1200" w:type="dxa"/>
            <w:tcBorders>
              <w:top w:val="single" w:sz="2" w:space="0" w:color="CCCCCC"/>
              <w:left w:val="single" w:sz="2" w:space="0" w:color="CCCCCC"/>
              <w:bottom w:val="single" w:sz="2" w:space="0" w:color="CCCCCC"/>
              <w:right w:val="single" w:sz="2" w:space="0" w:color="CCCCCC"/>
            </w:tcBorders>
          </w:tcPr>
          <w:p w14:paraId="0B0D46F3" w14:textId="77777777" w:rsidR="002A746E" w:rsidRDefault="007E6071">
            <w:pPr>
              <w:spacing w:after="0" w:line="259" w:lineRule="auto"/>
              <w:ind w:left="0" w:firstLine="0"/>
            </w:pPr>
            <w:r>
              <w:rPr>
                <w:sz w:val="20"/>
              </w:rPr>
              <w:t>Month 3</w:t>
            </w:r>
            <w:r>
              <w:rPr>
                <w:color w:val="000000"/>
              </w:rPr>
              <w:t xml:space="preserve"> </w:t>
            </w:r>
          </w:p>
        </w:tc>
        <w:tc>
          <w:tcPr>
            <w:tcW w:w="3201" w:type="dxa"/>
            <w:tcBorders>
              <w:top w:val="single" w:sz="2" w:space="0" w:color="CCCCCC"/>
              <w:left w:val="single" w:sz="2" w:space="0" w:color="CCCCCC"/>
              <w:bottom w:val="single" w:sz="2" w:space="0" w:color="CCCCCC"/>
              <w:right w:val="single" w:sz="2" w:space="0" w:color="CCCCCC"/>
            </w:tcBorders>
          </w:tcPr>
          <w:p w14:paraId="17678D7B" w14:textId="77777777" w:rsidR="002A746E" w:rsidRDefault="007E6071">
            <w:pPr>
              <w:spacing w:after="0" w:line="259" w:lineRule="auto"/>
              <w:ind w:left="0" w:firstLine="0"/>
            </w:pPr>
            <w:r>
              <w:rPr>
                <w:sz w:val="20"/>
              </w:rPr>
              <w:t>Knowledge transfer, documentation, independent operation validation</w:t>
            </w:r>
            <w:r>
              <w:rPr>
                <w:color w:val="000000"/>
              </w:rPr>
              <w:t xml:space="preserve"> </w:t>
            </w:r>
          </w:p>
        </w:tc>
        <w:tc>
          <w:tcPr>
            <w:tcW w:w="2680" w:type="dxa"/>
            <w:tcBorders>
              <w:top w:val="single" w:sz="2" w:space="0" w:color="CCCCCC"/>
              <w:left w:val="single" w:sz="2" w:space="0" w:color="CCCCCC"/>
              <w:bottom w:val="single" w:sz="2" w:space="0" w:color="CCCCCC"/>
              <w:right w:val="single" w:sz="2" w:space="0" w:color="CCCCCC"/>
            </w:tcBorders>
          </w:tcPr>
          <w:p w14:paraId="7AAB59CF" w14:textId="77777777" w:rsidR="002A746E" w:rsidRDefault="007E6071">
            <w:pPr>
              <w:spacing w:after="0" w:line="259" w:lineRule="auto"/>
              <w:ind w:left="2" w:firstLine="0"/>
            </w:pPr>
            <w:r>
              <w:rPr>
                <w:sz w:val="20"/>
              </w:rPr>
              <w:t>Updated ETL Process Guide. Recorded KT sessions. Independent operation demonstrated.</w:t>
            </w:r>
            <w:r>
              <w:rPr>
                <w:color w:val="000000"/>
              </w:rPr>
              <w:t xml:space="preserve"> </w:t>
            </w:r>
          </w:p>
        </w:tc>
        <w:tc>
          <w:tcPr>
            <w:tcW w:w="2279" w:type="dxa"/>
            <w:tcBorders>
              <w:top w:val="single" w:sz="2" w:space="0" w:color="CCCCCC"/>
              <w:left w:val="single" w:sz="2" w:space="0" w:color="CCCCCC"/>
              <w:bottom w:val="single" w:sz="2" w:space="0" w:color="CCCCCC"/>
              <w:right w:val="single" w:sz="2" w:space="0" w:color="CCCCCC"/>
            </w:tcBorders>
          </w:tcPr>
          <w:p w14:paraId="1AA147E6" w14:textId="77777777" w:rsidR="002A746E" w:rsidRDefault="007E6071">
            <w:pPr>
              <w:spacing w:after="18" w:line="239" w:lineRule="auto"/>
              <w:ind w:left="0" w:firstLine="0"/>
            </w:pPr>
            <w:r>
              <w:rPr>
                <w:sz w:val="20"/>
              </w:rPr>
              <w:t xml:space="preserve">HSIO data engineer sign-off on </w:t>
            </w:r>
          </w:p>
          <w:p w14:paraId="384FF309" w14:textId="77777777" w:rsidR="002A746E" w:rsidRDefault="007E6071">
            <w:pPr>
              <w:spacing w:after="0" w:line="259" w:lineRule="auto"/>
              <w:ind w:left="0" w:firstLine="0"/>
            </w:pPr>
            <w:r>
              <w:rPr>
                <w:sz w:val="20"/>
              </w:rPr>
              <w:t>independent capability</w:t>
            </w:r>
            <w:r>
              <w:rPr>
                <w:color w:val="000000"/>
              </w:rPr>
              <w:t xml:space="preserve"> </w:t>
            </w:r>
          </w:p>
        </w:tc>
      </w:tr>
    </w:tbl>
    <w:p w14:paraId="12381588" w14:textId="77777777" w:rsidR="002A746E" w:rsidRDefault="007E6071">
      <w:pPr>
        <w:spacing w:after="434" w:line="259" w:lineRule="auto"/>
        <w:ind w:left="0" w:firstLine="0"/>
        <w:rPr>
          <w:color w:val="000000"/>
        </w:rPr>
      </w:pPr>
      <w:r>
        <w:rPr>
          <w:color w:val="000000"/>
        </w:rPr>
        <w:t xml:space="preserve"> </w:t>
      </w:r>
    </w:p>
    <w:p w14:paraId="71AA5BFB" w14:textId="77777777" w:rsidR="00314F78" w:rsidRDefault="00314F78">
      <w:pPr>
        <w:spacing w:after="434" w:line="259" w:lineRule="auto"/>
        <w:ind w:left="0" w:firstLine="0"/>
        <w:rPr>
          <w:color w:val="000000"/>
        </w:rPr>
      </w:pPr>
    </w:p>
    <w:p w14:paraId="669DDC3A" w14:textId="77777777" w:rsidR="00314F78" w:rsidRDefault="00314F78">
      <w:pPr>
        <w:spacing w:after="434" w:line="259" w:lineRule="auto"/>
        <w:ind w:left="0" w:firstLine="0"/>
        <w:rPr>
          <w:color w:val="000000"/>
        </w:rPr>
      </w:pPr>
    </w:p>
    <w:p w14:paraId="6E7D1EC2" w14:textId="77777777" w:rsidR="00314F78" w:rsidRDefault="00314F78">
      <w:pPr>
        <w:spacing w:after="434" w:line="259" w:lineRule="auto"/>
        <w:ind w:left="0" w:firstLine="0"/>
      </w:pPr>
    </w:p>
    <w:p w14:paraId="0C9EC1B9" w14:textId="77777777" w:rsidR="002A746E" w:rsidRDefault="007E6071">
      <w:pPr>
        <w:pStyle w:val="Heading1"/>
        <w:ind w:left="340" w:hanging="355"/>
      </w:pPr>
      <w:bookmarkStart w:id="10" w:name="_Toc7477"/>
      <w:r>
        <w:t xml:space="preserve">Charges and Fees (Section: Charges and Fees) </w:t>
      </w:r>
      <w:bookmarkEnd w:id="10"/>
    </w:p>
    <w:p w14:paraId="417A9C57" w14:textId="77777777" w:rsidR="002A746E" w:rsidRDefault="007E6071">
      <w:pPr>
        <w:ind w:left="-5"/>
      </w:pPr>
      <w:r>
        <w:rPr>
          <w:color w:val="000000"/>
        </w:rPr>
        <w:t xml:space="preserve">Clarify that the engagement is for 1 data engineer for 3 months (total $11,400), not 3 FTEs. The pricing table currently shows "3" in the FTE column which contradicts the description. </w:t>
      </w:r>
    </w:p>
    <w:p w14:paraId="17CC900C" w14:textId="77777777" w:rsidR="002A746E" w:rsidRDefault="007E6071">
      <w:pPr>
        <w:spacing w:after="148"/>
        <w:ind w:left="-5"/>
      </w:pPr>
      <w:r>
        <w:rPr>
          <w:color w:val="000000"/>
        </w:rPr>
        <w:t xml:space="preserve">Additionally, the following payment structure should be added: </w:t>
      </w:r>
    </w:p>
    <w:p w14:paraId="1DBED90E" w14:textId="77777777" w:rsidR="002A746E" w:rsidRDefault="007E6071">
      <w:pPr>
        <w:ind w:left="-5"/>
      </w:pPr>
      <w:r>
        <w:rPr>
          <w:b/>
        </w:rPr>
        <w:t xml:space="preserve">Milestone-Based Holdback: </w:t>
      </w:r>
      <w:r>
        <w:t>20% of the total engagement value ($2,280) will be held until successful completion of all deliverables defined in the Scope of Services section. If deliverables are not completed by the end of the engagement period, the holdback amount will be adjusted pro rata based on the proportion of deliverables completed and accepted by HSIO.</w:t>
      </w:r>
      <w:r>
        <w:rPr>
          <w:color w:val="000000"/>
        </w:rPr>
        <w:t xml:space="preserve"> </w:t>
      </w:r>
    </w:p>
    <w:p w14:paraId="3D99A682" w14:textId="77777777" w:rsidR="002A746E" w:rsidRDefault="007E6071">
      <w:pPr>
        <w:ind w:left="-5"/>
      </w:pPr>
      <w:r>
        <w:rPr>
          <w:b/>
        </w:rPr>
        <w:t xml:space="preserve">Monthly Invoicing: </w:t>
      </w:r>
      <w:r>
        <w:t>Monthly invoices at $3,040 (80% of $3,800). The remaining $760/month ($2,280 total) invoiced upon final acceptance of all deliverables.</w:t>
      </w:r>
      <w:r>
        <w:rPr>
          <w:color w:val="000000"/>
        </w:rPr>
        <w:t xml:space="preserve"> </w:t>
      </w:r>
    </w:p>
    <w:p w14:paraId="4A959A73" w14:textId="77777777" w:rsidR="002A746E" w:rsidRDefault="007E6071">
      <w:pPr>
        <w:pStyle w:val="Heading1"/>
        <w:ind w:left="340" w:hanging="355"/>
      </w:pPr>
      <w:bookmarkStart w:id="11" w:name="_Toc7478"/>
      <w:r>
        <w:t xml:space="preserve">New Section: Completion Criteria and Exit Conditions </w:t>
      </w:r>
      <w:bookmarkEnd w:id="11"/>
    </w:p>
    <w:p w14:paraId="685303B8" w14:textId="77777777" w:rsidR="002A746E" w:rsidRDefault="007E6071">
      <w:pPr>
        <w:ind w:left="-5"/>
      </w:pPr>
      <w:r>
        <w:rPr>
          <w:color w:val="000000"/>
        </w:rPr>
        <w:t xml:space="preserve">The SOW currently has no definition of what "done" looks like. The following section should be added: </w:t>
      </w:r>
    </w:p>
    <w:p w14:paraId="53C290CB" w14:textId="77777777" w:rsidR="002A746E" w:rsidRDefault="007E6071">
      <w:pPr>
        <w:ind w:left="-5"/>
      </w:pPr>
      <w:r>
        <w:t>The engagement is considered complete when the following conditions are met:</w:t>
      </w:r>
      <w:r>
        <w:rPr>
          <w:color w:val="000000"/>
        </w:rPr>
        <w:t xml:space="preserve"> </w:t>
      </w:r>
    </w:p>
    <w:p w14:paraId="6A39AB9D" w14:textId="77777777" w:rsidR="002A746E" w:rsidRDefault="007E6071">
      <w:pPr>
        <w:numPr>
          <w:ilvl w:val="0"/>
          <w:numId w:val="1"/>
        </w:numPr>
        <w:spacing w:after="90"/>
        <w:ind w:hanging="360"/>
      </w:pPr>
      <w:r>
        <w:lastRenderedPageBreak/>
        <w:t xml:space="preserve">All production pipelines support idempotent re-execution (delete-then-insert or </w:t>
      </w:r>
      <w:proofErr w:type="spellStart"/>
      <w:r>
        <w:t>upsert</w:t>
      </w:r>
      <w:proofErr w:type="spellEnd"/>
      <w:r>
        <w:t xml:space="preserve"> pattern)</w:t>
      </w:r>
      <w:r>
        <w:rPr>
          <w:color w:val="000000"/>
        </w:rPr>
        <w:t xml:space="preserve"> </w:t>
      </w:r>
    </w:p>
    <w:p w14:paraId="41798724" w14:textId="77777777" w:rsidR="002A746E" w:rsidRDefault="007E6071">
      <w:pPr>
        <w:numPr>
          <w:ilvl w:val="0"/>
          <w:numId w:val="1"/>
        </w:numPr>
        <w:spacing w:after="93"/>
        <w:ind w:hanging="360"/>
      </w:pPr>
      <w:r>
        <w:t>Structured error logging (CTL_ERROR_LOG) is operational across all pipelines</w:t>
      </w:r>
      <w:r>
        <w:rPr>
          <w:color w:val="000000"/>
        </w:rPr>
        <w:t xml:space="preserve"> </w:t>
      </w:r>
    </w:p>
    <w:p w14:paraId="6E425980" w14:textId="77777777" w:rsidR="002A746E" w:rsidRDefault="007E6071">
      <w:pPr>
        <w:numPr>
          <w:ilvl w:val="0"/>
          <w:numId w:val="1"/>
        </w:numPr>
        <w:spacing w:after="10"/>
        <w:ind w:hanging="360"/>
      </w:pPr>
      <w:r>
        <w:t xml:space="preserve">Automated data validation is embedded in all pipelines with results logged to </w:t>
      </w:r>
    </w:p>
    <w:p w14:paraId="02707326" w14:textId="77777777" w:rsidR="002A746E" w:rsidRDefault="007E6071">
      <w:pPr>
        <w:spacing w:after="88"/>
        <w:ind w:left="730"/>
      </w:pPr>
      <w:r>
        <w:t>CTL_VALIDATION_LOG</w:t>
      </w:r>
      <w:r>
        <w:rPr>
          <w:color w:val="000000"/>
        </w:rPr>
        <w:t xml:space="preserve"> </w:t>
      </w:r>
    </w:p>
    <w:p w14:paraId="2EFE1ECB" w14:textId="77777777" w:rsidR="002A746E" w:rsidRDefault="007E6071">
      <w:pPr>
        <w:numPr>
          <w:ilvl w:val="0"/>
          <w:numId w:val="1"/>
        </w:numPr>
        <w:spacing w:after="96"/>
        <w:ind w:hanging="360"/>
      </w:pPr>
      <w:r>
        <w:t>Recovery documentation and scripts cover every production pipeline</w:t>
      </w:r>
      <w:r>
        <w:rPr>
          <w:color w:val="000000"/>
        </w:rPr>
        <w:t xml:space="preserve"> </w:t>
      </w:r>
    </w:p>
    <w:p w14:paraId="65F02F1B" w14:textId="77777777" w:rsidR="002A746E" w:rsidRDefault="007E6071">
      <w:pPr>
        <w:numPr>
          <w:ilvl w:val="0"/>
          <w:numId w:val="1"/>
        </w:numPr>
        <w:spacing w:after="71"/>
        <w:ind w:hanging="360"/>
      </w:pPr>
      <w:r>
        <w:t>Updated HSIO-</w:t>
      </w:r>
      <w:proofErr w:type="spellStart"/>
      <w:r>
        <w:t>DWH_ETL_Process_Guide</w:t>
      </w:r>
      <w:proofErr w:type="spellEnd"/>
      <w:r>
        <w:t xml:space="preserve"> is delivered and accepted</w:t>
      </w:r>
      <w:r>
        <w:rPr>
          <w:color w:val="000000"/>
        </w:rPr>
        <w:t xml:space="preserve"> </w:t>
      </w:r>
    </w:p>
    <w:p w14:paraId="4A4C1C17" w14:textId="77777777" w:rsidR="002A746E" w:rsidRDefault="007E6071">
      <w:pPr>
        <w:numPr>
          <w:ilvl w:val="0"/>
          <w:numId w:val="1"/>
        </w:numPr>
        <w:spacing w:after="88"/>
        <w:ind w:hanging="360"/>
      </w:pPr>
      <w:r>
        <w:t>HSIO data engineer has demonstrated independent operational capability for all pipeline types</w:t>
      </w:r>
      <w:r>
        <w:rPr>
          <w:color w:val="000000"/>
        </w:rPr>
        <w:t xml:space="preserve"> </w:t>
      </w:r>
    </w:p>
    <w:p w14:paraId="64DE6CCE" w14:textId="77777777" w:rsidR="002A746E" w:rsidRDefault="007E6071">
      <w:pPr>
        <w:numPr>
          <w:ilvl w:val="0"/>
          <w:numId w:val="1"/>
        </w:numPr>
        <w:spacing w:after="68"/>
        <w:ind w:hanging="360"/>
      </w:pPr>
      <w:r>
        <w:t xml:space="preserve">QAD connectivity issue is </w:t>
      </w:r>
      <w:proofErr w:type="gramStart"/>
      <w:r>
        <w:t>resolved</w:t>
      </w:r>
      <w:proofErr w:type="gramEnd"/>
      <w:r>
        <w:t xml:space="preserve"> or a documented escalation is in progress with QAD Cloud support</w:t>
      </w:r>
      <w:r>
        <w:rPr>
          <w:color w:val="000000"/>
        </w:rPr>
        <w:t xml:space="preserve"> </w:t>
      </w:r>
    </w:p>
    <w:p w14:paraId="4400FB7E" w14:textId="77777777" w:rsidR="002A746E" w:rsidRDefault="007E6071">
      <w:pPr>
        <w:spacing w:after="446"/>
        <w:ind w:left="-5"/>
      </w:pPr>
      <w:r>
        <w:t>If these conditions are not met by May 31, 2026, the engagement may be extended at the same monthly rate ($3,800/month) by mutual written agreement, for a period not exceeding two additional months.</w:t>
      </w:r>
      <w:r>
        <w:rPr>
          <w:color w:val="000000"/>
        </w:rPr>
        <w:t xml:space="preserve"> </w:t>
      </w:r>
    </w:p>
    <w:p w14:paraId="74BCF6BF" w14:textId="77777777" w:rsidR="002A746E" w:rsidRDefault="007E6071">
      <w:pPr>
        <w:pStyle w:val="Heading1"/>
        <w:ind w:left="340" w:hanging="355"/>
      </w:pPr>
      <w:bookmarkStart w:id="12" w:name="_Toc7479"/>
      <w:r>
        <w:t xml:space="preserve">New Section: Service Levels and Quality Standards </w:t>
      </w:r>
      <w:bookmarkEnd w:id="12"/>
    </w:p>
    <w:p w14:paraId="105305C2" w14:textId="77777777" w:rsidR="002A746E" w:rsidRDefault="007E6071">
      <w:pPr>
        <w:spacing w:after="168"/>
        <w:ind w:left="-5"/>
      </w:pPr>
      <w:r>
        <w:rPr>
          <w:color w:val="000000"/>
        </w:rPr>
        <w:t xml:space="preserve">The SOW contains no SLAs or quality standards. The following should be added: </w:t>
      </w:r>
    </w:p>
    <w:p w14:paraId="5C10AD6E" w14:textId="77777777" w:rsidR="002A746E" w:rsidRDefault="007E6071">
      <w:pPr>
        <w:numPr>
          <w:ilvl w:val="0"/>
          <w:numId w:val="2"/>
        </w:numPr>
        <w:spacing w:after="86"/>
        <w:ind w:hanging="360"/>
      </w:pPr>
      <w:r>
        <w:rPr>
          <w:b/>
        </w:rPr>
        <w:t xml:space="preserve">Response Time: </w:t>
      </w:r>
      <w:r>
        <w:t>Digitus will respond to HSIO inquiries related to this engagement within 4 business hours during Indian business hours (9:30 AM to 6:00 PM IST). General development, testing, and remediation work may be performed during IST business hours.</w:t>
      </w:r>
      <w:r>
        <w:rPr>
          <w:color w:val="000000"/>
        </w:rPr>
        <w:t xml:space="preserve"> </w:t>
      </w:r>
    </w:p>
    <w:p w14:paraId="06DA3985" w14:textId="77777777" w:rsidR="002A746E" w:rsidRDefault="007E6071">
      <w:pPr>
        <w:numPr>
          <w:ilvl w:val="0"/>
          <w:numId w:val="2"/>
        </w:numPr>
        <w:spacing w:after="89"/>
        <w:ind w:hanging="360"/>
      </w:pPr>
      <w:r>
        <w:rPr>
          <w:b/>
        </w:rPr>
        <w:t xml:space="preserve">Availability Window: </w:t>
      </w:r>
      <w:r>
        <w:t>The assigned Digitus resource must be available for meetings, synchronous communication, and collaborative work sessions between 8:00 AM and 11:00 AM EST (6:30 PM to 9:30 PM IST) on an as-needed basis. HSIO will use best efforts to provide reasonable advance notice for scheduled sessions during this window, however HSIO reserves the right to request immediate availability within this window for urgent production issues or time-sensitive matters. This availability is required for the duration of the engagement to support knowledge transfer, issue triage, deliverable reviews, and collaborative troubleshooting.</w:t>
      </w:r>
      <w:r>
        <w:rPr>
          <w:color w:val="000000"/>
        </w:rPr>
        <w:t xml:space="preserve"> </w:t>
      </w:r>
    </w:p>
    <w:p w14:paraId="7CDD4DA6" w14:textId="77777777" w:rsidR="002A746E" w:rsidRDefault="007E6071">
      <w:pPr>
        <w:numPr>
          <w:ilvl w:val="0"/>
          <w:numId w:val="2"/>
        </w:numPr>
        <w:spacing w:after="86"/>
        <w:ind w:hanging="360"/>
      </w:pPr>
      <w:r>
        <w:rPr>
          <w:b/>
        </w:rPr>
        <w:t xml:space="preserve">Critical Issue Response: </w:t>
      </w:r>
      <w:r>
        <w:t>For pipeline failures impacting production data availability discovered during EST business hours, Digitus will acknowledge via email or Teams within 2 hours and begin active investigation no later than the start of the next IST business day. For failures discovered during the availability window (8:00 AM to 11:00 AM EST), investigation will begin immediately.</w:t>
      </w:r>
      <w:r>
        <w:rPr>
          <w:color w:val="000000"/>
        </w:rPr>
        <w:t xml:space="preserve"> </w:t>
      </w:r>
    </w:p>
    <w:p w14:paraId="50F8CB32" w14:textId="77777777" w:rsidR="002A746E" w:rsidRDefault="007E6071">
      <w:pPr>
        <w:numPr>
          <w:ilvl w:val="0"/>
          <w:numId w:val="2"/>
        </w:numPr>
        <w:ind w:hanging="360"/>
      </w:pPr>
      <w:r>
        <w:rPr>
          <w:b/>
        </w:rPr>
        <w:t xml:space="preserve">Code Quality: </w:t>
      </w:r>
      <w:r>
        <w:t>All pipeline modifications must follow Azure Data Factory best practices, including parameterized pipelines, consistent naming conventions, and inline documentation of transformation logic.</w:t>
      </w:r>
      <w:r>
        <w:rPr>
          <w:color w:val="000000"/>
        </w:rPr>
        <w:t xml:space="preserve"> </w:t>
      </w:r>
    </w:p>
    <w:p w14:paraId="73981A99" w14:textId="77777777" w:rsidR="002A746E" w:rsidRDefault="007E6071">
      <w:pPr>
        <w:numPr>
          <w:ilvl w:val="0"/>
          <w:numId w:val="2"/>
        </w:numPr>
        <w:spacing w:after="96" w:line="240" w:lineRule="auto"/>
        <w:ind w:hanging="360"/>
      </w:pPr>
      <w:r>
        <w:rPr>
          <w:b/>
        </w:rPr>
        <w:t xml:space="preserve">Testing: </w:t>
      </w:r>
      <w:r>
        <w:t>All pipeline changes must be tested in the Dev environment and validated before promotion to Prod. Test evidence (screenshots or logs) must be provided to HSIO.</w:t>
      </w:r>
      <w:r>
        <w:rPr>
          <w:color w:val="000000"/>
        </w:rPr>
        <w:t xml:space="preserve"> </w:t>
      </w:r>
    </w:p>
    <w:p w14:paraId="2D414CD4" w14:textId="77777777" w:rsidR="002A746E" w:rsidRDefault="007E6071">
      <w:pPr>
        <w:numPr>
          <w:ilvl w:val="0"/>
          <w:numId w:val="2"/>
        </w:numPr>
        <w:spacing w:after="0"/>
        <w:ind w:hanging="360"/>
      </w:pPr>
      <w:r>
        <w:rPr>
          <w:b/>
        </w:rPr>
        <w:lastRenderedPageBreak/>
        <w:t xml:space="preserve">Weekly Status: </w:t>
      </w:r>
      <w:r>
        <w:t>Digitus will provide a weekly written status update to the HSIO project lead covering: work completed, deliverables progress, blockers, and planned activities for the following week.</w:t>
      </w:r>
      <w:r>
        <w:rPr>
          <w:color w:val="000000"/>
        </w:rPr>
        <w:t xml:space="preserve"> </w:t>
      </w:r>
    </w:p>
    <w:sectPr w:rsidR="002A746E">
      <w:pgSz w:w="12240" w:h="15840"/>
      <w:pgMar w:top="1486" w:right="1443" w:bottom="16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E4DE0"/>
    <w:multiLevelType w:val="multilevel"/>
    <w:tmpl w:val="99A0F5EE"/>
    <w:lvl w:ilvl="0">
      <w:start w:val="1"/>
      <w:numFmt w:val="decimal"/>
      <w:pStyle w:val="Heading1"/>
      <w:lvlText w:val="%1."/>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C7F603A"/>
    <w:multiLevelType w:val="hybridMultilevel"/>
    <w:tmpl w:val="DB68CDFC"/>
    <w:lvl w:ilvl="0" w:tplc="D1C2B2F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0436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BECD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9AF7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9A5B4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74791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AE1F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3094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304835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B9025E"/>
    <w:multiLevelType w:val="hybridMultilevel"/>
    <w:tmpl w:val="A89A8B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435845"/>
    <w:multiLevelType w:val="hybridMultilevel"/>
    <w:tmpl w:val="72D83FD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 w15:restartNumberingAfterBreak="0">
    <w:nsid w:val="599E5059"/>
    <w:multiLevelType w:val="hybridMultilevel"/>
    <w:tmpl w:val="5E348D8C"/>
    <w:lvl w:ilvl="0" w:tplc="D3F287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9A0E3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8ADFD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E4DE4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367792">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5A0FA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C4A80A">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40490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38702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A4746BC"/>
    <w:multiLevelType w:val="hybridMultilevel"/>
    <w:tmpl w:val="DBE8CE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BD0A3B"/>
    <w:multiLevelType w:val="hybridMultilevel"/>
    <w:tmpl w:val="9BF829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2598926">
    <w:abstractNumId w:val="1"/>
  </w:num>
  <w:num w:numId="2" w16cid:durableId="34740787">
    <w:abstractNumId w:val="4"/>
  </w:num>
  <w:num w:numId="3" w16cid:durableId="606279456">
    <w:abstractNumId w:val="0"/>
  </w:num>
  <w:num w:numId="4" w16cid:durableId="1101334443">
    <w:abstractNumId w:val="6"/>
  </w:num>
  <w:num w:numId="5" w16cid:durableId="820149164">
    <w:abstractNumId w:val="2"/>
  </w:num>
  <w:num w:numId="6" w16cid:durableId="1241865935">
    <w:abstractNumId w:val="5"/>
  </w:num>
  <w:num w:numId="7" w16cid:durableId="25301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46E"/>
    <w:rsid w:val="00063D7C"/>
    <w:rsid w:val="000A407D"/>
    <w:rsid w:val="001D6164"/>
    <w:rsid w:val="00265252"/>
    <w:rsid w:val="002A746E"/>
    <w:rsid w:val="002B2A8A"/>
    <w:rsid w:val="00314F78"/>
    <w:rsid w:val="00351634"/>
    <w:rsid w:val="003A715B"/>
    <w:rsid w:val="00441D15"/>
    <w:rsid w:val="004E4CC7"/>
    <w:rsid w:val="005503DE"/>
    <w:rsid w:val="00574D39"/>
    <w:rsid w:val="00593F9A"/>
    <w:rsid w:val="005A0F80"/>
    <w:rsid w:val="00635CC4"/>
    <w:rsid w:val="00667594"/>
    <w:rsid w:val="00695AD6"/>
    <w:rsid w:val="00735558"/>
    <w:rsid w:val="00736551"/>
    <w:rsid w:val="00752F4C"/>
    <w:rsid w:val="00790960"/>
    <w:rsid w:val="00792E9A"/>
    <w:rsid w:val="007E6071"/>
    <w:rsid w:val="0080706F"/>
    <w:rsid w:val="008A52FC"/>
    <w:rsid w:val="009233ED"/>
    <w:rsid w:val="009369F0"/>
    <w:rsid w:val="00980F7D"/>
    <w:rsid w:val="00B909DB"/>
    <w:rsid w:val="00BB73FD"/>
    <w:rsid w:val="00BE067C"/>
    <w:rsid w:val="00BE6AB0"/>
    <w:rsid w:val="00C77C8E"/>
    <w:rsid w:val="00D34CB3"/>
    <w:rsid w:val="00D410BB"/>
    <w:rsid w:val="00D63B7D"/>
    <w:rsid w:val="00E03D2E"/>
    <w:rsid w:val="00E078AE"/>
    <w:rsid w:val="00E82E15"/>
    <w:rsid w:val="00EB33FF"/>
    <w:rsid w:val="00EB3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519D"/>
  <w15:docId w15:val="{290AAAB6-EF90-4014-9C61-606515FC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49" w:lineRule="auto"/>
      <w:ind w:left="10" w:hanging="10"/>
    </w:pPr>
    <w:rPr>
      <w:rFonts w:ascii="Arial" w:eastAsia="Arial" w:hAnsi="Arial" w:cs="Arial"/>
      <w:color w:val="C00000"/>
      <w:sz w:val="22"/>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numPr>
        <w:ilvl w:val="1"/>
        <w:numId w:val="3"/>
      </w:numPr>
      <w:spacing w:after="39"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2"/>
    </w:rPr>
  </w:style>
  <w:style w:type="paragraph" w:styleId="TOC1">
    <w:name w:val="toc 1"/>
    <w:hidden/>
    <w:pPr>
      <w:spacing w:after="89" w:line="249" w:lineRule="auto"/>
      <w:ind w:left="25" w:right="23" w:hanging="10"/>
    </w:pPr>
    <w:rPr>
      <w:rFonts w:ascii="Arial" w:eastAsia="Arial" w:hAnsi="Arial" w:cs="Arial"/>
      <w:color w:val="000000"/>
      <w:sz w:val="22"/>
    </w:rPr>
  </w:style>
  <w:style w:type="paragraph" w:styleId="TOC2">
    <w:name w:val="toc 2"/>
    <w:hidden/>
    <w:pPr>
      <w:spacing w:after="89" w:line="249" w:lineRule="auto"/>
      <w:ind w:left="246" w:right="23" w:hanging="10"/>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IgitusResponse">
    <w:name w:val="DIgitus Response"/>
    <w:basedOn w:val="Normal"/>
    <w:link w:val="DIgitusResponseChar"/>
    <w:qFormat/>
    <w:rsid w:val="00667594"/>
    <w:pPr>
      <w:ind w:left="-5"/>
    </w:pPr>
    <w:rPr>
      <w:i/>
      <w:color w:val="00B050"/>
    </w:rPr>
  </w:style>
  <w:style w:type="character" w:customStyle="1" w:styleId="DIgitusResponseChar">
    <w:name w:val="DIgitus Response Char"/>
    <w:basedOn w:val="DefaultParagraphFont"/>
    <w:link w:val="DIgitusResponse"/>
    <w:rsid w:val="00667594"/>
    <w:rPr>
      <w:rFonts w:ascii="Arial" w:eastAsia="Arial" w:hAnsi="Arial" w:cs="Arial"/>
      <w:i/>
      <w:color w:val="00B050"/>
      <w:sz w:val="22"/>
    </w:rPr>
  </w:style>
  <w:style w:type="paragraph" w:styleId="ListParagraph">
    <w:name w:val="List Paragraph"/>
    <w:basedOn w:val="Normal"/>
    <w:uiPriority w:val="34"/>
    <w:qFormat/>
    <w:rsid w:val="009369F0"/>
    <w:pPr>
      <w:ind w:left="720"/>
      <w:contextualSpacing/>
    </w:pPr>
  </w:style>
  <w:style w:type="paragraph" w:customStyle="1" w:styleId="response">
    <w:name w:val="response"/>
    <w:basedOn w:val="Normal"/>
    <w:next w:val="Normal"/>
    <w:link w:val="responseChar"/>
    <w:qFormat/>
    <w:rsid w:val="00695AD6"/>
    <w:rPr>
      <w:color w:val="00B050"/>
    </w:rPr>
  </w:style>
  <w:style w:type="character" w:customStyle="1" w:styleId="responseChar">
    <w:name w:val="response Char"/>
    <w:basedOn w:val="DefaultParagraphFont"/>
    <w:link w:val="response"/>
    <w:rsid w:val="00695AD6"/>
    <w:rPr>
      <w:rFonts w:ascii="Arial" w:eastAsia="Arial" w:hAnsi="Arial" w:cs="Arial"/>
      <w:color w:val="00B05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546</TotalTime>
  <Pages>8</Pages>
  <Words>2742</Words>
  <Characters>14945</Characters>
  <Application>Microsoft Office Word</Application>
  <DocSecurity>0</DocSecurity>
  <Lines>553</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17266</CharactersWithSpaces>
  <SharedDoc>false</SharedDoc>
  <HLinks>
    <vt:vector size="78" baseType="variant">
      <vt:variant>
        <vt:i4>1703984</vt:i4>
      </vt:variant>
      <vt:variant>
        <vt:i4>74</vt:i4>
      </vt:variant>
      <vt:variant>
        <vt:i4>0</vt:i4>
      </vt:variant>
      <vt:variant>
        <vt:i4>5</vt:i4>
      </vt:variant>
      <vt:variant>
        <vt:lpwstr/>
      </vt:variant>
      <vt:variant>
        <vt:lpwstr>_Toc7479</vt:lpwstr>
      </vt:variant>
      <vt:variant>
        <vt:i4>1769520</vt:i4>
      </vt:variant>
      <vt:variant>
        <vt:i4>68</vt:i4>
      </vt:variant>
      <vt:variant>
        <vt:i4>0</vt:i4>
      </vt:variant>
      <vt:variant>
        <vt:i4>5</vt:i4>
      </vt:variant>
      <vt:variant>
        <vt:lpwstr/>
      </vt:variant>
      <vt:variant>
        <vt:lpwstr>_Toc7478</vt:lpwstr>
      </vt:variant>
      <vt:variant>
        <vt:i4>1310768</vt:i4>
      </vt:variant>
      <vt:variant>
        <vt:i4>62</vt:i4>
      </vt:variant>
      <vt:variant>
        <vt:i4>0</vt:i4>
      </vt:variant>
      <vt:variant>
        <vt:i4>5</vt:i4>
      </vt:variant>
      <vt:variant>
        <vt:lpwstr/>
      </vt:variant>
      <vt:variant>
        <vt:lpwstr>_Toc7477</vt:lpwstr>
      </vt:variant>
      <vt:variant>
        <vt:i4>1376304</vt:i4>
      </vt:variant>
      <vt:variant>
        <vt:i4>56</vt:i4>
      </vt:variant>
      <vt:variant>
        <vt:i4>0</vt:i4>
      </vt:variant>
      <vt:variant>
        <vt:i4>5</vt:i4>
      </vt:variant>
      <vt:variant>
        <vt:lpwstr/>
      </vt:variant>
      <vt:variant>
        <vt:lpwstr>_Toc7476</vt:lpwstr>
      </vt:variant>
      <vt:variant>
        <vt:i4>1441840</vt:i4>
      </vt:variant>
      <vt:variant>
        <vt:i4>50</vt:i4>
      </vt:variant>
      <vt:variant>
        <vt:i4>0</vt:i4>
      </vt:variant>
      <vt:variant>
        <vt:i4>5</vt:i4>
      </vt:variant>
      <vt:variant>
        <vt:lpwstr/>
      </vt:variant>
      <vt:variant>
        <vt:lpwstr>_Toc7475</vt:lpwstr>
      </vt:variant>
      <vt:variant>
        <vt:i4>1507376</vt:i4>
      </vt:variant>
      <vt:variant>
        <vt:i4>44</vt:i4>
      </vt:variant>
      <vt:variant>
        <vt:i4>0</vt:i4>
      </vt:variant>
      <vt:variant>
        <vt:i4>5</vt:i4>
      </vt:variant>
      <vt:variant>
        <vt:lpwstr/>
      </vt:variant>
      <vt:variant>
        <vt:lpwstr>_Toc7474</vt:lpwstr>
      </vt:variant>
      <vt:variant>
        <vt:i4>1048624</vt:i4>
      </vt:variant>
      <vt:variant>
        <vt:i4>38</vt:i4>
      </vt:variant>
      <vt:variant>
        <vt:i4>0</vt:i4>
      </vt:variant>
      <vt:variant>
        <vt:i4>5</vt:i4>
      </vt:variant>
      <vt:variant>
        <vt:lpwstr/>
      </vt:variant>
      <vt:variant>
        <vt:lpwstr>_Toc7473</vt:lpwstr>
      </vt:variant>
      <vt:variant>
        <vt:i4>1114160</vt:i4>
      </vt:variant>
      <vt:variant>
        <vt:i4>32</vt:i4>
      </vt:variant>
      <vt:variant>
        <vt:i4>0</vt:i4>
      </vt:variant>
      <vt:variant>
        <vt:i4>5</vt:i4>
      </vt:variant>
      <vt:variant>
        <vt:lpwstr/>
      </vt:variant>
      <vt:variant>
        <vt:lpwstr>_Toc7472</vt:lpwstr>
      </vt:variant>
      <vt:variant>
        <vt:i4>1179696</vt:i4>
      </vt:variant>
      <vt:variant>
        <vt:i4>26</vt:i4>
      </vt:variant>
      <vt:variant>
        <vt:i4>0</vt:i4>
      </vt:variant>
      <vt:variant>
        <vt:i4>5</vt:i4>
      </vt:variant>
      <vt:variant>
        <vt:lpwstr/>
      </vt:variant>
      <vt:variant>
        <vt:lpwstr>_Toc7471</vt:lpwstr>
      </vt:variant>
      <vt:variant>
        <vt:i4>1245232</vt:i4>
      </vt:variant>
      <vt:variant>
        <vt:i4>20</vt:i4>
      </vt:variant>
      <vt:variant>
        <vt:i4>0</vt:i4>
      </vt:variant>
      <vt:variant>
        <vt:i4>5</vt:i4>
      </vt:variant>
      <vt:variant>
        <vt:lpwstr/>
      </vt:variant>
      <vt:variant>
        <vt:lpwstr>_Toc7470</vt:lpwstr>
      </vt:variant>
      <vt:variant>
        <vt:i4>1703985</vt:i4>
      </vt:variant>
      <vt:variant>
        <vt:i4>14</vt:i4>
      </vt:variant>
      <vt:variant>
        <vt:i4>0</vt:i4>
      </vt:variant>
      <vt:variant>
        <vt:i4>5</vt:i4>
      </vt:variant>
      <vt:variant>
        <vt:lpwstr/>
      </vt:variant>
      <vt:variant>
        <vt:lpwstr>_Toc7469</vt:lpwstr>
      </vt:variant>
      <vt:variant>
        <vt:i4>1769521</vt:i4>
      </vt:variant>
      <vt:variant>
        <vt:i4>8</vt:i4>
      </vt:variant>
      <vt:variant>
        <vt:i4>0</vt:i4>
      </vt:variant>
      <vt:variant>
        <vt:i4>5</vt:i4>
      </vt:variant>
      <vt:variant>
        <vt:lpwstr/>
      </vt:variant>
      <vt:variant>
        <vt:lpwstr>_Toc7468</vt:lpwstr>
      </vt:variant>
      <vt:variant>
        <vt:i4>1310769</vt:i4>
      </vt:variant>
      <vt:variant>
        <vt:i4>2</vt:i4>
      </vt:variant>
      <vt:variant>
        <vt:i4>0</vt:i4>
      </vt:variant>
      <vt:variant>
        <vt:i4>5</vt:i4>
      </vt:variant>
      <vt:variant>
        <vt:lpwstr/>
      </vt:variant>
      <vt:variant>
        <vt:lpwstr>_Toc7467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Szaja</dc:creator>
  <cp:keywords/>
  <cp:lastModifiedBy>Sudarshan Girme</cp:lastModifiedBy>
  <cp:revision>28</cp:revision>
  <dcterms:created xsi:type="dcterms:W3CDTF">2026-03-16T19:59:00Z</dcterms:created>
  <dcterms:modified xsi:type="dcterms:W3CDTF">2026-03-26T13:30:00Z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32657481-09b4-4adc-995b-99123c17451b</vt:lpwstr>
  </property>
</Properties>
</file>