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Sales and Return Analysis Report</w:t>
      </w:r>
    </w:p>
    <w:p>
      <w:pPr>
        <w:pStyle w:val="Heading1"/>
      </w:pPr>
      <w:r>
        <w:t>Executive Summary</w:t>
      </w:r>
    </w:p>
    <w:p>
      <w:r>
        <w:t>This report provides a detailed overview of the sales performance, returns, item-wise sales, customer-wise contribution, and profitability analysis for a food business. Data visualizations from the Power BI dashboard present insights across time, item categories, and geographies to support strategic decision-making.</w:t>
      </w:r>
    </w:p>
    <w:p>
      <w:pPr>
        <w:pStyle w:val="Heading1"/>
      </w:pPr>
      <w:r>
        <w:t>Key Highlights</w:t>
      </w:r>
    </w:p>
    <w:p>
      <w:r>
        <w:t>• Total Revenue: ₹340,498</w:t>
      </w:r>
    </w:p>
    <w:p>
      <w:r>
        <w:t>• Total Profit: ₹248,583</w:t>
      </w:r>
    </w:p>
    <w:p>
      <w:r>
        <w:t>• Total Item Sold: 3,058</w:t>
      </w:r>
    </w:p>
    <w:p>
      <w:r>
        <w:t>• Total Return Value: ₹14,459.77</w:t>
      </w:r>
    </w:p>
    <w:p>
      <w:pPr>
        <w:pStyle w:val="Heading1"/>
      </w:pPr>
      <w:r>
        <w:t>Customer-Wise Net Bill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Customer Name</w:t>
            </w:r>
          </w:p>
        </w:tc>
        <w:tc>
          <w:tcPr>
            <w:tcW w:type="dxa" w:w="4320"/>
          </w:tcPr>
          <w:p>
            <w:r>
              <w:t>Sum of Net Bill</w:t>
            </w:r>
          </w:p>
        </w:tc>
      </w:tr>
      <w:tr>
        <w:tc>
          <w:tcPr>
            <w:tcW w:type="dxa" w:w="4320"/>
          </w:tcPr>
          <w:p>
            <w:r>
              <w:t>Isha Gill</w:t>
            </w:r>
          </w:p>
        </w:tc>
        <w:tc>
          <w:tcPr>
            <w:tcW w:type="dxa" w:w="4320"/>
          </w:tcPr>
          <w:p>
            <w:r>
              <w:t>₹6,045</w:t>
            </w:r>
          </w:p>
        </w:tc>
      </w:tr>
      <w:tr>
        <w:tc>
          <w:tcPr>
            <w:tcW w:type="dxa" w:w="4320"/>
          </w:tcPr>
          <w:p>
            <w:r>
              <w:t>Anjali Iyer</w:t>
            </w:r>
          </w:p>
        </w:tc>
        <w:tc>
          <w:tcPr>
            <w:tcW w:type="dxa" w:w="4320"/>
          </w:tcPr>
          <w:p>
            <w:r>
              <w:t>₹5,901</w:t>
            </w:r>
          </w:p>
        </w:tc>
      </w:tr>
      <w:tr>
        <w:tc>
          <w:tcPr>
            <w:tcW w:type="dxa" w:w="4320"/>
          </w:tcPr>
          <w:p>
            <w:r>
              <w:t>Isha Grover</w:t>
            </w:r>
          </w:p>
        </w:tc>
        <w:tc>
          <w:tcPr>
            <w:tcW w:type="dxa" w:w="4320"/>
          </w:tcPr>
          <w:p>
            <w:r>
              <w:t>₹5,397</w:t>
            </w:r>
          </w:p>
        </w:tc>
      </w:tr>
      <w:tr>
        <w:tc>
          <w:tcPr>
            <w:tcW w:type="dxa" w:w="4320"/>
          </w:tcPr>
          <w:p>
            <w:r>
              <w:t>Isha Bhatia</w:t>
            </w:r>
          </w:p>
        </w:tc>
        <w:tc>
          <w:tcPr>
            <w:tcW w:type="dxa" w:w="4320"/>
          </w:tcPr>
          <w:p>
            <w:r>
              <w:t>₹5,321</w:t>
            </w:r>
          </w:p>
        </w:tc>
      </w:tr>
      <w:tr>
        <w:tc>
          <w:tcPr>
            <w:tcW w:type="dxa" w:w="4320"/>
          </w:tcPr>
          <w:p>
            <w:r>
              <w:t>Anjali Jain</w:t>
            </w:r>
          </w:p>
        </w:tc>
        <w:tc>
          <w:tcPr>
            <w:tcW w:type="dxa" w:w="4320"/>
          </w:tcPr>
          <w:p>
            <w:r>
              <w:t>₹5,257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₹321,343</w:t>
            </w:r>
          </w:p>
        </w:tc>
      </w:tr>
    </w:tbl>
    <w:p>
      <w:pPr>
        <w:pStyle w:val="Heading1"/>
      </w:pPr>
      <w:r>
        <w:t>Category-Wise Sales &amp; Returns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Net Bill (₹)</w:t>
            </w:r>
          </w:p>
        </w:tc>
        <w:tc>
          <w:tcPr>
            <w:tcW w:type="dxa" w:w="2880"/>
          </w:tcPr>
          <w:p>
            <w:r>
              <w:t>Return Total (₹)</w:t>
            </w:r>
          </w:p>
        </w:tc>
      </w:tr>
      <w:tr>
        <w:tc>
          <w:tcPr>
            <w:tcW w:type="dxa" w:w="2880"/>
          </w:tcPr>
          <w:p>
            <w:r>
              <w:t>Main Course - Vegetarian</w:t>
            </w:r>
          </w:p>
        </w:tc>
        <w:tc>
          <w:tcPr>
            <w:tcW w:type="dxa" w:w="2880"/>
          </w:tcPr>
          <w:p>
            <w:r>
              <w:t>150,515</w:t>
            </w:r>
          </w:p>
        </w:tc>
        <w:tc>
          <w:tcPr>
            <w:tcW w:type="dxa" w:w="2880"/>
          </w:tcPr>
          <w:p>
            <w:r>
              <w:t>7,399.71</w:t>
            </w:r>
          </w:p>
        </w:tc>
      </w:tr>
      <w:tr>
        <w:tc>
          <w:tcPr>
            <w:tcW w:type="dxa" w:w="2880"/>
          </w:tcPr>
          <w:p>
            <w:r>
              <w:t>Desserts / Sweets</w:t>
            </w:r>
          </w:p>
        </w:tc>
        <w:tc>
          <w:tcPr>
            <w:tcW w:type="dxa" w:w="2880"/>
          </w:tcPr>
          <w:p>
            <w:r>
              <w:t>4,232</w:t>
            </w:r>
          </w:p>
        </w:tc>
        <w:tc>
          <w:tcPr>
            <w:tcW w:type="dxa" w:w="2880"/>
          </w:tcPr>
          <w:p>
            <w:r>
              <w:t>196.01</w:t>
            </w:r>
          </w:p>
        </w:tc>
      </w:tr>
      <w:tr>
        <w:tc>
          <w:tcPr>
            <w:tcW w:type="dxa" w:w="2880"/>
          </w:tcPr>
          <w:p>
            <w:r>
              <w:t>Main Course - Non-Vegetarian</w:t>
            </w:r>
          </w:p>
        </w:tc>
        <w:tc>
          <w:tcPr>
            <w:tcW w:type="dxa" w:w="2880"/>
          </w:tcPr>
          <w:p>
            <w:r>
              <w:t>161,206</w:t>
            </w:r>
          </w:p>
        </w:tc>
        <w:tc>
          <w:tcPr>
            <w:tcW w:type="dxa" w:w="2880"/>
          </w:tcPr>
          <w:p>
            <w:r>
              <w:t>6,499.99</w:t>
            </w:r>
          </w:p>
        </w:tc>
      </w:tr>
      <w:tr>
        <w:tc>
          <w:tcPr>
            <w:tcW w:type="dxa" w:w="2880"/>
          </w:tcPr>
          <w:p>
            <w:r>
              <w:t>Snacks</w:t>
            </w:r>
          </w:p>
        </w:tc>
        <w:tc>
          <w:tcPr>
            <w:tcW w:type="dxa" w:w="2880"/>
          </w:tcPr>
          <w:p>
            <w:r>
              <w:t>5,390</w:t>
            </w:r>
          </w:p>
        </w:tc>
        <w:tc>
          <w:tcPr>
            <w:tcW w:type="dxa" w:w="2880"/>
          </w:tcPr>
          <w:p>
            <w:r>
              <w:t>364.06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321,343</w:t>
            </w:r>
          </w:p>
        </w:tc>
        <w:tc>
          <w:tcPr>
            <w:tcW w:type="dxa" w:w="2880"/>
          </w:tcPr>
          <w:p>
            <w:r>
              <w:t>14,459.77</w:t>
            </w:r>
          </w:p>
        </w:tc>
      </w:tr>
    </w:tbl>
    <w:p>
      <w:r>
        <w:t>Insight: Main courses (both vegetarian and non-vegetarian) dominate total sales and returns.</w:t>
      </w:r>
    </w:p>
    <w:p>
      <w:pPr>
        <w:pStyle w:val="Heading1"/>
      </w:pPr>
      <w:r>
        <w:t>Monthly Trend Analysis</w:t>
      </w:r>
    </w:p>
    <w:p>
      <w:pPr>
        <w:pStyle w:val="Heading2"/>
      </w:pPr>
      <w:r>
        <w:t>Net Bill vs Returns by Month</w:t>
      </w:r>
    </w:p>
    <w:p>
      <w:r>
        <w:t>• Highest billing occurred in March and April (near ₹30,000 each).</w:t>
      </w:r>
    </w:p>
    <w:p>
      <w:r>
        <w:t>• Returns are relatively stable throughout the year, peaking in March.</w:t>
      </w:r>
    </w:p>
    <w:p>
      <w:pPr>
        <w:pStyle w:val="Heading2"/>
      </w:pPr>
      <w:r>
        <w:t>Monthly Sales Trend</w:t>
      </w:r>
    </w:p>
    <w:p>
      <w:r>
        <w:t>• Highest Monthly Sale: December (₹32,847)</w:t>
      </w:r>
    </w:p>
    <w:p>
      <w:r>
        <w:t>• Lowest Monthly Sale: May (₹21,824)</w:t>
      </w:r>
    </w:p>
    <w:p>
      <w:pPr>
        <w:pStyle w:val="Heading1"/>
      </w:pPr>
      <w:r>
        <w:t>Top 5 Selling Items</w:t>
      </w:r>
    </w:p>
    <w:p>
      <w:r>
        <w:t>• 1. Mutton Rogan Josh – 29,451 units</w:t>
      </w:r>
    </w:p>
    <w:p>
      <w:r>
        <w:t>• 2. Tandoori Chicken – 27,671 units</w:t>
      </w:r>
    </w:p>
    <w:p>
      <w:r>
        <w:t>• 3. Fish Curry – 25,101 units</w:t>
      </w:r>
    </w:p>
    <w:p>
      <w:r>
        <w:t>• 4. Butter Chicken – 24,754 units</w:t>
      </w:r>
    </w:p>
    <w:p>
      <w:r>
        <w:t>• 5. Chicken Tikka – 20,476 units</w:t>
      </w:r>
    </w:p>
    <w:p>
      <w:pPr>
        <w:pStyle w:val="Heading1"/>
      </w:pPr>
      <w:r>
        <w:t>Total Sales Per Item</w:t>
      </w:r>
    </w:p>
    <w:p>
      <w:r>
        <w:t>Mutton Rogan Josh leads with 29,451 units. The chart shows a steep drop-off after top items, indicating a high sales concentration in a few dishes.</w:t>
      </w:r>
    </w:p>
    <w:p>
      <w:pPr>
        <w:pStyle w:val="Heading1"/>
      </w:pPr>
      <w:r>
        <w:t>Geographical Distribution</w:t>
      </w:r>
    </w:p>
    <w:p>
      <w:r>
        <w:t>Sales activity is concentrated in major regions:</w:t>
      </w:r>
    </w:p>
    <w:p>
      <w:r>
        <w:t>• Asia (India-focused)</w:t>
      </w:r>
    </w:p>
    <w:p>
      <w:r>
        <w:t>• Some activity visible in Europe and North America, likely representing online or international sales.</w:t>
      </w:r>
    </w:p>
    <w:p>
      <w:pPr>
        <w:pStyle w:val="Heading1"/>
      </w:pPr>
      <w:r>
        <w:t>Conclusions &amp; Recommendations</w:t>
      </w:r>
    </w:p>
    <w:p>
      <w:r>
        <w:t>• 1. Focus on High-Margin Items: Main courses drive revenue. Promote combo deals or loyalty points for these.</w:t>
      </w:r>
    </w:p>
    <w:p>
      <w:r>
        <w:t>• 2. Address Returns: While return value is only ~4.5% of revenue, it's significant. Consider deeper analysis into causes (e.g., food quality, delivery).</w:t>
      </w:r>
    </w:p>
    <w:p>
      <w:r>
        <w:t>• 3. Boost Lower-Performing Months: May and June are comparatively weaker. Run promotions or seasonal campaigns.</w:t>
      </w:r>
    </w:p>
    <w:p>
      <w:r>
        <w:t>• 4. Geographical Opportunities: Explore potential in underrepresented regions shown on the map.</w:t>
      </w:r>
    </w:p>
    <w:p>
      <w:r>
        <w:br w:type="page"/>
      </w:r>
    </w:p>
    <w:p>
      <w:pPr>
        <w:pStyle w:val="Heading1"/>
      </w:pPr>
      <w:r>
        <w:t>Power BI Dashboard</w:t>
      </w:r>
    </w:p>
    <w:p>
      <w:r>
        <w:drawing>
          <wp:inline xmlns:a="http://schemas.openxmlformats.org/drawingml/2006/main" xmlns:pic="http://schemas.openxmlformats.org/drawingml/2006/picture">
            <wp:extent cx="5943600" cy="32437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62315cb-5a6b-41d0-85b6-d26ae3d4449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7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