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before="216" w:after="144"/>
        <w:jc w:val="center"/>
        <w:rPr>
          <w:spacing w:val="43"/>
          <w:sz w:val="60"/>
        </w:rPr>
      </w:pPr>
      <w:r>
        <w:rPr>
          <w:spacing w:val="43"/>
          <w:sz w:val="60"/>
        </w:rPr>
        <w:t>DECLARATION OF REINDUSTRIALIZATION</w:t>
      </w:r>
    </w:p>
    <w:p>
      <w:pPr>
        <w:pStyle w:val="Normal"/>
        <w:bidi w:val="0"/>
        <w:spacing w:before="0" w:after="432"/>
        <w:jc w:val="center"/>
        <w:rPr>
          <w:i/>
          <w:sz w:val="30"/>
        </w:rPr>
      </w:pPr>
      <w:r>
        <w:rPr>
          <w:i/>
          <w:sz w:val="30"/>
        </w:rPr>
        <w:t>A Joint Statement by Free Individuals in Support of Universal Truths</w:t>
      </w:r>
    </w:p>
    <w:p>
      <w:pPr>
        <w:pStyle w:val="Normal"/>
        <w:bidi w:val="0"/>
        <w:spacing w:lineRule="auto" w:line="336" w:before="0" w:after="202"/>
        <w:jc w:val="both"/>
        <w:rPr>
          <w:sz w:val="28"/>
        </w:rPr>
      </w:pPr>
      <w:r>
        <w:rPr>
          <w:sz w:val="28"/>
        </w:rPr>
        <w:t>We, free individuals from many nations of the world, are joined here not by citizenship, but by the universal truths we hold in common.</w:t>
      </w:r>
    </w:p>
    <w:p>
      <w:pPr>
        <w:pStyle w:val="Normal"/>
        <w:bidi w:val="0"/>
        <w:spacing w:lineRule="auto" w:line="336" w:before="0" w:after="202"/>
        <w:jc w:val="both"/>
        <w:rPr>
          <w:sz w:val="28"/>
        </w:rPr>
      </w:pPr>
      <w:r>
        <w:rPr>
          <w:sz w:val="28"/>
        </w:rPr>
        <w:t>Two hundred and fifty years ago, in this city, certain truths were declared to be self-evident: that all are created equal, and endowed with unalienable rights—among them life, liberty, and the pursuit of happiness. Those truths were addressed to no single people. They are universal, and they belong to all who choose freedom. As people who hold these truths, and of our own free will, we now join our voices in a common purpose: the success of the reindustrialization of the United States.</w:t>
      </w:r>
    </w:p>
    <w:p>
      <w:pPr>
        <w:pStyle w:val="Normal"/>
        <w:bidi w:val="0"/>
        <w:spacing w:before="259" w:after="144"/>
        <w:rPr>
          <w:b/>
          <w:sz w:val="30"/>
        </w:rPr>
      </w:pPr>
      <w:r>
        <w:rPr>
          <w:b/>
          <w:sz w:val="30"/>
        </w:rPr>
        <w:t>We hold these beliefs:</w:t>
      </w:r>
    </w:p>
    <w:p>
      <w:pPr>
        <w:pStyle w:val="Normal"/>
        <w:bidi w:val="0"/>
        <w:spacing w:lineRule="auto" w:line="336" w:before="0" w:after="144"/>
        <w:ind w:hanging="360" w:start="648"/>
        <w:jc w:val="both"/>
        <w:rPr>
          <w:sz w:val="28"/>
        </w:rPr>
      </w:pPr>
      <w:r>
        <w:rPr>
          <w:sz w:val="28"/>
        </w:rPr>
        <w:t>•</w:t>
      </w:r>
      <w:r>
        <w:rPr>
          <w:sz w:val="28"/>
        </w:rPr>
        <w:tab/>
        <w:t>That the right to pursue happiness rests on the freedom to do real, dignified, and productive work.</w:t>
      </w:r>
    </w:p>
    <w:p>
      <w:pPr>
        <w:pStyle w:val="Normal"/>
        <w:bidi w:val="0"/>
        <w:spacing w:lineRule="auto" w:line="336" w:before="0" w:after="144"/>
        <w:ind w:hanging="360" w:start="648"/>
        <w:jc w:val="both"/>
        <w:rPr>
          <w:sz w:val="28"/>
        </w:rPr>
      </w:pPr>
      <w:r>
        <w:rPr>
          <w:sz w:val="28"/>
        </w:rPr>
        <w:t>•</w:t>
      </w:r>
      <w:r>
        <w:rPr>
          <w:sz w:val="28"/>
        </w:rPr>
        <w:tab/>
        <w:t>That a free people must hold in its own hands the capacities most essential to its life—not only in time of war, but in time of peace.</w:t>
      </w:r>
    </w:p>
    <w:p>
      <w:pPr>
        <w:pStyle w:val="Normal"/>
        <w:bidi w:val="0"/>
        <w:spacing w:lineRule="auto" w:line="336" w:before="0" w:after="144"/>
        <w:ind w:hanging="360" w:start="648"/>
        <w:jc w:val="both"/>
        <w:rPr>
          <w:sz w:val="28"/>
        </w:rPr>
      </w:pPr>
      <w:r>
        <w:rPr>
          <w:sz w:val="28"/>
        </w:rPr>
        <w:t>•</w:t>
      </w:r>
      <w:r>
        <w:rPr>
          <w:sz w:val="28"/>
        </w:rPr>
        <w:tab/>
        <w:t>That free societies cannot endure on money and policy alone; they depend on generation after generation who take pride in making things well, and who hold craftsmanship to be a matter of honor.</w:t>
      </w:r>
    </w:p>
    <w:p>
      <w:pPr>
        <w:pStyle w:val="Normal"/>
        <w:bidi w:val="0"/>
        <w:spacing w:lineRule="auto" w:line="336" w:before="0" w:after="144"/>
        <w:ind w:hanging="360" w:start="648"/>
        <w:jc w:val="both"/>
        <w:rPr>
          <w:sz w:val="28"/>
        </w:rPr>
      </w:pPr>
      <w:r>
        <w:rPr>
          <w:sz w:val="28"/>
        </w:rPr>
        <w:t>•</w:t>
      </w:r>
      <w:r>
        <w:rPr>
          <w:sz w:val="28"/>
        </w:rPr>
        <w:tab/>
        <w:t>That cooperation among free societies must leave each of them more independent, never more beholden to another.</w:t>
      </w:r>
    </w:p>
    <w:p>
      <w:pPr>
        <w:pStyle w:val="Normal"/>
        <w:bidi w:val="0"/>
        <w:spacing w:lineRule="auto" w:line="336" w:before="0" w:after="144"/>
        <w:ind w:hanging="360" w:start="648"/>
        <w:jc w:val="both"/>
        <w:rPr>
          <w:sz w:val="28"/>
        </w:rPr>
      </w:pPr>
      <w:r>
        <w:rPr>
          <w:sz w:val="28"/>
        </w:rPr>
        <w:t>•</w:t>
      </w:r>
      <w:r>
        <w:rPr>
          <w:sz w:val="28"/>
        </w:rPr>
        <w:tab/>
        <w:t>That to place our most vital productive capacity in the hands of regimes or entities that honor neither individual rights nor predictable rules is to forge invisible shackles for ourselves.</w:t>
      </w:r>
    </w:p>
    <w:p>
      <w:pPr>
        <w:pStyle w:val="Normal"/>
        <w:bidi w:val="0"/>
        <w:spacing w:lineRule="auto" w:line="336" w:before="0" w:after="202"/>
        <w:jc w:val="both"/>
        <w:rPr>
          <w:sz w:val="28"/>
        </w:rPr>
      </w:pPr>
      <w:r>
        <w:rPr>
          <w:sz w:val="28"/>
        </w:rPr>
        <w:t>Today, the United States, together with like-minded partners, is rebuilding genuine capacity in semiconductors, critical minerals, energy, shipbuilding, advanced computing infrastructure, and other sectors truly vital to a nation's security and its people's livelihood. This direction, and these principles, we support—as the work of no single administration, and as a task far from finished.</w:t>
      </w:r>
    </w:p>
    <w:p>
      <w:pPr>
        <w:pStyle w:val="Normal"/>
        <w:bidi w:val="0"/>
        <w:spacing w:lineRule="auto" w:line="336" w:before="0" w:after="202"/>
        <w:jc w:val="both"/>
        <w:rPr>
          <w:sz w:val="28"/>
        </w:rPr>
      </w:pPr>
      <w:r>
        <w:rPr>
          <w:sz w:val="28"/>
        </w:rPr>
        <w:t>And we oppose any course that leaves free societies ever more dependent, in their core capabilities, upon those who violate the principles set forth above.</w:t>
      </w:r>
    </w:p>
    <w:p>
      <w:pPr>
        <w:pStyle w:val="Normal"/>
        <w:bidi w:val="0"/>
        <w:spacing w:before="259" w:after="144"/>
        <w:rPr>
          <w:b/>
          <w:sz w:val="30"/>
        </w:rPr>
      </w:pPr>
      <w:r>
        <w:rPr>
          <w:b/>
          <w:sz w:val="30"/>
        </w:rPr>
        <w:t>We pledge:</w:t>
      </w:r>
    </w:p>
    <w:p>
      <w:pPr>
        <w:pStyle w:val="Normal"/>
        <w:bidi w:val="0"/>
        <w:spacing w:lineRule="auto" w:line="336" w:before="0" w:after="144"/>
        <w:ind w:hanging="360" w:start="648"/>
        <w:jc w:val="both"/>
        <w:rPr>
          <w:sz w:val="28"/>
        </w:rPr>
      </w:pPr>
      <w:r>
        <w:rPr>
          <w:sz w:val="28"/>
        </w:rPr>
        <w:t>•</w:t>
      </w:r>
      <w:r>
        <w:rPr>
          <w:sz w:val="28"/>
        </w:rPr>
        <w:tab/>
        <w:t>Of our own free will, and whatever our nationality, to devote our efforts to the success of the reindustrialization of the United States—and, through its success, to the strength of free societies everywhere.</w:t>
      </w:r>
    </w:p>
    <w:p>
      <w:pPr>
        <w:pStyle w:val="Normal"/>
        <w:bidi w:val="0"/>
        <w:spacing w:lineRule="auto" w:line="336" w:before="0" w:after="144"/>
        <w:ind w:hanging="360" w:start="648"/>
        <w:jc w:val="both"/>
        <w:rPr>
          <w:sz w:val="28"/>
        </w:rPr>
      </w:pPr>
      <w:r>
        <w:rPr>
          <w:sz w:val="28"/>
        </w:rPr>
        <w:t>•</w:t>
      </w:r>
      <w:r>
        <w:rPr>
          <w:sz w:val="28"/>
        </w:rPr>
        <w:tab/>
        <w:t>To refuse to surrender strategic productive capacity to any regime or entity that systematically violates these principles.</w:t>
      </w:r>
    </w:p>
    <w:p>
      <w:pPr>
        <w:pStyle w:val="Normal"/>
        <w:bidi w:val="0"/>
        <w:spacing w:lineRule="auto" w:line="336" w:before="0" w:after="144"/>
        <w:ind w:hanging="360" w:start="648"/>
        <w:jc w:val="both"/>
        <w:rPr>
          <w:sz w:val="28"/>
        </w:rPr>
      </w:pPr>
      <w:r>
        <w:rPr>
          <w:sz w:val="28"/>
        </w:rPr>
        <w:t>•</w:t>
      </w:r>
      <w:r>
        <w:rPr>
          <w:sz w:val="28"/>
        </w:rPr>
        <w:tab/>
        <w:t>To advance cooperation among free societies that is predictable in substance and predictable in manner, reciprocal in the timing and design of its institutions as well as in their eventual outcome, and that genuinely strengthens the independence of every party to it.</w:t>
      </w:r>
    </w:p>
    <w:p>
      <w:pPr>
        <w:pStyle w:val="Normal"/>
        <w:bidi w:val="0"/>
        <w:spacing w:lineRule="auto" w:line="336" w:before="0" w:after="144"/>
        <w:ind w:hanging="360" w:start="648"/>
        <w:jc w:val="both"/>
        <w:rPr>
          <w:sz w:val="28"/>
        </w:rPr>
      </w:pPr>
      <w:r>
        <w:rPr>
          <w:sz w:val="28"/>
        </w:rPr>
        <w:t>•</w:t>
      </w:r>
      <w:r>
        <w:rPr>
          <w:sz w:val="28"/>
        </w:rPr>
        <w:tab/>
        <w:t>To teach the generation that follows us that freedom without the capacity to produce—and to compute—what matters most will always be fragile; and to invest patiently in the people, the apprenticeships, and the craftsmanship that such capacity ultimately requires.</w:t>
      </w:r>
    </w:p>
    <w:p>
      <w:pPr>
        <w:pStyle w:val="Normal"/>
        <w:bidi w:val="0"/>
        <w:spacing w:lineRule="auto" w:line="336" w:before="0" w:after="144"/>
        <w:ind w:hanging="360" w:start="648"/>
        <w:jc w:val="both"/>
        <w:rPr>
          <w:sz w:val="28"/>
        </w:rPr>
      </w:pPr>
      <w:r>
        <w:rPr>
          <w:sz w:val="28"/>
        </w:rPr>
        <w:t>•</w:t>
      </w:r>
      <w:r>
        <w:rPr>
          <w:sz w:val="28"/>
        </w:rPr>
        <w:tab/>
        <w:t>To recognize, as Hamilton taught, that the essentials of national supply and the public credit stand together; that support for reindustrialization is inseparable from support for fiscal discipline.</w:t>
      </w:r>
    </w:p>
    <w:p>
      <w:pPr>
        <w:pStyle w:val="Normal"/>
        <w:bidi w:val="0"/>
        <w:spacing w:before="317" w:after="317"/>
        <w:jc w:val="center"/>
        <w:rPr>
          <w:i/>
          <w:sz w:val="30"/>
        </w:rPr>
      </w:pPr>
      <w:r>
        <w:rPr>
          <w:i/>
          <w:sz w:val="30"/>
        </w:rPr>
        <w:t>To these words we pledge our names and our honor.</w:t>
      </w:r>
    </w:p>
    <w:p>
      <w:pPr>
        <w:pStyle w:val="Normal"/>
        <w:bidi w:val="0"/>
        <w:spacing w:before="144" w:after="144"/>
        <w:jc w:val="center"/>
        <w:rPr>
          <w:sz w:val="28"/>
        </w:rPr>
      </w:pPr>
      <w:r>
        <w:rPr>
          <w:sz w:val="28"/>
        </w:rPr>
        <w:t>✦  ✦  ✦</w:t>
      </w:r>
    </w:p>
    <w:p>
      <w:pPr>
        <w:pStyle w:val="Normal"/>
        <w:bidi w:val="0"/>
        <w:spacing w:lineRule="auto" w:line="336" w:before="0" w:after="202"/>
        <w:jc w:val="both"/>
        <w:rPr>
          <w:sz w:val="28"/>
        </w:rPr>
      </w:pPr>
      <w:r>
        <w:rPr>
          <w:b/>
          <w:sz w:val="28"/>
        </w:rPr>
        <w:t>Signed this Fourth Day of July, 2026</w:t>
      </w:r>
      <w:r>
        <w:rPr>
          <w:sz w:val="28"/>
        </w:rPr>
        <w:t>, the Two Hundred and Fiftieth Anniversary of the Declaration of Independence of the United States of America, in the City of Philadelphia, Commonwealth of Pennsylvania, United States of America, at the historic home of the First Troop Philadelphia City Cavalry (the First City Troop), in the birthplace of the nation.</w:t>
      </w:r>
    </w:p>
    <w:tbl>
      <w:tblPr>
        <w:tblW w:w="8928" w:type="dxa"/>
        <w:jc w:val="center"/>
        <w:tblInd w:w="0" w:type="dxa"/>
        <w:tblLayout w:type="fixed"/>
        <w:tblCellMar>
          <w:top w:w="0" w:type="dxa"/>
          <w:start w:w="72" w:type="dxa"/>
          <w:bottom w:w="0" w:type="dxa"/>
          <w:end w:w="216" w:type="dxa"/>
        </w:tblCellMar>
      </w:tblPr>
      <w:tblGrid>
        <w:gridCol w:w="5616"/>
        <w:gridCol w:w="576"/>
        <w:gridCol w:w="2736"/>
      </w:tblGrid>
      <w:tr>
        <w:trPr/>
        <w:tc>
          <w:tcPr>
            <w:tcW w:w="5616" w:type="dxa"/>
            <w:tcBorders/>
          </w:tcPr>
          <w:p>
            <w:pPr>
              <w:pStyle w:val="Normal"/>
              <w:bidi w:val="0"/>
              <w:spacing w:before="0" w:after="58"/>
              <w:jc w:val="start"/>
              <w:rPr>
                <w:smallCaps/>
                <w:sz w:val="26"/>
              </w:rPr>
            </w:pPr>
            <w:r>
              <w:rPr>
                <w:smallCaps/>
                <w:sz w:val="26"/>
              </w:rPr>
              <w:t>Name</w:t>
            </w:r>
          </w:p>
        </w:tc>
        <w:tc>
          <w:tcPr>
            <w:tcW w:w="576" w:type="dxa"/>
            <w:tcBorders/>
          </w:tcPr>
          <w:p>
            <w:pPr>
              <w:pStyle w:val="Normal"/>
              <w:bidi w:val="0"/>
              <w:spacing w:before="0" w:after="58"/>
              <w:jc w:val="start"/>
              <w:rPr>
                <w:smallCaps/>
                <w:sz w:val="26"/>
              </w:rPr>
            </w:pPr>
            <w:r>
              <w:rPr>
                <w:smallCaps/>
                <w:sz w:val="26"/>
              </w:rPr>
            </w:r>
          </w:p>
        </w:tc>
        <w:tc>
          <w:tcPr>
            <w:tcW w:w="2736" w:type="dxa"/>
            <w:tcBorders/>
          </w:tcPr>
          <w:p>
            <w:pPr>
              <w:pStyle w:val="Normal"/>
              <w:bidi w:val="0"/>
              <w:spacing w:before="0" w:after="58"/>
              <w:jc w:val="start"/>
              <w:rPr>
                <w:smallCaps/>
                <w:sz w:val="26"/>
              </w:rPr>
            </w:pPr>
            <w:r>
              <w:rPr>
                <w:smallCaps/>
                <w:sz w:val="26"/>
              </w:rPr>
              <w:t>Date</w:t>
            </w:r>
          </w:p>
        </w:tc>
      </w:tr>
      <w:tr>
        <w:trPr/>
        <w:tc>
          <w:tcPr>
            <w:tcW w:w="5616" w:type="dxa"/>
            <w:tcBorders>
              <w:bottom w:val="single" w:sz="4" w:space="0" w:color="000000"/>
            </w:tcBorders>
            <w:tcMar>
              <w:bottom w:w="29" w:type="dxa"/>
            </w:tcMar>
          </w:tcPr>
          <w:p>
            <w:pPr>
              <w:pStyle w:val="Normal"/>
              <w:bidi w:val="0"/>
              <w:spacing w:before="230" w:after="29"/>
              <w:jc w:val="start"/>
              <w:rPr>
                <w:sz w:val="26"/>
              </w:rPr>
            </w:pPr>
            <w:r>
              <w:rPr>
                <w:sz w:val="26"/>
              </w:rPr>
            </w:r>
          </w:p>
        </w:tc>
        <w:tc>
          <w:tcPr>
            <w:tcW w:w="576" w:type="dxa"/>
            <w:tcBorders/>
          </w:tcPr>
          <w:p>
            <w:pPr>
              <w:pStyle w:val="Normal"/>
              <w:bidi w:val="0"/>
              <w:spacing w:before="230" w:after="29"/>
              <w:jc w:val="start"/>
              <w:rPr>
                <w:sz w:val="26"/>
              </w:rPr>
            </w:pPr>
            <w:r>
              <w:rPr>
                <w:sz w:val="26"/>
              </w:rPr>
            </w:r>
          </w:p>
        </w:tc>
        <w:tc>
          <w:tcPr>
            <w:tcW w:w="2736" w:type="dxa"/>
            <w:tcBorders>
              <w:bottom w:val="single" w:sz="4" w:space="0" w:color="000000"/>
            </w:tcBorders>
            <w:tcMar>
              <w:bottom w:w="29" w:type="dxa"/>
            </w:tcMar>
          </w:tcPr>
          <w:p>
            <w:pPr>
              <w:pStyle w:val="Normal"/>
              <w:bidi w:val="0"/>
              <w:spacing w:before="230" w:after="29"/>
              <w:jc w:val="start"/>
              <w:rPr>
                <w:sz w:val="26"/>
              </w:rPr>
            </w:pPr>
            <w:r>
              <w:rPr>
                <w:sz w:val="26"/>
              </w:rPr>
            </w:r>
          </w:p>
        </w:tc>
      </w:tr>
      <w:tr>
        <w:trPr/>
        <w:tc>
          <w:tcPr>
            <w:tcW w:w="5616" w:type="dxa"/>
            <w:tcBorders>
              <w:bottom w:val="single" w:sz="4" w:space="0" w:color="000000"/>
            </w:tcBorders>
            <w:tcMar>
              <w:bottom w:w="29" w:type="dxa"/>
            </w:tcMar>
          </w:tcPr>
          <w:p>
            <w:pPr>
              <w:pStyle w:val="Normal"/>
              <w:bidi w:val="0"/>
              <w:spacing w:before="230" w:after="29"/>
              <w:jc w:val="start"/>
              <w:rPr>
                <w:sz w:val="26"/>
              </w:rPr>
            </w:pPr>
            <w:r>
              <w:rPr>
                <w:sz w:val="26"/>
              </w:rPr>
            </w:r>
          </w:p>
        </w:tc>
        <w:tc>
          <w:tcPr>
            <w:tcW w:w="576" w:type="dxa"/>
            <w:tcBorders/>
          </w:tcPr>
          <w:p>
            <w:pPr>
              <w:pStyle w:val="Normal"/>
              <w:bidi w:val="0"/>
              <w:spacing w:before="230" w:after="29"/>
              <w:jc w:val="start"/>
              <w:rPr>
                <w:sz w:val="26"/>
              </w:rPr>
            </w:pPr>
            <w:r>
              <w:rPr>
                <w:sz w:val="26"/>
              </w:rPr>
            </w:r>
          </w:p>
        </w:tc>
        <w:tc>
          <w:tcPr>
            <w:tcW w:w="2736" w:type="dxa"/>
            <w:tcBorders>
              <w:bottom w:val="single" w:sz="4" w:space="0" w:color="000000"/>
            </w:tcBorders>
            <w:tcMar>
              <w:bottom w:w="29" w:type="dxa"/>
            </w:tcMar>
          </w:tcPr>
          <w:p>
            <w:pPr>
              <w:pStyle w:val="Normal"/>
              <w:bidi w:val="0"/>
              <w:spacing w:before="230" w:after="29"/>
              <w:jc w:val="start"/>
              <w:rPr>
                <w:sz w:val="26"/>
              </w:rPr>
            </w:pPr>
            <w:r>
              <w:rPr>
                <w:sz w:val="26"/>
              </w:rPr>
            </w:r>
          </w:p>
        </w:tc>
      </w:tr>
      <w:tr>
        <w:trPr/>
        <w:tc>
          <w:tcPr>
            <w:tcW w:w="5616" w:type="dxa"/>
            <w:tcBorders>
              <w:bottom w:val="single" w:sz="4" w:space="0" w:color="000000"/>
            </w:tcBorders>
            <w:tcMar>
              <w:bottom w:w="29" w:type="dxa"/>
            </w:tcMar>
          </w:tcPr>
          <w:p>
            <w:pPr>
              <w:pStyle w:val="Normal"/>
              <w:bidi w:val="0"/>
              <w:spacing w:before="230" w:after="29"/>
              <w:jc w:val="start"/>
              <w:rPr>
                <w:sz w:val="26"/>
              </w:rPr>
            </w:pPr>
            <w:r>
              <w:rPr>
                <w:sz w:val="26"/>
              </w:rPr>
            </w:r>
          </w:p>
        </w:tc>
        <w:tc>
          <w:tcPr>
            <w:tcW w:w="576" w:type="dxa"/>
            <w:tcBorders/>
          </w:tcPr>
          <w:p>
            <w:pPr>
              <w:pStyle w:val="Normal"/>
              <w:bidi w:val="0"/>
              <w:spacing w:before="230" w:after="29"/>
              <w:jc w:val="start"/>
              <w:rPr>
                <w:sz w:val="26"/>
              </w:rPr>
            </w:pPr>
            <w:r>
              <w:rPr>
                <w:sz w:val="26"/>
              </w:rPr>
            </w:r>
          </w:p>
        </w:tc>
        <w:tc>
          <w:tcPr>
            <w:tcW w:w="2736" w:type="dxa"/>
            <w:tcBorders>
              <w:bottom w:val="single" w:sz="4" w:space="0" w:color="000000"/>
            </w:tcBorders>
            <w:tcMar>
              <w:bottom w:w="29" w:type="dxa"/>
            </w:tcMar>
          </w:tcPr>
          <w:p>
            <w:pPr>
              <w:pStyle w:val="Normal"/>
              <w:bidi w:val="0"/>
              <w:spacing w:before="230" w:after="29"/>
              <w:jc w:val="start"/>
              <w:rPr>
                <w:sz w:val="26"/>
              </w:rPr>
            </w:pPr>
            <w:r>
              <w:rPr>
                <w:sz w:val="26"/>
              </w:rPr>
            </w:r>
          </w:p>
        </w:tc>
      </w:tr>
      <w:tr>
        <w:trPr/>
        <w:tc>
          <w:tcPr>
            <w:tcW w:w="5616" w:type="dxa"/>
            <w:tcBorders>
              <w:bottom w:val="single" w:sz="4" w:space="0" w:color="000000"/>
            </w:tcBorders>
            <w:tcMar>
              <w:bottom w:w="29" w:type="dxa"/>
            </w:tcMar>
          </w:tcPr>
          <w:p>
            <w:pPr>
              <w:pStyle w:val="Normal"/>
              <w:bidi w:val="0"/>
              <w:spacing w:before="230" w:after="29"/>
              <w:jc w:val="start"/>
              <w:rPr>
                <w:sz w:val="26"/>
              </w:rPr>
            </w:pPr>
            <w:r>
              <w:rPr>
                <w:sz w:val="26"/>
              </w:rPr>
            </w:r>
          </w:p>
        </w:tc>
        <w:tc>
          <w:tcPr>
            <w:tcW w:w="576" w:type="dxa"/>
            <w:tcBorders/>
          </w:tcPr>
          <w:p>
            <w:pPr>
              <w:pStyle w:val="Normal"/>
              <w:bidi w:val="0"/>
              <w:spacing w:before="230" w:after="29"/>
              <w:jc w:val="start"/>
              <w:rPr>
                <w:sz w:val="26"/>
              </w:rPr>
            </w:pPr>
            <w:r>
              <w:rPr>
                <w:sz w:val="26"/>
              </w:rPr>
            </w:r>
          </w:p>
        </w:tc>
        <w:tc>
          <w:tcPr>
            <w:tcW w:w="2736" w:type="dxa"/>
            <w:tcBorders>
              <w:bottom w:val="single" w:sz="4" w:space="0" w:color="000000"/>
            </w:tcBorders>
            <w:tcMar>
              <w:bottom w:w="29" w:type="dxa"/>
            </w:tcMar>
          </w:tcPr>
          <w:p>
            <w:pPr>
              <w:pStyle w:val="Normal"/>
              <w:bidi w:val="0"/>
              <w:spacing w:before="230" w:after="29"/>
              <w:jc w:val="start"/>
              <w:rPr>
                <w:sz w:val="26"/>
              </w:rPr>
            </w:pPr>
            <w:r>
              <w:rPr>
                <w:sz w:val="26"/>
              </w:rPr>
            </w:r>
          </w:p>
        </w:tc>
      </w:tr>
      <w:tr>
        <w:trPr/>
        <w:tc>
          <w:tcPr>
            <w:tcW w:w="5616" w:type="dxa"/>
            <w:tcBorders>
              <w:bottom w:val="single" w:sz="4" w:space="0" w:color="000000"/>
            </w:tcBorders>
            <w:tcMar>
              <w:bottom w:w="29" w:type="dxa"/>
            </w:tcMar>
          </w:tcPr>
          <w:p>
            <w:pPr>
              <w:pStyle w:val="Normal"/>
              <w:bidi w:val="0"/>
              <w:spacing w:before="230" w:after="29"/>
              <w:jc w:val="start"/>
              <w:rPr>
                <w:sz w:val="26"/>
              </w:rPr>
            </w:pPr>
            <w:r>
              <w:rPr>
                <w:sz w:val="26"/>
              </w:rPr>
            </w:r>
          </w:p>
        </w:tc>
        <w:tc>
          <w:tcPr>
            <w:tcW w:w="576" w:type="dxa"/>
            <w:tcBorders/>
          </w:tcPr>
          <w:p>
            <w:pPr>
              <w:pStyle w:val="Normal"/>
              <w:bidi w:val="0"/>
              <w:spacing w:before="230" w:after="29"/>
              <w:jc w:val="start"/>
              <w:rPr>
                <w:sz w:val="26"/>
              </w:rPr>
            </w:pPr>
            <w:r>
              <w:rPr>
                <w:sz w:val="26"/>
              </w:rPr>
            </w:r>
          </w:p>
        </w:tc>
        <w:tc>
          <w:tcPr>
            <w:tcW w:w="2736" w:type="dxa"/>
            <w:tcBorders>
              <w:bottom w:val="single" w:sz="4" w:space="0" w:color="000000"/>
            </w:tcBorders>
            <w:tcMar>
              <w:bottom w:w="29" w:type="dxa"/>
            </w:tcMar>
          </w:tcPr>
          <w:p>
            <w:pPr>
              <w:pStyle w:val="Normal"/>
              <w:bidi w:val="0"/>
              <w:spacing w:before="230" w:after="29"/>
              <w:jc w:val="start"/>
              <w:rPr>
                <w:sz w:val="26"/>
              </w:rPr>
            </w:pPr>
            <w:r>
              <w:rPr>
                <w:sz w:val="26"/>
              </w:rPr>
            </w:r>
          </w:p>
        </w:tc>
      </w:tr>
      <w:tr>
        <w:trPr/>
        <w:tc>
          <w:tcPr>
            <w:tcW w:w="5616" w:type="dxa"/>
            <w:tcBorders>
              <w:bottom w:val="single" w:sz="4" w:space="0" w:color="000000"/>
            </w:tcBorders>
            <w:tcMar>
              <w:bottom w:w="29" w:type="dxa"/>
            </w:tcMar>
          </w:tcPr>
          <w:p>
            <w:pPr>
              <w:pStyle w:val="Normal"/>
              <w:bidi w:val="0"/>
              <w:spacing w:before="230" w:after="29"/>
              <w:jc w:val="start"/>
              <w:rPr>
                <w:sz w:val="26"/>
              </w:rPr>
            </w:pPr>
            <w:r>
              <w:rPr>
                <w:sz w:val="26"/>
              </w:rPr>
            </w:r>
          </w:p>
        </w:tc>
        <w:tc>
          <w:tcPr>
            <w:tcW w:w="576" w:type="dxa"/>
            <w:tcBorders/>
          </w:tcPr>
          <w:p>
            <w:pPr>
              <w:pStyle w:val="Normal"/>
              <w:bidi w:val="0"/>
              <w:spacing w:before="230" w:after="29"/>
              <w:jc w:val="start"/>
              <w:rPr>
                <w:sz w:val="26"/>
              </w:rPr>
            </w:pPr>
            <w:r>
              <w:rPr>
                <w:sz w:val="26"/>
              </w:rPr>
            </w:r>
          </w:p>
        </w:tc>
        <w:tc>
          <w:tcPr>
            <w:tcW w:w="2736" w:type="dxa"/>
            <w:tcBorders>
              <w:bottom w:val="single" w:sz="4" w:space="0" w:color="000000"/>
            </w:tcBorders>
            <w:tcMar>
              <w:bottom w:w="29" w:type="dxa"/>
            </w:tcMar>
          </w:tcPr>
          <w:p>
            <w:pPr>
              <w:pStyle w:val="Normal"/>
              <w:bidi w:val="0"/>
              <w:spacing w:before="230" w:after="29"/>
              <w:jc w:val="start"/>
              <w:rPr>
                <w:sz w:val="26"/>
              </w:rPr>
            </w:pPr>
            <w:r>
              <w:rPr>
                <w:sz w:val="26"/>
              </w:rPr>
            </w:r>
          </w:p>
        </w:tc>
      </w:tr>
      <w:tr>
        <w:trPr/>
        <w:tc>
          <w:tcPr>
            <w:tcW w:w="5616" w:type="dxa"/>
            <w:tcBorders>
              <w:bottom w:val="single" w:sz="4" w:space="0" w:color="000000"/>
            </w:tcBorders>
            <w:tcMar>
              <w:bottom w:w="29" w:type="dxa"/>
            </w:tcMar>
          </w:tcPr>
          <w:p>
            <w:pPr>
              <w:pStyle w:val="Normal"/>
              <w:bidi w:val="0"/>
              <w:spacing w:before="230" w:after="29"/>
              <w:jc w:val="start"/>
              <w:rPr>
                <w:sz w:val="26"/>
              </w:rPr>
            </w:pPr>
            <w:r>
              <w:rPr>
                <w:sz w:val="26"/>
              </w:rPr>
            </w:r>
          </w:p>
        </w:tc>
        <w:tc>
          <w:tcPr>
            <w:tcW w:w="576" w:type="dxa"/>
            <w:tcBorders/>
          </w:tcPr>
          <w:p>
            <w:pPr>
              <w:pStyle w:val="Normal"/>
              <w:bidi w:val="0"/>
              <w:spacing w:before="230" w:after="29"/>
              <w:jc w:val="start"/>
              <w:rPr>
                <w:sz w:val="26"/>
              </w:rPr>
            </w:pPr>
            <w:r>
              <w:rPr>
                <w:sz w:val="26"/>
              </w:rPr>
            </w:r>
          </w:p>
        </w:tc>
        <w:tc>
          <w:tcPr>
            <w:tcW w:w="2736" w:type="dxa"/>
            <w:tcBorders>
              <w:bottom w:val="single" w:sz="4" w:space="0" w:color="000000"/>
            </w:tcBorders>
            <w:tcMar>
              <w:bottom w:w="29" w:type="dxa"/>
            </w:tcMar>
          </w:tcPr>
          <w:p>
            <w:pPr>
              <w:pStyle w:val="Normal"/>
              <w:bidi w:val="0"/>
              <w:spacing w:before="230" w:after="29"/>
              <w:jc w:val="start"/>
              <w:rPr>
                <w:sz w:val="26"/>
              </w:rPr>
            </w:pPr>
            <w:r>
              <w:rPr>
                <w:sz w:val="26"/>
              </w:rPr>
            </w:r>
          </w:p>
        </w:tc>
      </w:tr>
      <w:tr>
        <w:trPr/>
        <w:tc>
          <w:tcPr>
            <w:tcW w:w="5616" w:type="dxa"/>
            <w:tcBorders>
              <w:bottom w:val="single" w:sz="4" w:space="0" w:color="000000"/>
            </w:tcBorders>
            <w:tcMar>
              <w:bottom w:w="29" w:type="dxa"/>
            </w:tcMar>
          </w:tcPr>
          <w:p>
            <w:pPr>
              <w:pStyle w:val="Normal"/>
              <w:bidi w:val="0"/>
              <w:spacing w:before="230" w:after="29"/>
              <w:jc w:val="start"/>
              <w:rPr>
                <w:sz w:val="26"/>
              </w:rPr>
            </w:pPr>
            <w:r>
              <w:rPr>
                <w:sz w:val="26"/>
              </w:rPr>
            </w:r>
          </w:p>
        </w:tc>
        <w:tc>
          <w:tcPr>
            <w:tcW w:w="576" w:type="dxa"/>
            <w:tcBorders/>
          </w:tcPr>
          <w:p>
            <w:pPr>
              <w:pStyle w:val="Normal"/>
              <w:bidi w:val="0"/>
              <w:spacing w:before="230" w:after="29"/>
              <w:jc w:val="start"/>
              <w:rPr>
                <w:sz w:val="26"/>
              </w:rPr>
            </w:pPr>
            <w:r>
              <w:rPr>
                <w:sz w:val="26"/>
              </w:rPr>
            </w:r>
          </w:p>
        </w:tc>
        <w:tc>
          <w:tcPr>
            <w:tcW w:w="2736" w:type="dxa"/>
            <w:tcBorders>
              <w:bottom w:val="single" w:sz="4" w:space="0" w:color="000000"/>
            </w:tcBorders>
            <w:tcMar>
              <w:bottom w:w="29" w:type="dxa"/>
            </w:tcMar>
          </w:tcPr>
          <w:p>
            <w:pPr>
              <w:pStyle w:val="Normal"/>
              <w:bidi w:val="0"/>
              <w:spacing w:before="230" w:after="29"/>
              <w:jc w:val="start"/>
              <w:rPr>
                <w:sz w:val="26"/>
              </w:rPr>
            </w:pPr>
            <w:r>
              <w:rPr>
                <w:sz w:val="26"/>
              </w:rPr>
            </w:r>
          </w:p>
        </w:tc>
      </w:tr>
    </w:tbl>
    <w:p>
      <w:pPr>
        <w:pStyle w:val="Normal"/>
        <w:bidi w:val="0"/>
        <w:spacing w:before="144" w:after="0"/>
        <w:jc w:val="center"/>
        <w:rPr>
          <w:i/>
          <w:sz w:val="22"/>
        </w:rPr>
      </w:pPr>
      <w:r>
        <w:rPr>
          <w:i/>
          <w:sz w:val="22"/>
        </w:rPr>
        <w:t>(Additional signatures may be added)</w:t>
      </w:r>
    </w:p>
    <w:p>
      <w:pPr>
        <w:pStyle w:val="Normal"/>
        <w:bidi w:val="0"/>
        <w:spacing w:before="144" w:after="144"/>
        <w:jc w:val="center"/>
        <w:rPr>
          <w:sz w:val="28"/>
        </w:rPr>
      </w:pPr>
      <w:r>
        <w:rPr>
          <w:sz w:val="28"/>
        </w:rPr>
        <w:t>✦  ✦  ✦</w:t>
      </w:r>
    </w:p>
    <w:p>
      <w:pPr>
        <w:pStyle w:val="Normal"/>
        <w:bidi w:val="0"/>
        <w:spacing w:before="144" w:after="0"/>
        <w:jc w:val="center"/>
        <w:rPr>
          <w:i/>
          <w:sz w:val="22"/>
        </w:rPr>
      </w:pPr>
      <w:r>
        <w:rPr>
          <w:i/>
          <w:sz w:val="22"/>
        </w:rPr>
        <w:t>All signatures are made of the signer's own free will and in a personal capacity only, and bind no government, company, or institution.</w:t>
      </w:r>
    </w:p>
    <w:sectPr>
      <w:type w:val="nextPage"/>
      <w:pgSz w:w="12240" w:h="15840"/>
      <w:pgMar w:left="1656" w:right="1656" w:gutter="0" w:header="0" w:top="1440" w:footer="0" w:bottom="1440"/>
      <w:pgNumType w:fmt="decimal"/>
      <w:formProt w:val="false"/>
      <w:textDirection w:val="lrTb"/>
      <w:docGrid w:type="default" w:linePitch="600" w:charSpace="2457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re Caslon Text">
    <w:charset w:val="00" w:characterSet="iso-8859-1"/>
    <w:family w:val="roman"/>
    <w:pitch w:val="variable"/>
  </w:font>
  <w:font w:name="Liberation Sans">
    <w:altName w:val="Arial"/>
    <w:charset w:val="00" w:characterSet="iso-8859-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re Caslon Text" w:hAnsi="Libre Caslon Text" w:eastAsia="WenQuanYi Zen Hei" w:cs="FreeSans"/>
        <w:kern w:val="2"/>
        <w:sz w:val="28"/>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before="0" w:after="202"/>
      <w:jc w:val="both"/>
    </w:pPr>
    <w:rPr>
      <w:rFonts w:ascii="Libre Caslon Text" w:hAnsi="Libre Caslon Text" w:eastAsia="WenQuanYi Zen Hei" w:cs="FreeSans"/>
      <w:color w:val="auto"/>
      <w:kern w:val="2"/>
      <w:sz w:val="28"/>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