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F9C276" w14:textId="77777777" w:rsidR="004B0BB1" w:rsidRPr="004B0BB1" w:rsidRDefault="004B0BB1" w:rsidP="004B0BB1">
      <w:pPr>
        <w:spacing w:before="60" w:after="60" w:line="300" w:lineRule="atLeast"/>
        <w:outlineLvl w:val="1"/>
        <w:rPr>
          <w:rFonts w:ascii="Arial" w:eastAsia="Times New Roman" w:hAnsi="Arial" w:cs="Arial"/>
          <w:sz w:val="21"/>
          <w:szCs w:val="21"/>
          <w:lang w:eastAsia="es-EC"/>
        </w:rPr>
      </w:pPr>
      <w:r w:rsidRPr="004B0BB1">
        <w:rPr>
          <w:rFonts w:ascii="Arial" w:eastAsia="Times New Roman" w:hAnsi="Arial" w:cs="Arial"/>
          <w:sz w:val="21"/>
          <w:szCs w:val="21"/>
          <w:lang w:eastAsia="es-EC"/>
        </w:rPr>
        <w:t>lución Pobreza Ecuador 2010-2024</w:t>
      </w:r>
    </w:p>
    <w:p w14:paraId="54A60255" w14:textId="77777777" w:rsidR="004B0BB1" w:rsidRPr="004B0BB1" w:rsidRDefault="004B0BB1" w:rsidP="004B0BB1">
      <w:pPr>
        <w:shd w:val="clear" w:color="auto" w:fill="131314"/>
        <w:spacing w:after="120" w:line="420" w:lineRule="atLeast"/>
        <w:outlineLvl w:val="0"/>
        <w:rPr>
          <w:rFonts w:ascii="Arial" w:eastAsia="Times New Roman" w:hAnsi="Arial" w:cs="Arial"/>
          <w:b/>
          <w:bCs/>
          <w:color w:val="E3E3E3"/>
          <w:kern w:val="36"/>
          <w:sz w:val="33"/>
          <w:szCs w:val="33"/>
          <w:lang w:eastAsia="es-EC"/>
        </w:rPr>
      </w:pPr>
      <w:r w:rsidRPr="004B0BB1">
        <w:rPr>
          <w:rFonts w:ascii="Arial" w:eastAsia="Times New Roman" w:hAnsi="Arial" w:cs="Arial"/>
          <w:b/>
          <w:bCs/>
          <w:color w:val="E3E3E3"/>
          <w:kern w:val="36"/>
          <w:sz w:val="33"/>
          <w:szCs w:val="33"/>
          <w:lang w:eastAsia="es-EC"/>
        </w:rPr>
        <w:t>Dinámicas de la Pobreza en Ecuador: Trayectoria y Determinantes Socioeconómicos (2010-2024)</w:t>
      </w:r>
    </w:p>
    <w:p w14:paraId="7FB44C12" w14:textId="77777777" w:rsidR="004B0BB1" w:rsidRPr="004B0BB1" w:rsidRDefault="004B0BB1" w:rsidP="004B0BB1">
      <w:pPr>
        <w:shd w:val="clear" w:color="auto" w:fill="131314"/>
        <w:spacing w:after="240" w:line="240" w:lineRule="auto"/>
        <w:rPr>
          <w:rFonts w:ascii="Arial" w:eastAsia="Times New Roman" w:hAnsi="Arial" w:cs="Arial"/>
          <w:color w:val="E3E3E3"/>
          <w:sz w:val="24"/>
          <w:szCs w:val="24"/>
          <w:lang w:eastAsia="es-EC"/>
        </w:rPr>
      </w:pPr>
      <w:r w:rsidRPr="004B0BB1">
        <w:rPr>
          <w:rFonts w:ascii="Arial" w:eastAsia="Times New Roman" w:hAnsi="Arial" w:cs="Arial"/>
          <w:color w:val="E3E3E3"/>
          <w:sz w:val="24"/>
          <w:szCs w:val="24"/>
          <w:lang w:eastAsia="es-EC"/>
        </w:rPr>
        <w:t>La evolución de la pobreza en el Ecuador durante el periodo comprendido entre 2010 y 2024 constituye un fenómeno de alta complejidad técnica y social, caracterizado por una transición desde un ciclo de expansión y redistribución hacia una fase de fragilidad estructural y estancamiento. Este proceso no puede entenderse como una progresión lineal, sino como un conjunto de ciclos económicos marcados por la volatilidad de los precios de las materias primas, choques externos de magnitud global como la pandemia del COVID-13, y una crisis de seguridad interna que ha redefinido las condiciones de vida de la población en los últimos años. El análisis exhaustivo de los indicadores oficiales, provenientes fundamentalmente de la Encuesta Nacional de Empleo, Desempleo y Subempleo (ENEMDU) y de los censos de población, permite identificar los mecanismos subyacentes que han condicionado el bienestar de los hogares ecuatorianos en esta década y media.   </w:t>
      </w:r>
    </w:p>
    <w:p w14:paraId="42D73C89" w14:textId="77777777" w:rsidR="004B0BB1" w:rsidRPr="004B0BB1" w:rsidRDefault="004B0BB1" w:rsidP="004B0BB1">
      <w:pPr>
        <w:shd w:val="clear" w:color="auto" w:fill="131314"/>
        <w:spacing w:before="420" w:after="120" w:line="420" w:lineRule="atLeast"/>
        <w:outlineLvl w:val="1"/>
        <w:rPr>
          <w:rFonts w:ascii="Arial" w:eastAsia="Times New Roman" w:hAnsi="Arial" w:cs="Arial"/>
          <w:b/>
          <w:bCs/>
          <w:color w:val="E3E3E3"/>
          <w:sz w:val="30"/>
          <w:szCs w:val="30"/>
          <w:lang w:eastAsia="es-EC"/>
        </w:rPr>
      </w:pPr>
      <w:r w:rsidRPr="004B0BB1">
        <w:rPr>
          <w:rFonts w:ascii="Arial" w:eastAsia="Times New Roman" w:hAnsi="Arial" w:cs="Arial"/>
          <w:b/>
          <w:bCs/>
          <w:color w:val="E3E3E3"/>
          <w:sz w:val="30"/>
          <w:szCs w:val="30"/>
          <w:lang w:eastAsia="es-EC"/>
        </w:rPr>
        <w:t>Marco Conceptual y Métodos de Medición de la Privación</w:t>
      </w:r>
    </w:p>
    <w:p w14:paraId="563A201F" w14:textId="77777777" w:rsidR="004B0BB1" w:rsidRPr="004B0BB1" w:rsidRDefault="004B0BB1" w:rsidP="004B0BB1">
      <w:pPr>
        <w:shd w:val="clear" w:color="auto" w:fill="131314"/>
        <w:spacing w:after="240" w:line="240" w:lineRule="auto"/>
        <w:rPr>
          <w:rFonts w:ascii="Arial" w:eastAsia="Times New Roman" w:hAnsi="Arial" w:cs="Arial"/>
          <w:color w:val="E3E3E3"/>
          <w:sz w:val="24"/>
          <w:szCs w:val="24"/>
          <w:lang w:eastAsia="es-EC"/>
        </w:rPr>
      </w:pPr>
      <w:r w:rsidRPr="004B0BB1">
        <w:rPr>
          <w:rFonts w:ascii="Arial" w:eastAsia="Times New Roman" w:hAnsi="Arial" w:cs="Arial"/>
          <w:color w:val="E3E3E3"/>
          <w:sz w:val="24"/>
          <w:szCs w:val="24"/>
          <w:lang w:eastAsia="es-EC"/>
        </w:rPr>
        <w:t>La comprensión académica y técnica de la pobreza en el Ecuador exige la distinción entre las diversas metodologías aplicadas por el Instituto Nacional de Estadística y Censos (INEC). La medición tradicional se basa en el ingreso per cápita del hogar, comparándolo con una línea de pobreza nominal que representa el costo mínimo de una canasta de bienes y servicios básicos. En este sistema, un individuo es considerado pobre si su ingreso mensual es inferior al umbral establecido, el cual se actualiza periódicamente mediante el Índice de Precios al Consumidor (IPC). La fórmula técnica para la actualización de la línea de pobreza (</w:t>
      </w:r>
      <w:proofErr w:type="spellStart"/>
      <w:r w:rsidRPr="004B0BB1">
        <w:rPr>
          <w:rFonts w:ascii="KaTeX_Math" w:eastAsia="Times New Roman" w:hAnsi="KaTeX_Math" w:cs="Times New Roman"/>
          <w:i/>
          <w:iCs/>
          <w:color w:val="E3E3E3"/>
          <w:sz w:val="29"/>
          <w:szCs w:val="29"/>
          <w:lang w:eastAsia="es-EC"/>
        </w:rPr>
        <w:t>lp</w:t>
      </w:r>
      <w:r w:rsidRPr="004B0BB1">
        <w:rPr>
          <w:rFonts w:ascii="KaTeX_Math" w:eastAsia="Times New Roman" w:hAnsi="KaTeX_Math" w:cs="Times New Roman"/>
          <w:i/>
          <w:iCs/>
          <w:color w:val="E3E3E3"/>
          <w:sz w:val="20"/>
          <w:szCs w:val="20"/>
          <w:lang w:eastAsia="es-EC"/>
        </w:rPr>
        <w:t>t</w:t>
      </w:r>
      <w:proofErr w:type="spellEnd"/>
      <w:r w:rsidRPr="004B0BB1">
        <w:rPr>
          <w:rFonts w:ascii="Times New Roman" w:eastAsia="Times New Roman" w:hAnsi="Times New Roman" w:cs="Times New Roman"/>
          <w:color w:val="E3E3E3"/>
          <w:sz w:val="2"/>
          <w:szCs w:val="2"/>
          <w:lang w:eastAsia="es-EC"/>
        </w:rPr>
        <w:t>​</w:t>
      </w:r>
      <w:r w:rsidRPr="004B0BB1">
        <w:rPr>
          <w:rFonts w:ascii="Arial" w:eastAsia="Times New Roman" w:hAnsi="Arial" w:cs="Arial"/>
          <w:color w:val="E3E3E3"/>
          <w:sz w:val="24"/>
          <w:szCs w:val="24"/>
          <w:lang w:eastAsia="es-EC"/>
        </w:rPr>
        <w:t>) se define como:   </w:t>
      </w:r>
    </w:p>
    <w:p w14:paraId="0EEF22A0" w14:textId="77777777" w:rsidR="004B0BB1" w:rsidRPr="004B0BB1" w:rsidRDefault="004B0BB1" w:rsidP="004B0BB1">
      <w:pPr>
        <w:shd w:val="clear" w:color="auto" w:fill="131314"/>
        <w:spacing w:after="0" w:line="240" w:lineRule="auto"/>
        <w:rPr>
          <w:rFonts w:ascii="Arial" w:eastAsia="Times New Roman" w:hAnsi="Arial" w:cs="Arial"/>
          <w:color w:val="E3E3E3"/>
          <w:sz w:val="24"/>
          <w:szCs w:val="24"/>
          <w:lang w:eastAsia="es-EC"/>
        </w:rPr>
      </w:pPr>
      <w:proofErr w:type="spellStart"/>
      <w:r w:rsidRPr="004B0BB1">
        <w:rPr>
          <w:rFonts w:ascii="KaTeX_Math" w:eastAsia="Times New Roman" w:hAnsi="KaTeX_Math" w:cs="Times New Roman"/>
          <w:i/>
          <w:iCs/>
          <w:color w:val="E3E3E3"/>
          <w:sz w:val="29"/>
          <w:szCs w:val="29"/>
          <w:lang w:eastAsia="es-EC"/>
        </w:rPr>
        <w:t>lp</w:t>
      </w:r>
      <w:r w:rsidRPr="004B0BB1">
        <w:rPr>
          <w:rFonts w:ascii="KaTeX_Math" w:eastAsia="Times New Roman" w:hAnsi="KaTeX_Math" w:cs="Times New Roman"/>
          <w:i/>
          <w:iCs/>
          <w:color w:val="E3E3E3"/>
          <w:sz w:val="20"/>
          <w:szCs w:val="20"/>
          <w:lang w:eastAsia="es-EC"/>
        </w:rPr>
        <w:t>t</w:t>
      </w:r>
      <w:proofErr w:type="spellEnd"/>
      <w:r w:rsidRPr="004B0BB1">
        <w:rPr>
          <w:rFonts w:ascii="Times New Roman" w:eastAsia="Times New Roman" w:hAnsi="Times New Roman" w:cs="Times New Roman"/>
          <w:color w:val="E3E3E3"/>
          <w:sz w:val="2"/>
          <w:szCs w:val="2"/>
          <w:lang w:eastAsia="es-EC"/>
        </w:rPr>
        <w:t>​</w:t>
      </w:r>
      <w:r w:rsidRPr="004B0BB1">
        <w:rPr>
          <w:rFonts w:ascii="Times New Roman" w:eastAsia="Times New Roman" w:hAnsi="Times New Roman" w:cs="Times New Roman"/>
          <w:color w:val="E3E3E3"/>
          <w:sz w:val="29"/>
          <w:szCs w:val="29"/>
          <w:lang w:eastAsia="es-EC"/>
        </w:rPr>
        <w:t>=</w:t>
      </w:r>
      <w:r w:rsidRPr="004B0BB1">
        <w:rPr>
          <w:rFonts w:ascii="KaTeX_Math" w:eastAsia="Times New Roman" w:hAnsi="KaTeX_Math" w:cs="Times New Roman"/>
          <w:i/>
          <w:iCs/>
          <w:color w:val="E3E3E3"/>
          <w:sz w:val="29"/>
          <w:szCs w:val="29"/>
          <w:lang w:eastAsia="es-EC"/>
        </w:rPr>
        <w:t>α</w:t>
      </w:r>
      <w:r w:rsidRPr="004B0BB1">
        <w:rPr>
          <w:rFonts w:ascii="KaTeX_Math" w:eastAsia="Times New Roman" w:hAnsi="KaTeX_Math" w:cs="Times New Roman"/>
          <w:i/>
          <w:iCs/>
          <w:color w:val="E3E3E3"/>
          <w:sz w:val="20"/>
          <w:szCs w:val="20"/>
          <w:lang w:eastAsia="es-EC"/>
        </w:rPr>
        <w:t>t</w:t>
      </w:r>
      <w:r w:rsidRPr="004B0BB1">
        <w:rPr>
          <w:rFonts w:ascii="Times New Roman" w:eastAsia="Times New Roman" w:hAnsi="Times New Roman" w:cs="Times New Roman"/>
          <w:color w:val="E3E3E3"/>
          <w:sz w:val="2"/>
          <w:szCs w:val="2"/>
          <w:lang w:eastAsia="es-EC"/>
        </w:rPr>
        <w:t>​</w:t>
      </w:r>
      <w:r w:rsidRPr="004B0BB1">
        <w:rPr>
          <w:rFonts w:ascii="Cambria Math" w:eastAsia="Times New Roman" w:hAnsi="Cambria Math" w:cs="Cambria Math"/>
          <w:color w:val="E3E3E3"/>
          <w:sz w:val="29"/>
          <w:szCs w:val="29"/>
          <w:lang w:eastAsia="es-EC"/>
        </w:rPr>
        <w:t>⋅</w:t>
      </w:r>
      <w:r w:rsidRPr="004B0BB1">
        <w:rPr>
          <w:rFonts w:ascii="KaTeX_Math" w:eastAsia="Times New Roman" w:hAnsi="KaTeX_Math" w:cs="Times New Roman"/>
          <w:i/>
          <w:iCs/>
          <w:color w:val="E3E3E3"/>
          <w:sz w:val="29"/>
          <w:szCs w:val="29"/>
          <w:lang w:eastAsia="es-EC"/>
        </w:rPr>
        <w:t>lp</w:t>
      </w:r>
      <w:r w:rsidRPr="004B0BB1">
        <w:rPr>
          <w:rFonts w:ascii="Times New Roman" w:eastAsia="Times New Roman" w:hAnsi="Times New Roman" w:cs="Times New Roman"/>
          <w:color w:val="E3E3E3"/>
          <w:sz w:val="20"/>
          <w:szCs w:val="20"/>
          <w:lang w:eastAsia="es-EC"/>
        </w:rPr>
        <w:t>2006</w:t>
      </w:r>
      <w:r w:rsidRPr="004B0BB1">
        <w:rPr>
          <w:rFonts w:ascii="Times New Roman" w:eastAsia="Times New Roman" w:hAnsi="Times New Roman" w:cs="Times New Roman"/>
          <w:color w:val="E3E3E3"/>
          <w:sz w:val="2"/>
          <w:szCs w:val="2"/>
          <w:lang w:eastAsia="es-EC"/>
        </w:rPr>
        <w:t>​</w:t>
      </w:r>
    </w:p>
    <w:p w14:paraId="0710140B" w14:textId="77777777" w:rsidR="004B0BB1" w:rsidRPr="004B0BB1" w:rsidRDefault="004B0BB1" w:rsidP="004B0BB1">
      <w:pPr>
        <w:shd w:val="clear" w:color="auto" w:fill="131314"/>
        <w:spacing w:after="240" w:line="240" w:lineRule="auto"/>
        <w:rPr>
          <w:rFonts w:ascii="Arial" w:eastAsia="Times New Roman" w:hAnsi="Arial" w:cs="Arial"/>
          <w:color w:val="E3E3E3"/>
          <w:sz w:val="24"/>
          <w:szCs w:val="24"/>
          <w:lang w:eastAsia="es-EC"/>
        </w:rPr>
      </w:pPr>
      <w:r w:rsidRPr="004B0BB1">
        <w:rPr>
          <w:rFonts w:ascii="Arial" w:eastAsia="Times New Roman" w:hAnsi="Arial" w:cs="Arial"/>
          <w:color w:val="E3E3E3"/>
          <w:sz w:val="24"/>
          <w:szCs w:val="24"/>
          <w:lang w:eastAsia="es-EC"/>
        </w:rPr>
        <w:t>Donde </w:t>
      </w:r>
      <w:r w:rsidRPr="004B0BB1">
        <w:rPr>
          <w:rFonts w:ascii="KaTeX_Math" w:eastAsia="Times New Roman" w:hAnsi="KaTeX_Math" w:cs="Times New Roman"/>
          <w:i/>
          <w:iCs/>
          <w:color w:val="E3E3E3"/>
          <w:sz w:val="29"/>
          <w:szCs w:val="29"/>
          <w:lang w:eastAsia="es-EC"/>
        </w:rPr>
        <w:t>lp</w:t>
      </w:r>
      <w:r w:rsidRPr="004B0BB1">
        <w:rPr>
          <w:rFonts w:ascii="Times New Roman" w:eastAsia="Times New Roman" w:hAnsi="Times New Roman" w:cs="Times New Roman"/>
          <w:color w:val="E3E3E3"/>
          <w:sz w:val="20"/>
          <w:szCs w:val="20"/>
          <w:lang w:eastAsia="es-EC"/>
        </w:rPr>
        <w:t>2006</w:t>
      </w:r>
      <w:r w:rsidRPr="004B0BB1">
        <w:rPr>
          <w:rFonts w:ascii="Times New Roman" w:eastAsia="Times New Roman" w:hAnsi="Times New Roman" w:cs="Times New Roman"/>
          <w:color w:val="E3E3E3"/>
          <w:sz w:val="2"/>
          <w:szCs w:val="2"/>
          <w:lang w:eastAsia="es-EC"/>
        </w:rPr>
        <w:t>​</w:t>
      </w:r>
      <w:r w:rsidRPr="004B0BB1">
        <w:rPr>
          <w:rFonts w:ascii="Arial" w:eastAsia="Times New Roman" w:hAnsi="Arial" w:cs="Arial"/>
          <w:color w:val="E3E3E3"/>
          <w:sz w:val="24"/>
          <w:szCs w:val="24"/>
          <w:lang w:eastAsia="es-EC"/>
        </w:rPr>
        <w:t> representa la línea base estimada en la quinta ronda de la Encuesta de Condiciones de Vida (USD 56,64 para pobreza y USD 31,92 para pobreza extrema) y </w:t>
      </w:r>
      <w:r w:rsidRPr="004B0BB1">
        <w:rPr>
          <w:rFonts w:ascii="KaTeX_Math" w:eastAsia="Times New Roman" w:hAnsi="KaTeX_Math" w:cs="Times New Roman"/>
          <w:i/>
          <w:iCs/>
          <w:color w:val="E3E3E3"/>
          <w:sz w:val="29"/>
          <w:szCs w:val="29"/>
          <w:lang w:eastAsia="es-EC"/>
        </w:rPr>
        <w:t>α</w:t>
      </w:r>
      <w:r w:rsidRPr="004B0BB1">
        <w:rPr>
          <w:rFonts w:ascii="KaTeX_Math" w:eastAsia="Times New Roman" w:hAnsi="KaTeX_Math" w:cs="Times New Roman"/>
          <w:i/>
          <w:iCs/>
          <w:color w:val="E3E3E3"/>
          <w:sz w:val="20"/>
          <w:szCs w:val="20"/>
          <w:lang w:eastAsia="es-EC"/>
        </w:rPr>
        <w:t>t</w:t>
      </w:r>
      <w:r w:rsidRPr="004B0BB1">
        <w:rPr>
          <w:rFonts w:ascii="Times New Roman" w:eastAsia="Times New Roman" w:hAnsi="Times New Roman" w:cs="Times New Roman"/>
          <w:color w:val="E3E3E3"/>
          <w:sz w:val="2"/>
          <w:szCs w:val="2"/>
          <w:lang w:eastAsia="es-EC"/>
        </w:rPr>
        <w:t>​</w:t>
      </w:r>
      <w:r w:rsidRPr="004B0BB1">
        <w:rPr>
          <w:rFonts w:ascii="Arial" w:eastAsia="Times New Roman" w:hAnsi="Arial" w:cs="Arial"/>
          <w:color w:val="E3E3E3"/>
          <w:sz w:val="24"/>
          <w:szCs w:val="24"/>
          <w:lang w:eastAsia="es-EC"/>
        </w:rPr>
        <w:t> es el factor de ajuste derivado del IPC. Para junio de 2024, este umbral se situó en USD 91,55 para la pobreza y USD 51,60 para la pobreza extrema.   </w:t>
      </w:r>
    </w:p>
    <w:p w14:paraId="0EDD9B27" w14:textId="77777777" w:rsidR="004B0BB1" w:rsidRPr="004B0BB1" w:rsidRDefault="004B0BB1" w:rsidP="004B0BB1">
      <w:pPr>
        <w:shd w:val="clear" w:color="auto" w:fill="131314"/>
        <w:spacing w:after="240" w:line="240" w:lineRule="auto"/>
        <w:rPr>
          <w:rFonts w:ascii="Arial" w:eastAsia="Times New Roman" w:hAnsi="Arial" w:cs="Arial"/>
          <w:color w:val="E3E3E3"/>
          <w:sz w:val="24"/>
          <w:szCs w:val="24"/>
          <w:lang w:eastAsia="es-EC"/>
        </w:rPr>
      </w:pPr>
      <w:r w:rsidRPr="004B0BB1">
        <w:rPr>
          <w:rFonts w:ascii="Arial" w:eastAsia="Times New Roman" w:hAnsi="Arial" w:cs="Arial"/>
          <w:color w:val="E3E3E3"/>
          <w:sz w:val="24"/>
          <w:szCs w:val="24"/>
          <w:lang w:eastAsia="es-EC"/>
        </w:rPr>
        <w:t xml:space="preserve">Sin embargo, la literatura económica contemporánea y la normativa constitucional ecuatoriana impulsaron la adopción de un enfoque multidimensional. El Índice de Pobreza Multidimensional (IPM), basado en la metodología de </w:t>
      </w:r>
      <w:proofErr w:type="spellStart"/>
      <w:r w:rsidRPr="004B0BB1">
        <w:rPr>
          <w:rFonts w:ascii="Arial" w:eastAsia="Times New Roman" w:hAnsi="Arial" w:cs="Arial"/>
          <w:color w:val="E3E3E3"/>
          <w:sz w:val="24"/>
          <w:szCs w:val="24"/>
          <w:lang w:eastAsia="es-EC"/>
        </w:rPr>
        <w:t>Alkire</w:t>
      </w:r>
      <w:proofErr w:type="spellEnd"/>
      <w:r w:rsidRPr="004B0BB1">
        <w:rPr>
          <w:rFonts w:ascii="Arial" w:eastAsia="Times New Roman" w:hAnsi="Arial" w:cs="Arial"/>
          <w:color w:val="E3E3E3"/>
          <w:sz w:val="24"/>
          <w:szCs w:val="24"/>
          <w:lang w:eastAsia="es-EC"/>
        </w:rPr>
        <w:t xml:space="preserve"> y Foster, evalúa las privaciones en cuatro dimensiones fundamentales: educación, trabajo y seguridad social, salud y agua, y hábitat y vivienda. Este indicador es crucial porque permite observar carencias estructurales que el ingreso monetario no alcanza a capturar, como la calidad del agua o el rezago educativo. Una persona se identifica como pobre multidimensional si acumula privaciones en al menos un tercio (33,3%) de los indicadores ponderados. Complementariamente, el indicador de Necesidades Básicas Insatisfechas (NBI) mide privaciones en infraestructura de vivienda, </w:t>
      </w:r>
      <w:r w:rsidRPr="004B0BB1">
        <w:rPr>
          <w:rFonts w:ascii="Arial" w:eastAsia="Times New Roman" w:hAnsi="Arial" w:cs="Arial"/>
          <w:color w:val="E3E3E3"/>
          <w:sz w:val="24"/>
          <w:szCs w:val="24"/>
          <w:lang w:eastAsia="es-EC"/>
        </w:rPr>
        <w:lastRenderedPageBreak/>
        <w:t>servicios, hacinamiento, educación y capacidad de subsistencia, ofreciendo una visión de largo plazo sobre la inversión social acumulada.   </w:t>
      </w:r>
    </w:p>
    <w:p w14:paraId="6695E0A3" w14:textId="77777777" w:rsidR="004B0BB1" w:rsidRPr="004B0BB1" w:rsidRDefault="004B0BB1" w:rsidP="004B0BB1">
      <w:pPr>
        <w:shd w:val="clear" w:color="auto" w:fill="131314"/>
        <w:spacing w:before="420" w:after="120" w:line="420" w:lineRule="atLeast"/>
        <w:outlineLvl w:val="1"/>
        <w:rPr>
          <w:rFonts w:ascii="Arial" w:eastAsia="Times New Roman" w:hAnsi="Arial" w:cs="Arial"/>
          <w:b/>
          <w:bCs/>
          <w:color w:val="E3E3E3"/>
          <w:sz w:val="30"/>
          <w:szCs w:val="30"/>
          <w:lang w:eastAsia="es-EC"/>
        </w:rPr>
      </w:pPr>
      <w:r w:rsidRPr="004B0BB1">
        <w:rPr>
          <w:rFonts w:ascii="Arial" w:eastAsia="Times New Roman" w:hAnsi="Arial" w:cs="Arial"/>
          <w:b/>
          <w:bCs/>
          <w:color w:val="E3E3E3"/>
          <w:sz w:val="30"/>
          <w:szCs w:val="30"/>
          <w:lang w:eastAsia="es-EC"/>
        </w:rPr>
        <w:t>El Auge de la Bonanza Petrolera y la Redistribución (2010-2014)</w:t>
      </w:r>
    </w:p>
    <w:p w14:paraId="1ED7B345" w14:textId="77777777" w:rsidR="004B0BB1" w:rsidRPr="004B0BB1" w:rsidRDefault="004B0BB1" w:rsidP="004B0BB1">
      <w:pPr>
        <w:shd w:val="clear" w:color="auto" w:fill="131314"/>
        <w:spacing w:after="240" w:line="240" w:lineRule="auto"/>
        <w:rPr>
          <w:rFonts w:ascii="Arial" w:eastAsia="Times New Roman" w:hAnsi="Arial" w:cs="Arial"/>
          <w:color w:val="E3E3E3"/>
          <w:sz w:val="24"/>
          <w:szCs w:val="24"/>
          <w:lang w:eastAsia="es-EC"/>
        </w:rPr>
      </w:pPr>
      <w:r w:rsidRPr="004B0BB1">
        <w:rPr>
          <w:rFonts w:ascii="Arial" w:eastAsia="Times New Roman" w:hAnsi="Arial" w:cs="Arial"/>
          <w:color w:val="E3E3E3"/>
          <w:sz w:val="24"/>
          <w:szCs w:val="24"/>
          <w:lang w:eastAsia="es-EC"/>
        </w:rPr>
        <w:t xml:space="preserve">El inicio de la década de 2010 marcó uno de los periodos de mayor éxito en la reducción de la pobreza en la historia reciente del país. Entre 2010 y 2014, Ecuador experimentó un crecimiento económico sostenido impulsado por el </w:t>
      </w:r>
      <w:proofErr w:type="spellStart"/>
      <w:r w:rsidRPr="004B0BB1">
        <w:rPr>
          <w:rFonts w:ascii="Arial" w:eastAsia="Times New Roman" w:hAnsi="Arial" w:cs="Arial"/>
          <w:color w:val="E3E3E3"/>
          <w:sz w:val="24"/>
          <w:szCs w:val="24"/>
          <w:lang w:eastAsia="es-EC"/>
        </w:rPr>
        <w:t>superciclo</w:t>
      </w:r>
      <w:proofErr w:type="spellEnd"/>
      <w:r w:rsidRPr="004B0BB1">
        <w:rPr>
          <w:rFonts w:ascii="Arial" w:eastAsia="Times New Roman" w:hAnsi="Arial" w:cs="Arial"/>
          <w:color w:val="E3E3E3"/>
          <w:sz w:val="24"/>
          <w:szCs w:val="24"/>
          <w:lang w:eastAsia="es-EC"/>
        </w:rPr>
        <w:t xml:space="preserve"> de los precios del petróleo, lo que permitió un incremento masivo del gasto público y la inversión social. Durante estos años, el PIB per cápita aumentó un 45% en términos reales respecto a los niveles de inicio de siglo, y la pobreza nacional por ingresos descendió significativamente.   </w:t>
      </w:r>
    </w:p>
    <w:p w14:paraId="540520AD" w14:textId="77777777" w:rsidR="004B0BB1" w:rsidRPr="004B0BB1" w:rsidRDefault="004B0BB1" w:rsidP="004B0BB1">
      <w:pPr>
        <w:shd w:val="clear" w:color="auto" w:fill="131314"/>
        <w:spacing w:after="240" w:line="240" w:lineRule="auto"/>
        <w:rPr>
          <w:rFonts w:ascii="Arial" w:eastAsia="Times New Roman" w:hAnsi="Arial" w:cs="Arial"/>
          <w:color w:val="E3E3E3"/>
          <w:sz w:val="24"/>
          <w:szCs w:val="24"/>
          <w:lang w:eastAsia="es-EC"/>
        </w:rPr>
      </w:pPr>
      <w:r w:rsidRPr="004B0BB1">
        <w:rPr>
          <w:rFonts w:ascii="Arial" w:eastAsia="Times New Roman" w:hAnsi="Arial" w:cs="Arial"/>
          <w:color w:val="E3E3E3"/>
          <w:sz w:val="24"/>
          <w:szCs w:val="24"/>
          <w:lang w:eastAsia="es-EC"/>
        </w:rPr>
        <w:t>La reducción de la pobreza en este quinquenio se explica a través de dos efectos principales: el efecto crecimiento y el efecto redistribución. A diferencia de ciclos económicos anteriores donde solo el crecimiento generaba mejoras marginales, el periodo 2006-2014 se destacó porque la redistribución de la riqueza explicó 7,1 de los 12,5 puntos porcentuales de la caída total de la pobreza por consumo. Esto fue posible gracias a políticas de incremento del salario básico unificado, la ampliación de la cobertura de la seguridad social y la expansión de las transferencias monetarias condicionadas, como el Bono de Desarrollo Humano (BDH).   </w:t>
      </w:r>
    </w:p>
    <w:p w14:paraId="63C3790B" w14:textId="77777777" w:rsidR="004B0BB1" w:rsidRPr="004B0BB1" w:rsidRDefault="004B0BB1" w:rsidP="004B0BB1">
      <w:pPr>
        <w:shd w:val="clear" w:color="auto" w:fill="131314"/>
        <w:spacing w:after="240" w:line="240" w:lineRule="auto"/>
        <w:rPr>
          <w:rFonts w:ascii="Arial" w:eastAsia="Times New Roman" w:hAnsi="Arial" w:cs="Arial"/>
          <w:color w:val="E3E3E3"/>
          <w:sz w:val="24"/>
          <w:szCs w:val="24"/>
          <w:lang w:eastAsia="es-EC"/>
        </w:rPr>
      </w:pPr>
      <w:r w:rsidRPr="004B0BB1">
        <w:rPr>
          <w:rFonts w:ascii="Arial" w:eastAsia="Times New Roman" w:hAnsi="Arial" w:cs="Arial"/>
          <w:color w:val="E3E3E3"/>
          <w:sz w:val="24"/>
          <w:szCs w:val="24"/>
          <w:lang w:eastAsia="es-EC"/>
        </w:rPr>
        <w:t>En términos de desigualdad, el Coeficiente de Gini mostró una tendencia decreciente, reflejando una convergencia en los ingresos de los hogares. El país se convirtió en un ejemplo regional de cómo el impulso estatal en sectores estratégicos y la mejora de la infraestructura básica podían reducir las brechas de bienestar. La clase media se expandió considerablemente, y sectores de la población anteriormente vulnerables lograron superar los umbrales de la pobreza monetaria. No obstante, este modelo dependía críticamente de los altos ingresos petroleros, lo que generó una vulnerabilidad latente ante posibles choques en el mercado internacional de energía.   </w:t>
      </w:r>
    </w:p>
    <w:p w14:paraId="5D077FEC" w14:textId="77777777" w:rsidR="004B0BB1" w:rsidRPr="004B0BB1" w:rsidRDefault="004B0BB1" w:rsidP="004B0BB1">
      <w:pPr>
        <w:shd w:val="clear" w:color="auto" w:fill="131314"/>
        <w:spacing w:before="420" w:after="120" w:line="360" w:lineRule="atLeast"/>
        <w:outlineLvl w:val="2"/>
        <w:rPr>
          <w:rFonts w:ascii="Arial" w:eastAsia="Times New Roman" w:hAnsi="Arial" w:cs="Arial"/>
          <w:b/>
          <w:bCs/>
          <w:color w:val="E3E3E3"/>
          <w:sz w:val="24"/>
          <w:szCs w:val="24"/>
          <w:lang w:eastAsia="es-EC"/>
        </w:rPr>
      </w:pPr>
      <w:r w:rsidRPr="004B0BB1">
        <w:rPr>
          <w:rFonts w:ascii="Arial" w:eastAsia="Times New Roman" w:hAnsi="Arial" w:cs="Arial"/>
          <w:b/>
          <w:bCs/>
          <w:color w:val="E3E3E3"/>
          <w:sz w:val="24"/>
          <w:szCs w:val="24"/>
          <w:lang w:eastAsia="es-EC"/>
        </w:rPr>
        <w:t>Evolución de la Pobreza por Ingresos (2010-2014)</w:t>
      </w:r>
    </w:p>
    <w:tbl>
      <w:tblPr>
        <w:tblW w:w="921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874"/>
        <w:gridCol w:w="2425"/>
        <w:gridCol w:w="3260"/>
        <w:gridCol w:w="1651"/>
      </w:tblGrid>
      <w:tr w:rsidR="004B0BB1" w:rsidRPr="004B0BB1" w14:paraId="11A2F547" w14:textId="77777777" w:rsidTr="004B0BB1">
        <w:trPr>
          <w:tblHeader/>
          <w:tblCellSpacing w:w="15" w:type="dxa"/>
        </w:trPr>
        <w:tc>
          <w:tcPr>
            <w:tcW w:w="0" w:type="auto"/>
            <w:shd w:val="clear" w:color="auto" w:fill="1B1B1B"/>
            <w:tcMar>
              <w:top w:w="120" w:type="dxa"/>
              <w:left w:w="180" w:type="dxa"/>
              <w:bottom w:w="120" w:type="dxa"/>
              <w:right w:w="180" w:type="dxa"/>
            </w:tcMar>
            <w:hideMark/>
          </w:tcPr>
          <w:p w14:paraId="03C37447"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Periodo</w:t>
            </w:r>
          </w:p>
        </w:tc>
        <w:tc>
          <w:tcPr>
            <w:tcW w:w="0" w:type="auto"/>
            <w:shd w:val="clear" w:color="auto" w:fill="1B1B1B"/>
            <w:tcMar>
              <w:top w:w="120" w:type="dxa"/>
              <w:left w:w="180" w:type="dxa"/>
              <w:bottom w:w="120" w:type="dxa"/>
              <w:right w:w="180" w:type="dxa"/>
            </w:tcMar>
            <w:hideMark/>
          </w:tcPr>
          <w:p w14:paraId="7C507EB6"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Pobreza Nacional (%)</w:t>
            </w:r>
          </w:p>
        </w:tc>
        <w:tc>
          <w:tcPr>
            <w:tcW w:w="0" w:type="auto"/>
            <w:shd w:val="clear" w:color="auto" w:fill="1B1B1B"/>
            <w:tcMar>
              <w:top w:w="120" w:type="dxa"/>
              <w:left w:w="180" w:type="dxa"/>
              <w:bottom w:w="120" w:type="dxa"/>
              <w:right w:w="180" w:type="dxa"/>
            </w:tcMar>
            <w:hideMark/>
          </w:tcPr>
          <w:p w14:paraId="371A11CA"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Pobreza Extrema Nacional (%)</w:t>
            </w:r>
          </w:p>
        </w:tc>
        <w:tc>
          <w:tcPr>
            <w:tcW w:w="0" w:type="auto"/>
            <w:shd w:val="clear" w:color="auto" w:fill="1B1B1B"/>
            <w:tcMar>
              <w:top w:w="120" w:type="dxa"/>
              <w:left w:w="180" w:type="dxa"/>
              <w:bottom w:w="120" w:type="dxa"/>
              <w:right w:w="180" w:type="dxa"/>
            </w:tcMar>
            <w:hideMark/>
          </w:tcPr>
          <w:p w14:paraId="7E294E04"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Gini Nacional</w:t>
            </w:r>
          </w:p>
        </w:tc>
      </w:tr>
      <w:tr w:rsidR="004B0BB1" w:rsidRPr="004B0BB1" w14:paraId="289A7C42" w14:textId="77777777" w:rsidTr="004B0BB1">
        <w:trPr>
          <w:tblCellSpacing w:w="15" w:type="dxa"/>
        </w:trPr>
        <w:tc>
          <w:tcPr>
            <w:tcW w:w="0" w:type="auto"/>
            <w:shd w:val="clear" w:color="auto" w:fill="1B1B1B"/>
            <w:tcMar>
              <w:top w:w="120" w:type="dxa"/>
              <w:left w:w="180" w:type="dxa"/>
              <w:bottom w:w="120" w:type="dxa"/>
              <w:right w:w="180" w:type="dxa"/>
            </w:tcMar>
            <w:hideMark/>
          </w:tcPr>
          <w:p w14:paraId="33A86828"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Diciembre 2010</w:t>
            </w:r>
          </w:p>
        </w:tc>
        <w:tc>
          <w:tcPr>
            <w:tcW w:w="0" w:type="auto"/>
            <w:shd w:val="clear" w:color="auto" w:fill="1B1B1B"/>
            <w:tcMar>
              <w:top w:w="120" w:type="dxa"/>
              <w:left w:w="180" w:type="dxa"/>
              <w:bottom w:w="120" w:type="dxa"/>
              <w:right w:w="180" w:type="dxa"/>
            </w:tcMar>
            <w:hideMark/>
          </w:tcPr>
          <w:p w14:paraId="5EB08552"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32,8</w:t>
            </w:r>
          </w:p>
        </w:tc>
        <w:tc>
          <w:tcPr>
            <w:tcW w:w="0" w:type="auto"/>
            <w:shd w:val="clear" w:color="auto" w:fill="1B1B1B"/>
            <w:tcMar>
              <w:top w:w="120" w:type="dxa"/>
              <w:left w:w="180" w:type="dxa"/>
              <w:bottom w:w="120" w:type="dxa"/>
              <w:right w:w="180" w:type="dxa"/>
            </w:tcMar>
            <w:hideMark/>
          </w:tcPr>
          <w:p w14:paraId="34F77CDF"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13,1</w:t>
            </w:r>
          </w:p>
        </w:tc>
        <w:tc>
          <w:tcPr>
            <w:tcW w:w="0" w:type="auto"/>
            <w:shd w:val="clear" w:color="auto" w:fill="1B1B1B"/>
            <w:tcMar>
              <w:top w:w="120" w:type="dxa"/>
              <w:left w:w="180" w:type="dxa"/>
              <w:bottom w:w="120" w:type="dxa"/>
              <w:right w:w="180" w:type="dxa"/>
            </w:tcMar>
            <w:hideMark/>
          </w:tcPr>
          <w:p w14:paraId="157E47F0"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0,500</w:t>
            </w:r>
          </w:p>
        </w:tc>
      </w:tr>
      <w:tr w:rsidR="004B0BB1" w:rsidRPr="004B0BB1" w14:paraId="6976BB27" w14:textId="77777777" w:rsidTr="004B0BB1">
        <w:trPr>
          <w:tblCellSpacing w:w="15" w:type="dxa"/>
        </w:trPr>
        <w:tc>
          <w:tcPr>
            <w:tcW w:w="0" w:type="auto"/>
            <w:shd w:val="clear" w:color="auto" w:fill="1B1B1B"/>
            <w:tcMar>
              <w:top w:w="120" w:type="dxa"/>
              <w:left w:w="180" w:type="dxa"/>
              <w:bottom w:w="120" w:type="dxa"/>
              <w:right w:w="180" w:type="dxa"/>
            </w:tcMar>
            <w:hideMark/>
          </w:tcPr>
          <w:p w14:paraId="499DC10C"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Diciembre 2011</w:t>
            </w:r>
          </w:p>
        </w:tc>
        <w:tc>
          <w:tcPr>
            <w:tcW w:w="0" w:type="auto"/>
            <w:shd w:val="clear" w:color="auto" w:fill="1B1B1B"/>
            <w:tcMar>
              <w:top w:w="120" w:type="dxa"/>
              <w:left w:w="180" w:type="dxa"/>
              <w:bottom w:w="120" w:type="dxa"/>
              <w:right w:w="180" w:type="dxa"/>
            </w:tcMar>
            <w:hideMark/>
          </w:tcPr>
          <w:p w14:paraId="4403D7BB"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28,6</w:t>
            </w:r>
          </w:p>
        </w:tc>
        <w:tc>
          <w:tcPr>
            <w:tcW w:w="0" w:type="auto"/>
            <w:shd w:val="clear" w:color="auto" w:fill="1B1B1B"/>
            <w:tcMar>
              <w:top w:w="120" w:type="dxa"/>
              <w:left w:w="180" w:type="dxa"/>
              <w:bottom w:w="120" w:type="dxa"/>
              <w:right w:w="180" w:type="dxa"/>
            </w:tcMar>
            <w:hideMark/>
          </w:tcPr>
          <w:p w14:paraId="6277E9C3"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11,6</w:t>
            </w:r>
          </w:p>
        </w:tc>
        <w:tc>
          <w:tcPr>
            <w:tcW w:w="0" w:type="auto"/>
            <w:shd w:val="clear" w:color="auto" w:fill="1B1B1B"/>
            <w:tcMar>
              <w:top w:w="120" w:type="dxa"/>
              <w:left w:w="180" w:type="dxa"/>
              <w:bottom w:w="120" w:type="dxa"/>
              <w:right w:w="180" w:type="dxa"/>
            </w:tcMar>
            <w:hideMark/>
          </w:tcPr>
          <w:p w14:paraId="2D4FCCF6"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0,473</w:t>
            </w:r>
          </w:p>
        </w:tc>
      </w:tr>
      <w:tr w:rsidR="004B0BB1" w:rsidRPr="004B0BB1" w14:paraId="7E44841A" w14:textId="77777777" w:rsidTr="004B0BB1">
        <w:trPr>
          <w:tblCellSpacing w:w="15" w:type="dxa"/>
        </w:trPr>
        <w:tc>
          <w:tcPr>
            <w:tcW w:w="0" w:type="auto"/>
            <w:shd w:val="clear" w:color="auto" w:fill="1B1B1B"/>
            <w:tcMar>
              <w:top w:w="120" w:type="dxa"/>
              <w:left w:w="180" w:type="dxa"/>
              <w:bottom w:w="120" w:type="dxa"/>
              <w:right w:w="180" w:type="dxa"/>
            </w:tcMar>
            <w:hideMark/>
          </w:tcPr>
          <w:p w14:paraId="0AF6B371"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Diciembre 2012</w:t>
            </w:r>
          </w:p>
        </w:tc>
        <w:tc>
          <w:tcPr>
            <w:tcW w:w="0" w:type="auto"/>
            <w:shd w:val="clear" w:color="auto" w:fill="1B1B1B"/>
            <w:tcMar>
              <w:top w:w="120" w:type="dxa"/>
              <w:left w:w="180" w:type="dxa"/>
              <w:bottom w:w="120" w:type="dxa"/>
              <w:right w:w="180" w:type="dxa"/>
            </w:tcMar>
            <w:hideMark/>
          </w:tcPr>
          <w:p w14:paraId="354EBB96"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27,3</w:t>
            </w:r>
          </w:p>
        </w:tc>
        <w:tc>
          <w:tcPr>
            <w:tcW w:w="0" w:type="auto"/>
            <w:shd w:val="clear" w:color="auto" w:fill="1B1B1B"/>
            <w:tcMar>
              <w:top w:w="120" w:type="dxa"/>
              <w:left w:w="180" w:type="dxa"/>
              <w:bottom w:w="120" w:type="dxa"/>
              <w:right w:w="180" w:type="dxa"/>
            </w:tcMar>
            <w:hideMark/>
          </w:tcPr>
          <w:p w14:paraId="287F328D"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11,2</w:t>
            </w:r>
          </w:p>
        </w:tc>
        <w:tc>
          <w:tcPr>
            <w:tcW w:w="0" w:type="auto"/>
            <w:shd w:val="clear" w:color="auto" w:fill="1B1B1B"/>
            <w:tcMar>
              <w:top w:w="120" w:type="dxa"/>
              <w:left w:w="180" w:type="dxa"/>
              <w:bottom w:w="120" w:type="dxa"/>
              <w:right w:w="180" w:type="dxa"/>
            </w:tcMar>
            <w:hideMark/>
          </w:tcPr>
          <w:p w14:paraId="32C30285"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0,478</w:t>
            </w:r>
          </w:p>
        </w:tc>
      </w:tr>
      <w:tr w:rsidR="004B0BB1" w:rsidRPr="004B0BB1" w14:paraId="0BF09F9B" w14:textId="77777777" w:rsidTr="004B0BB1">
        <w:trPr>
          <w:tblCellSpacing w:w="15" w:type="dxa"/>
        </w:trPr>
        <w:tc>
          <w:tcPr>
            <w:tcW w:w="0" w:type="auto"/>
            <w:shd w:val="clear" w:color="auto" w:fill="1B1B1B"/>
            <w:tcMar>
              <w:top w:w="120" w:type="dxa"/>
              <w:left w:w="180" w:type="dxa"/>
              <w:bottom w:w="120" w:type="dxa"/>
              <w:right w:w="180" w:type="dxa"/>
            </w:tcMar>
            <w:hideMark/>
          </w:tcPr>
          <w:p w14:paraId="258CC6D8"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lastRenderedPageBreak/>
              <w:t>Diciembre 2013</w:t>
            </w:r>
          </w:p>
        </w:tc>
        <w:tc>
          <w:tcPr>
            <w:tcW w:w="0" w:type="auto"/>
            <w:shd w:val="clear" w:color="auto" w:fill="1B1B1B"/>
            <w:tcMar>
              <w:top w:w="120" w:type="dxa"/>
              <w:left w:w="180" w:type="dxa"/>
              <w:bottom w:w="120" w:type="dxa"/>
              <w:right w:w="180" w:type="dxa"/>
            </w:tcMar>
            <w:hideMark/>
          </w:tcPr>
          <w:p w14:paraId="24B50770"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25,6</w:t>
            </w:r>
          </w:p>
        </w:tc>
        <w:tc>
          <w:tcPr>
            <w:tcW w:w="0" w:type="auto"/>
            <w:shd w:val="clear" w:color="auto" w:fill="1B1B1B"/>
            <w:tcMar>
              <w:top w:w="120" w:type="dxa"/>
              <w:left w:w="180" w:type="dxa"/>
              <w:bottom w:w="120" w:type="dxa"/>
              <w:right w:w="180" w:type="dxa"/>
            </w:tcMar>
            <w:hideMark/>
          </w:tcPr>
          <w:p w14:paraId="4FEB2BA7"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8,6</w:t>
            </w:r>
          </w:p>
        </w:tc>
        <w:tc>
          <w:tcPr>
            <w:tcW w:w="0" w:type="auto"/>
            <w:shd w:val="clear" w:color="auto" w:fill="1B1B1B"/>
            <w:tcMar>
              <w:top w:w="120" w:type="dxa"/>
              <w:left w:w="180" w:type="dxa"/>
              <w:bottom w:w="120" w:type="dxa"/>
              <w:right w:w="180" w:type="dxa"/>
            </w:tcMar>
            <w:hideMark/>
          </w:tcPr>
          <w:p w14:paraId="0BF688F4"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0,485</w:t>
            </w:r>
          </w:p>
        </w:tc>
      </w:tr>
      <w:tr w:rsidR="004B0BB1" w:rsidRPr="004B0BB1" w14:paraId="09428F47" w14:textId="77777777" w:rsidTr="004B0BB1">
        <w:trPr>
          <w:tblCellSpacing w:w="15" w:type="dxa"/>
        </w:trPr>
        <w:tc>
          <w:tcPr>
            <w:tcW w:w="0" w:type="auto"/>
            <w:shd w:val="clear" w:color="auto" w:fill="1B1B1B"/>
            <w:tcMar>
              <w:top w:w="120" w:type="dxa"/>
              <w:left w:w="180" w:type="dxa"/>
              <w:bottom w:w="120" w:type="dxa"/>
              <w:right w:w="180" w:type="dxa"/>
            </w:tcMar>
            <w:hideMark/>
          </w:tcPr>
          <w:p w14:paraId="2927C22B"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Diciembre 2014</w:t>
            </w:r>
          </w:p>
        </w:tc>
        <w:tc>
          <w:tcPr>
            <w:tcW w:w="0" w:type="auto"/>
            <w:shd w:val="clear" w:color="auto" w:fill="1B1B1B"/>
            <w:tcMar>
              <w:top w:w="120" w:type="dxa"/>
              <w:left w:w="180" w:type="dxa"/>
              <w:bottom w:w="120" w:type="dxa"/>
              <w:right w:w="180" w:type="dxa"/>
            </w:tcMar>
            <w:hideMark/>
          </w:tcPr>
          <w:p w14:paraId="7550C2AF"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22,5</w:t>
            </w:r>
          </w:p>
        </w:tc>
        <w:tc>
          <w:tcPr>
            <w:tcW w:w="0" w:type="auto"/>
            <w:shd w:val="clear" w:color="auto" w:fill="1B1B1B"/>
            <w:tcMar>
              <w:top w:w="120" w:type="dxa"/>
              <w:left w:w="180" w:type="dxa"/>
              <w:bottom w:w="120" w:type="dxa"/>
              <w:right w:w="180" w:type="dxa"/>
            </w:tcMar>
            <w:hideMark/>
          </w:tcPr>
          <w:p w14:paraId="3649B653"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7,7</w:t>
            </w:r>
          </w:p>
        </w:tc>
        <w:tc>
          <w:tcPr>
            <w:tcW w:w="0" w:type="auto"/>
            <w:shd w:val="clear" w:color="auto" w:fill="1B1B1B"/>
            <w:tcMar>
              <w:top w:w="120" w:type="dxa"/>
              <w:left w:w="180" w:type="dxa"/>
              <w:bottom w:w="120" w:type="dxa"/>
              <w:right w:w="180" w:type="dxa"/>
            </w:tcMar>
            <w:hideMark/>
          </w:tcPr>
          <w:p w14:paraId="44E466A5"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0,467</w:t>
            </w:r>
          </w:p>
        </w:tc>
      </w:tr>
    </w:tbl>
    <w:p w14:paraId="597F4745" w14:textId="77777777" w:rsidR="004B0BB1" w:rsidRPr="004B0BB1" w:rsidRDefault="004B0BB1" w:rsidP="004B0BB1">
      <w:pPr>
        <w:shd w:val="clear" w:color="auto" w:fill="131314"/>
        <w:spacing w:after="240" w:line="240" w:lineRule="auto"/>
        <w:rPr>
          <w:rFonts w:ascii="Arial" w:eastAsia="Times New Roman" w:hAnsi="Arial" w:cs="Arial"/>
          <w:color w:val="E3E3E3"/>
          <w:sz w:val="24"/>
          <w:szCs w:val="24"/>
          <w:lang w:eastAsia="es-EC"/>
        </w:rPr>
      </w:pPr>
      <w:r w:rsidRPr="004B0BB1">
        <w:rPr>
          <w:rFonts w:ascii="Arial" w:eastAsia="Times New Roman" w:hAnsi="Arial" w:cs="Arial"/>
          <w:color w:val="E3E3E3"/>
          <w:sz w:val="24"/>
          <w:szCs w:val="24"/>
          <w:lang w:eastAsia="es-EC"/>
        </w:rPr>
        <w:t>Fuente: Elaboración técnica basada en reportes históricos del INEC.   </w:t>
      </w:r>
    </w:p>
    <w:p w14:paraId="02DE0FEA" w14:textId="77777777" w:rsidR="004B0BB1" w:rsidRPr="004B0BB1" w:rsidRDefault="004B0BB1" w:rsidP="004B0BB1">
      <w:pPr>
        <w:shd w:val="clear" w:color="auto" w:fill="131314"/>
        <w:spacing w:before="420" w:after="120" w:line="420" w:lineRule="atLeast"/>
        <w:outlineLvl w:val="1"/>
        <w:rPr>
          <w:rFonts w:ascii="Arial" w:eastAsia="Times New Roman" w:hAnsi="Arial" w:cs="Arial"/>
          <w:b/>
          <w:bCs/>
          <w:color w:val="E3E3E3"/>
          <w:sz w:val="30"/>
          <w:szCs w:val="30"/>
          <w:lang w:eastAsia="es-EC"/>
        </w:rPr>
      </w:pPr>
      <w:r w:rsidRPr="004B0BB1">
        <w:rPr>
          <w:rFonts w:ascii="Arial" w:eastAsia="Times New Roman" w:hAnsi="Arial" w:cs="Arial"/>
          <w:b/>
          <w:bCs/>
          <w:color w:val="E3E3E3"/>
          <w:sz w:val="30"/>
          <w:szCs w:val="30"/>
          <w:lang w:eastAsia="es-EC"/>
        </w:rPr>
        <w:t>El Fin de la Bonanza y el Ajuste Estructural (2015-2019)</w:t>
      </w:r>
    </w:p>
    <w:p w14:paraId="1C15426D" w14:textId="77777777" w:rsidR="004B0BB1" w:rsidRPr="004B0BB1" w:rsidRDefault="004B0BB1" w:rsidP="004B0BB1">
      <w:pPr>
        <w:shd w:val="clear" w:color="auto" w:fill="131314"/>
        <w:spacing w:after="240" w:line="240" w:lineRule="auto"/>
        <w:rPr>
          <w:rFonts w:ascii="Arial" w:eastAsia="Times New Roman" w:hAnsi="Arial" w:cs="Arial"/>
          <w:color w:val="E3E3E3"/>
          <w:sz w:val="24"/>
          <w:szCs w:val="24"/>
          <w:lang w:eastAsia="es-EC"/>
        </w:rPr>
      </w:pPr>
      <w:r w:rsidRPr="004B0BB1">
        <w:rPr>
          <w:rFonts w:ascii="Arial" w:eastAsia="Times New Roman" w:hAnsi="Arial" w:cs="Arial"/>
          <w:color w:val="E3E3E3"/>
          <w:sz w:val="24"/>
          <w:szCs w:val="24"/>
          <w:lang w:eastAsia="es-EC"/>
        </w:rPr>
        <w:t>A partir de finales de 2014, el panorama económico cambió drásticamente con la caída sostenida de los precios internacionales del petróleo. Para una economía dolarizada como la ecuatoriana, este choque externo eliminó la principal fuente de divisas y financiamiento del gasto público, lo que obligó al Estado a iniciar un proceso de reequilibrio macroeconómico caracterizado por la austeridad fiscal y la reducción de la inversión pública. La inversión pública, que en 2014 representaba un motor de movilidad social, sufrió recortes en sectores críticos como educación y vivienda.   </w:t>
      </w:r>
    </w:p>
    <w:p w14:paraId="76A20ED6" w14:textId="77777777" w:rsidR="004B0BB1" w:rsidRPr="004B0BB1" w:rsidRDefault="004B0BB1" w:rsidP="004B0BB1">
      <w:pPr>
        <w:shd w:val="clear" w:color="auto" w:fill="131314"/>
        <w:spacing w:after="240" w:line="240" w:lineRule="auto"/>
        <w:rPr>
          <w:rFonts w:ascii="Arial" w:eastAsia="Times New Roman" w:hAnsi="Arial" w:cs="Arial"/>
          <w:color w:val="E3E3E3"/>
          <w:sz w:val="24"/>
          <w:szCs w:val="24"/>
          <w:lang w:eastAsia="es-EC"/>
        </w:rPr>
      </w:pPr>
      <w:r w:rsidRPr="004B0BB1">
        <w:rPr>
          <w:rFonts w:ascii="Arial" w:eastAsia="Times New Roman" w:hAnsi="Arial" w:cs="Arial"/>
          <w:color w:val="E3E3E3"/>
          <w:sz w:val="24"/>
          <w:szCs w:val="24"/>
          <w:lang w:eastAsia="es-EC"/>
        </w:rPr>
        <w:t>Este periodo se define como una etapa de estancamiento en la lucha contra la pobreza. Entre 2015 y 2016, la tasa de pobreza por ingresos se estabilizó en torno al 22,9%-23,3%, lo que indicaba que la economía ya no tenía la capacidad de absorber a la población fuera de la privación. A este escenario se sumó el terremoto de abril de 2016, que devastó las provincias de Manabí y Esmeraldas, provocando un aumento inmediato de las carencias en estas regiones y destruyendo infraestructura productiva local.   </w:t>
      </w:r>
    </w:p>
    <w:p w14:paraId="42202446" w14:textId="77777777" w:rsidR="004B0BB1" w:rsidRPr="004B0BB1" w:rsidRDefault="004B0BB1" w:rsidP="004B0BB1">
      <w:pPr>
        <w:shd w:val="clear" w:color="auto" w:fill="131314"/>
        <w:spacing w:after="240" w:line="240" w:lineRule="auto"/>
        <w:rPr>
          <w:rFonts w:ascii="Arial" w:eastAsia="Times New Roman" w:hAnsi="Arial" w:cs="Arial"/>
          <w:color w:val="E3E3E3"/>
          <w:sz w:val="24"/>
          <w:szCs w:val="24"/>
          <w:lang w:eastAsia="es-EC"/>
        </w:rPr>
      </w:pPr>
      <w:r w:rsidRPr="004B0BB1">
        <w:rPr>
          <w:rFonts w:ascii="Arial" w:eastAsia="Times New Roman" w:hAnsi="Arial" w:cs="Arial"/>
          <w:color w:val="E3E3E3"/>
          <w:sz w:val="24"/>
          <w:szCs w:val="24"/>
          <w:lang w:eastAsia="es-EC"/>
        </w:rPr>
        <w:t>Entre 2017 y 2019, Ecuador profundizó su política de ajuste. Los esfuerzos por reducir el déficit fiscal y la búsqueda de financiamiento externo condicionaron el gasto social. Aunque el desempleo abierto se mantuvo bajo, la calidad del empleo comenzó a deteriorarse, con un aumento progresivo del subempleo y el empleo inadecuado. La pobreza multidimensional, que mide derechos estructurales, comenzó a reflejar la falta de mantenimiento en los servicios públicos y el rezago en el acceso a la seguridad social para los nuevos trabajadores informales. El crecimiento de los sectores no petroleros fue insuficiente para compensar la contracción del gasto público, lo que resultó en una erosión de los ingresos laborales y una mayor dependencia de las familias de los recursos informales.   </w:t>
      </w:r>
    </w:p>
    <w:p w14:paraId="661C6712" w14:textId="77777777" w:rsidR="004B0BB1" w:rsidRPr="004B0BB1" w:rsidRDefault="004B0BB1" w:rsidP="004B0BB1">
      <w:pPr>
        <w:shd w:val="clear" w:color="auto" w:fill="131314"/>
        <w:spacing w:before="420" w:after="120" w:line="420" w:lineRule="atLeast"/>
        <w:outlineLvl w:val="1"/>
        <w:rPr>
          <w:rFonts w:ascii="Arial" w:eastAsia="Times New Roman" w:hAnsi="Arial" w:cs="Arial"/>
          <w:b/>
          <w:bCs/>
          <w:color w:val="E3E3E3"/>
          <w:sz w:val="30"/>
          <w:szCs w:val="30"/>
          <w:lang w:eastAsia="es-EC"/>
        </w:rPr>
      </w:pPr>
      <w:r w:rsidRPr="004B0BB1">
        <w:rPr>
          <w:rFonts w:ascii="Arial" w:eastAsia="Times New Roman" w:hAnsi="Arial" w:cs="Arial"/>
          <w:b/>
          <w:bCs/>
          <w:color w:val="E3E3E3"/>
          <w:sz w:val="30"/>
          <w:szCs w:val="30"/>
          <w:lang w:eastAsia="es-EC"/>
        </w:rPr>
        <w:t>El Impacto Disruptivo del COVID-19 (2020-2021)</w:t>
      </w:r>
    </w:p>
    <w:p w14:paraId="6AAB0EFA" w14:textId="77777777" w:rsidR="004B0BB1" w:rsidRPr="004B0BB1" w:rsidRDefault="004B0BB1" w:rsidP="004B0BB1">
      <w:pPr>
        <w:shd w:val="clear" w:color="auto" w:fill="131314"/>
        <w:spacing w:after="240" w:line="240" w:lineRule="auto"/>
        <w:rPr>
          <w:rFonts w:ascii="Arial" w:eastAsia="Times New Roman" w:hAnsi="Arial" w:cs="Arial"/>
          <w:color w:val="E3E3E3"/>
          <w:sz w:val="24"/>
          <w:szCs w:val="24"/>
          <w:lang w:eastAsia="es-EC"/>
        </w:rPr>
      </w:pPr>
      <w:r w:rsidRPr="004B0BB1">
        <w:rPr>
          <w:rFonts w:ascii="Arial" w:eastAsia="Times New Roman" w:hAnsi="Arial" w:cs="Arial"/>
          <w:color w:val="E3E3E3"/>
          <w:sz w:val="24"/>
          <w:szCs w:val="24"/>
          <w:lang w:eastAsia="es-EC"/>
        </w:rPr>
        <w:t xml:space="preserve">La pandemia de COVID-19 representó el choque más severo para la estructura social del Ecuador en el siglo XXI. El PIB del país se contrajo un 7,8% en 2020, impulsado por el confinamiento y la paralización de sectores clave como el comercio, el transporte y los servicios de comida. Esta crisis económica se tradujo de inmediato en una crisis de pobreza sin precedentes recientes. En </w:t>
      </w:r>
      <w:r w:rsidRPr="004B0BB1">
        <w:rPr>
          <w:rFonts w:ascii="Arial" w:eastAsia="Times New Roman" w:hAnsi="Arial" w:cs="Arial"/>
          <w:color w:val="E3E3E3"/>
          <w:sz w:val="24"/>
          <w:szCs w:val="24"/>
          <w:lang w:eastAsia="es-EC"/>
        </w:rPr>
        <w:lastRenderedPageBreak/>
        <w:t>diciembre de 2020, la pobreza nacional por ingresos saltó al 33,0%, borrando prácticamente los avances logrados en la década anterior.   </w:t>
      </w:r>
    </w:p>
    <w:p w14:paraId="3F6A8D2C" w14:textId="77777777" w:rsidR="004B0BB1" w:rsidRPr="004B0BB1" w:rsidRDefault="004B0BB1" w:rsidP="004B0BB1">
      <w:pPr>
        <w:shd w:val="clear" w:color="auto" w:fill="131314"/>
        <w:spacing w:after="240" w:line="240" w:lineRule="auto"/>
        <w:rPr>
          <w:rFonts w:ascii="Arial" w:eastAsia="Times New Roman" w:hAnsi="Arial" w:cs="Arial"/>
          <w:color w:val="E3E3E3"/>
          <w:sz w:val="24"/>
          <w:szCs w:val="24"/>
          <w:lang w:eastAsia="es-EC"/>
        </w:rPr>
      </w:pPr>
      <w:r w:rsidRPr="004B0BB1">
        <w:rPr>
          <w:rFonts w:ascii="Arial" w:eastAsia="Times New Roman" w:hAnsi="Arial" w:cs="Arial"/>
          <w:color w:val="E3E3E3"/>
          <w:sz w:val="24"/>
          <w:szCs w:val="24"/>
          <w:lang w:eastAsia="es-EC"/>
        </w:rPr>
        <w:t>La pobreza extrema sufrió un incremento aún más alarmante, pasando del 8,9% a finales de 2019 al 15,4% en diciembre de 2020. La parálisis económica golpeó con mayor fuerza a los trabajadores del sector informal y de servicios en las áreas urbanas, donde la pobreza extrema se duplicó. Los grupos vulnerables, incluyendo mujeres, jóvenes y trabajadores informales, enfrentaron las mayores pérdidas de empleo y una reducción drástica de sus ingresos per cápita.   </w:t>
      </w:r>
    </w:p>
    <w:p w14:paraId="75B6B097" w14:textId="77777777" w:rsidR="004B0BB1" w:rsidRPr="004B0BB1" w:rsidRDefault="004B0BB1" w:rsidP="004B0BB1">
      <w:pPr>
        <w:shd w:val="clear" w:color="auto" w:fill="131314"/>
        <w:spacing w:after="240" w:line="240" w:lineRule="auto"/>
        <w:rPr>
          <w:rFonts w:ascii="Arial" w:eastAsia="Times New Roman" w:hAnsi="Arial" w:cs="Arial"/>
          <w:color w:val="E3E3E3"/>
          <w:sz w:val="24"/>
          <w:szCs w:val="24"/>
          <w:lang w:eastAsia="es-EC"/>
        </w:rPr>
      </w:pPr>
      <w:r w:rsidRPr="004B0BB1">
        <w:rPr>
          <w:rFonts w:ascii="Arial" w:eastAsia="Times New Roman" w:hAnsi="Arial" w:cs="Arial"/>
          <w:color w:val="E3E3E3"/>
          <w:sz w:val="24"/>
          <w:szCs w:val="24"/>
          <w:lang w:eastAsia="es-EC"/>
        </w:rPr>
        <w:t xml:space="preserve">En términos multidimensionales, el IPM nacional subió a 40,9% en diciembre de 2020. El cierre de las escuelas y la saturación del sistema de salud no solo afectaron el bienestar inmediato, sino que sembraron las bases para un rezago educativo y de salud que condicionará la pobreza futura. La metodología de </w:t>
      </w:r>
      <w:proofErr w:type="spellStart"/>
      <w:r w:rsidRPr="004B0BB1">
        <w:rPr>
          <w:rFonts w:ascii="Arial" w:eastAsia="Times New Roman" w:hAnsi="Arial" w:cs="Arial"/>
          <w:color w:val="E3E3E3"/>
          <w:sz w:val="24"/>
          <w:szCs w:val="24"/>
          <w:lang w:eastAsia="es-EC"/>
        </w:rPr>
        <w:t>Alkire</w:t>
      </w:r>
      <w:proofErr w:type="spellEnd"/>
      <w:r w:rsidRPr="004B0BB1">
        <w:rPr>
          <w:rFonts w:ascii="Arial" w:eastAsia="Times New Roman" w:hAnsi="Arial" w:cs="Arial"/>
          <w:color w:val="E3E3E3"/>
          <w:sz w:val="24"/>
          <w:szCs w:val="24"/>
          <w:lang w:eastAsia="es-EC"/>
        </w:rPr>
        <w:t xml:space="preserve"> y Foster reveló que el componente de "desempleo o empleo inadecuado" fue el mayor contribuyente al aumento del IPM durante la crisis sanitaria, evidenciando que la precariedad laboral es el canal principal a través del cual los choques externos afectan a la población ecuatoriana.   </w:t>
      </w:r>
    </w:p>
    <w:p w14:paraId="7CA1885D" w14:textId="77777777" w:rsidR="004B0BB1" w:rsidRPr="004B0BB1" w:rsidRDefault="004B0BB1" w:rsidP="004B0BB1">
      <w:pPr>
        <w:shd w:val="clear" w:color="auto" w:fill="131314"/>
        <w:spacing w:before="420" w:after="120" w:line="360" w:lineRule="atLeast"/>
        <w:outlineLvl w:val="2"/>
        <w:rPr>
          <w:rFonts w:ascii="Arial" w:eastAsia="Times New Roman" w:hAnsi="Arial" w:cs="Arial"/>
          <w:b/>
          <w:bCs/>
          <w:color w:val="E3E3E3"/>
          <w:sz w:val="24"/>
          <w:szCs w:val="24"/>
          <w:lang w:eastAsia="es-EC"/>
        </w:rPr>
      </w:pPr>
      <w:r w:rsidRPr="004B0BB1">
        <w:rPr>
          <w:rFonts w:ascii="Arial" w:eastAsia="Times New Roman" w:hAnsi="Arial" w:cs="Arial"/>
          <w:b/>
          <w:bCs/>
          <w:color w:val="E3E3E3"/>
          <w:sz w:val="24"/>
          <w:szCs w:val="24"/>
          <w:lang w:eastAsia="es-EC"/>
        </w:rPr>
        <w:t>Comparativa de Pobreza Urbana y Rural en la Pandemia</w:t>
      </w:r>
    </w:p>
    <w:tbl>
      <w:tblPr>
        <w:tblW w:w="960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883"/>
        <w:gridCol w:w="2234"/>
        <w:gridCol w:w="2234"/>
        <w:gridCol w:w="2249"/>
      </w:tblGrid>
      <w:tr w:rsidR="004B0BB1" w:rsidRPr="004B0BB1" w14:paraId="083F1A52" w14:textId="77777777" w:rsidTr="004B0BB1">
        <w:trPr>
          <w:tblHeader/>
          <w:tblCellSpacing w:w="15" w:type="dxa"/>
        </w:trPr>
        <w:tc>
          <w:tcPr>
            <w:tcW w:w="0" w:type="auto"/>
            <w:shd w:val="clear" w:color="auto" w:fill="1B1B1B"/>
            <w:tcMar>
              <w:top w:w="120" w:type="dxa"/>
              <w:left w:w="180" w:type="dxa"/>
              <w:bottom w:w="120" w:type="dxa"/>
              <w:right w:w="180" w:type="dxa"/>
            </w:tcMar>
            <w:hideMark/>
          </w:tcPr>
          <w:p w14:paraId="5BF94D32"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Indicador</w:t>
            </w:r>
          </w:p>
        </w:tc>
        <w:tc>
          <w:tcPr>
            <w:tcW w:w="0" w:type="auto"/>
            <w:shd w:val="clear" w:color="auto" w:fill="1B1B1B"/>
            <w:tcMar>
              <w:top w:w="120" w:type="dxa"/>
              <w:left w:w="180" w:type="dxa"/>
              <w:bottom w:w="120" w:type="dxa"/>
              <w:right w:w="180" w:type="dxa"/>
            </w:tcMar>
            <w:hideMark/>
          </w:tcPr>
          <w:p w14:paraId="06136949"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Diciembre 2019 (%)</w:t>
            </w:r>
          </w:p>
        </w:tc>
        <w:tc>
          <w:tcPr>
            <w:tcW w:w="0" w:type="auto"/>
            <w:shd w:val="clear" w:color="auto" w:fill="1B1B1B"/>
            <w:tcMar>
              <w:top w:w="120" w:type="dxa"/>
              <w:left w:w="180" w:type="dxa"/>
              <w:bottom w:w="120" w:type="dxa"/>
              <w:right w:w="180" w:type="dxa"/>
            </w:tcMar>
            <w:hideMark/>
          </w:tcPr>
          <w:p w14:paraId="31BABB22"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Diciembre 2020 (%)</w:t>
            </w:r>
          </w:p>
        </w:tc>
        <w:tc>
          <w:tcPr>
            <w:tcW w:w="0" w:type="auto"/>
            <w:shd w:val="clear" w:color="auto" w:fill="1B1B1B"/>
            <w:tcMar>
              <w:top w:w="120" w:type="dxa"/>
              <w:left w:w="180" w:type="dxa"/>
              <w:bottom w:w="120" w:type="dxa"/>
              <w:right w:w="180" w:type="dxa"/>
            </w:tcMar>
            <w:hideMark/>
          </w:tcPr>
          <w:p w14:paraId="63A9E83B"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Diciembre 2021 (%)</w:t>
            </w:r>
          </w:p>
        </w:tc>
      </w:tr>
      <w:tr w:rsidR="004B0BB1" w:rsidRPr="004B0BB1" w14:paraId="07023856" w14:textId="77777777" w:rsidTr="004B0BB1">
        <w:trPr>
          <w:tblCellSpacing w:w="15" w:type="dxa"/>
        </w:trPr>
        <w:tc>
          <w:tcPr>
            <w:tcW w:w="0" w:type="auto"/>
            <w:shd w:val="clear" w:color="auto" w:fill="1B1B1B"/>
            <w:tcMar>
              <w:top w:w="120" w:type="dxa"/>
              <w:left w:w="180" w:type="dxa"/>
              <w:bottom w:w="120" w:type="dxa"/>
              <w:right w:w="180" w:type="dxa"/>
            </w:tcMar>
            <w:hideMark/>
          </w:tcPr>
          <w:p w14:paraId="77E16B11"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Pobreza Nacional</w:t>
            </w:r>
          </w:p>
        </w:tc>
        <w:tc>
          <w:tcPr>
            <w:tcW w:w="0" w:type="auto"/>
            <w:shd w:val="clear" w:color="auto" w:fill="1B1B1B"/>
            <w:tcMar>
              <w:top w:w="120" w:type="dxa"/>
              <w:left w:w="180" w:type="dxa"/>
              <w:bottom w:w="120" w:type="dxa"/>
              <w:right w:w="180" w:type="dxa"/>
            </w:tcMar>
            <w:hideMark/>
          </w:tcPr>
          <w:p w14:paraId="1DD55C9F"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25,0</w:t>
            </w:r>
          </w:p>
        </w:tc>
        <w:tc>
          <w:tcPr>
            <w:tcW w:w="0" w:type="auto"/>
            <w:shd w:val="clear" w:color="auto" w:fill="1B1B1B"/>
            <w:tcMar>
              <w:top w:w="120" w:type="dxa"/>
              <w:left w:w="180" w:type="dxa"/>
              <w:bottom w:w="120" w:type="dxa"/>
              <w:right w:w="180" w:type="dxa"/>
            </w:tcMar>
            <w:hideMark/>
          </w:tcPr>
          <w:p w14:paraId="1D4EF38A"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33,0</w:t>
            </w:r>
          </w:p>
        </w:tc>
        <w:tc>
          <w:tcPr>
            <w:tcW w:w="0" w:type="auto"/>
            <w:shd w:val="clear" w:color="auto" w:fill="1B1B1B"/>
            <w:tcMar>
              <w:top w:w="120" w:type="dxa"/>
              <w:left w:w="180" w:type="dxa"/>
              <w:bottom w:w="120" w:type="dxa"/>
              <w:right w:w="180" w:type="dxa"/>
            </w:tcMar>
            <w:hideMark/>
          </w:tcPr>
          <w:p w14:paraId="78E1BC50"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32,2</w:t>
            </w:r>
          </w:p>
        </w:tc>
      </w:tr>
      <w:tr w:rsidR="004B0BB1" w:rsidRPr="004B0BB1" w14:paraId="34D97F79" w14:textId="77777777" w:rsidTr="004B0BB1">
        <w:trPr>
          <w:tblCellSpacing w:w="15" w:type="dxa"/>
        </w:trPr>
        <w:tc>
          <w:tcPr>
            <w:tcW w:w="0" w:type="auto"/>
            <w:shd w:val="clear" w:color="auto" w:fill="1B1B1B"/>
            <w:tcMar>
              <w:top w:w="120" w:type="dxa"/>
              <w:left w:w="180" w:type="dxa"/>
              <w:bottom w:w="120" w:type="dxa"/>
              <w:right w:w="180" w:type="dxa"/>
            </w:tcMar>
            <w:hideMark/>
          </w:tcPr>
          <w:p w14:paraId="7B37E4AD"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Pobreza Urbana</w:t>
            </w:r>
          </w:p>
        </w:tc>
        <w:tc>
          <w:tcPr>
            <w:tcW w:w="0" w:type="auto"/>
            <w:shd w:val="clear" w:color="auto" w:fill="1B1B1B"/>
            <w:tcMar>
              <w:top w:w="120" w:type="dxa"/>
              <w:left w:w="180" w:type="dxa"/>
              <w:bottom w:w="120" w:type="dxa"/>
              <w:right w:w="180" w:type="dxa"/>
            </w:tcMar>
            <w:hideMark/>
          </w:tcPr>
          <w:p w14:paraId="2A4CABD9"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17,2</w:t>
            </w:r>
          </w:p>
        </w:tc>
        <w:tc>
          <w:tcPr>
            <w:tcW w:w="0" w:type="auto"/>
            <w:shd w:val="clear" w:color="auto" w:fill="1B1B1B"/>
            <w:tcMar>
              <w:top w:w="120" w:type="dxa"/>
              <w:left w:w="180" w:type="dxa"/>
              <w:bottom w:w="120" w:type="dxa"/>
              <w:right w:w="180" w:type="dxa"/>
            </w:tcMar>
            <w:hideMark/>
          </w:tcPr>
          <w:p w14:paraId="5A6965FE"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25,4</w:t>
            </w:r>
          </w:p>
        </w:tc>
        <w:tc>
          <w:tcPr>
            <w:tcW w:w="0" w:type="auto"/>
            <w:shd w:val="clear" w:color="auto" w:fill="1B1B1B"/>
            <w:tcMar>
              <w:top w:w="120" w:type="dxa"/>
              <w:left w:w="180" w:type="dxa"/>
              <w:bottom w:w="120" w:type="dxa"/>
              <w:right w:w="180" w:type="dxa"/>
            </w:tcMar>
            <w:hideMark/>
          </w:tcPr>
          <w:p w14:paraId="187AAA07"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24,2</w:t>
            </w:r>
          </w:p>
        </w:tc>
      </w:tr>
      <w:tr w:rsidR="004B0BB1" w:rsidRPr="004B0BB1" w14:paraId="0D061CD1" w14:textId="77777777" w:rsidTr="004B0BB1">
        <w:trPr>
          <w:tblCellSpacing w:w="15" w:type="dxa"/>
        </w:trPr>
        <w:tc>
          <w:tcPr>
            <w:tcW w:w="0" w:type="auto"/>
            <w:shd w:val="clear" w:color="auto" w:fill="1B1B1B"/>
            <w:tcMar>
              <w:top w:w="120" w:type="dxa"/>
              <w:left w:w="180" w:type="dxa"/>
              <w:bottom w:w="120" w:type="dxa"/>
              <w:right w:w="180" w:type="dxa"/>
            </w:tcMar>
            <w:hideMark/>
          </w:tcPr>
          <w:p w14:paraId="16FC0FE3"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Pobreza Rural</w:t>
            </w:r>
          </w:p>
        </w:tc>
        <w:tc>
          <w:tcPr>
            <w:tcW w:w="0" w:type="auto"/>
            <w:shd w:val="clear" w:color="auto" w:fill="1B1B1B"/>
            <w:tcMar>
              <w:top w:w="120" w:type="dxa"/>
              <w:left w:w="180" w:type="dxa"/>
              <w:bottom w:w="120" w:type="dxa"/>
              <w:right w:w="180" w:type="dxa"/>
            </w:tcMar>
            <w:hideMark/>
          </w:tcPr>
          <w:p w14:paraId="5EFA4384"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41,8</w:t>
            </w:r>
          </w:p>
        </w:tc>
        <w:tc>
          <w:tcPr>
            <w:tcW w:w="0" w:type="auto"/>
            <w:shd w:val="clear" w:color="auto" w:fill="1B1B1B"/>
            <w:tcMar>
              <w:top w:w="120" w:type="dxa"/>
              <w:left w:w="180" w:type="dxa"/>
              <w:bottom w:w="120" w:type="dxa"/>
              <w:right w:w="180" w:type="dxa"/>
            </w:tcMar>
            <w:hideMark/>
          </w:tcPr>
          <w:p w14:paraId="41FD06CE"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49,2</w:t>
            </w:r>
          </w:p>
        </w:tc>
        <w:tc>
          <w:tcPr>
            <w:tcW w:w="0" w:type="auto"/>
            <w:shd w:val="clear" w:color="auto" w:fill="1B1B1B"/>
            <w:tcMar>
              <w:top w:w="120" w:type="dxa"/>
              <w:left w:w="180" w:type="dxa"/>
              <w:bottom w:w="120" w:type="dxa"/>
              <w:right w:w="180" w:type="dxa"/>
            </w:tcMar>
            <w:hideMark/>
          </w:tcPr>
          <w:p w14:paraId="22FADD3C"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49,2</w:t>
            </w:r>
          </w:p>
        </w:tc>
      </w:tr>
      <w:tr w:rsidR="004B0BB1" w:rsidRPr="004B0BB1" w14:paraId="116A8BAF" w14:textId="77777777" w:rsidTr="004B0BB1">
        <w:trPr>
          <w:tblCellSpacing w:w="15" w:type="dxa"/>
        </w:trPr>
        <w:tc>
          <w:tcPr>
            <w:tcW w:w="0" w:type="auto"/>
            <w:shd w:val="clear" w:color="auto" w:fill="1B1B1B"/>
            <w:tcMar>
              <w:top w:w="120" w:type="dxa"/>
              <w:left w:w="180" w:type="dxa"/>
              <w:bottom w:w="120" w:type="dxa"/>
              <w:right w:w="180" w:type="dxa"/>
            </w:tcMar>
            <w:hideMark/>
          </w:tcPr>
          <w:p w14:paraId="3E8C457C"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Pobreza Extrema Nacional</w:t>
            </w:r>
          </w:p>
        </w:tc>
        <w:tc>
          <w:tcPr>
            <w:tcW w:w="0" w:type="auto"/>
            <w:shd w:val="clear" w:color="auto" w:fill="1B1B1B"/>
            <w:tcMar>
              <w:top w:w="120" w:type="dxa"/>
              <w:left w:w="180" w:type="dxa"/>
              <w:bottom w:w="120" w:type="dxa"/>
              <w:right w:w="180" w:type="dxa"/>
            </w:tcMar>
            <w:hideMark/>
          </w:tcPr>
          <w:p w14:paraId="26526B6F"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8,9</w:t>
            </w:r>
          </w:p>
        </w:tc>
        <w:tc>
          <w:tcPr>
            <w:tcW w:w="0" w:type="auto"/>
            <w:shd w:val="clear" w:color="auto" w:fill="1B1B1B"/>
            <w:tcMar>
              <w:top w:w="120" w:type="dxa"/>
              <w:left w:w="180" w:type="dxa"/>
              <w:bottom w:w="120" w:type="dxa"/>
              <w:right w:w="180" w:type="dxa"/>
            </w:tcMar>
            <w:hideMark/>
          </w:tcPr>
          <w:p w14:paraId="42F03C71"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15,4</w:t>
            </w:r>
          </w:p>
        </w:tc>
        <w:tc>
          <w:tcPr>
            <w:tcW w:w="0" w:type="auto"/>
            <w:shd w:val="clear" w:color="auto" w:fill="1B1B1B"/>
            <w:tcMar>
              <w:top w:w="120" w:type="dxa"/>
              <w:left w:w="180" w:type="dxa"/>
              <w:bottom w:w="120" w:type="dxa"/>
              <w:right w:w="180" w:type="dxa"/>
            </w:tcMar>
            <w:hideMark/>
          </w:tcPr>
          <w:p w14:paraId="154BA0F5"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14,7</w:t>
            </w:r>
          </w:p>
        </w:tc>
      </w:tr>
      <w:tr w:rsidR="004B0BB1" w:rsidRPr="004B0BB1" w14:paraId="1BAEAB62" w14:textId="77777777" w:rsidTr="004B0BB1">
        <w:trPr>
          <w:tblCellSpacing w:w="15" w:type="dxa"/>
        </w:trPr>
        <w:tc>
          <w:tcPr>
            <w:tcW w:w="0" w:type="auto"/>
            <w:shd w:val="clear" w:color="auto" w:fill="1B1B1B"/>
            <w:tcMar>
              <w:top w:w="120" w:type="dxa"/>
              <w:left w:w="180" w:type="dxa"/>
              <w:bottom w:w="120" w:type="dxa"/>
              <w:right w:w="180" w:type="dxa"/>
            </w:tcMar>
            <w:hideMark/>
          </w:tcPr>
          <w:p w14:paraId="3F7D6049"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Pobreza Extrema Rural</w:t>
            </w:r>
          </w:p>
        </w:tc>
        <w:tc>
          <w:tcPr>
            <w:tcW w:w="0" w:type="auto"/>
            <w:shd w:val="clear" w:color="auto" w:fill="1B1B1B"/>
            <w:tcMar>
              <w:top w:w="120" w:type="dxa"/>
              <w:left w:w="180" w:type="dxa"/>
              <w:bottom w:w="120" w:type="dxa"/>
              <w:right w:w="180" w:type="dxa"/>
            </w:tcMar>
            <w:hideMark/>
          </w:tcPr>
          <w:p w14:paraId="47E3B4B3"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18,7</w:t>
            </w:r>
          </w:p>
        </w:tc>
        <w:tc>
          <w:tcPr>
            <w:tcW w:w="0" w:type="auto"/>
            <w:shd w:val="clear" w:color="auto" w:fill="1B1B1B"/>
            <w:tcMar>
              <w:top w:w="120" w:type="dxa"/>
              <w:left w:w="180" w:type="dxa"/>
              <w:bottom w:w="120" w:type="dxa"/>
              <w:right w:w="180" w:type="dxa"/>
            </w:tcMar>
            <w:hideMark/>
          </w:tcPr>
          <w:p w14:paraId="05980B40"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29,1</w:t>
            </w:r>
          </w:p>
        </w:tc>
        <w:tc>
          <w:tcPr>
            <w:tcW w:w="0" w:type="auto"/>
            <w:shd w:val="clear" w:color="auto" w:fill="1B1B1B"/>
            <w:tcMar>
              <w:top w:w="120" w:type="dxa"/>
              <w:left w:w="180" w:type="dxa"/>
              <w:bottom w:w="120" w:type="dxa"/>
              <w:right w:w="180" w:type="dxa"/>
            </w:tcMar>
            <w:hideMark/>
          </w:tcPr>
          <w:p w14:paraId="34F45005"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28,0</w:t>
            </w:r>
          </w:p>
        </w:tc>
      </w:tr>
    </w:tbl>
    <w:p w14:paraId="16F180BB" w14:textId="77777777" w:rsidR="004B0BB1" w:rsidRPr="004B0BB1" w:rsidRDefault="004B0BB1" w:rsidP="004B0BB1">
      <w:pPr>
        <w:shd w:val="clear" w:color="auto" w:fill="131314"/>
        <w:spacing w:after="240" w:line="240" w:lineRule="auto"/>
        <w:rPr>
          <w:rFonts w:ascii="Arial" w:eastAsia="Times New Roman" w:hAnsi="Arial" w:cs="Arial"/>
          <w:color w:val="E3E3E3"/>
          <w:sz w:val="24"/>
          <w:szCs w:val="24"/>
          <w:lang w:eastAsia="es-EC"/>
        </w:rPr>
      </w:pPr>
      <w:r w:rsidRPr="004B0BB1">
        <w:rPr>
          <w:rFonts w:ascii="Arial" w:eastAsia="Times New Roman" w:hAnsi="Arial" w:cs="Arial"/>
          <w:color w:val="E3E3E3"/>
          <w:sz w:val="24"/>
          <w:szCs w:val="24"/>
          <w:lang w:eastAsia="es-EC"/>
        </w:rPr>
        <w:t>Fuente: Datos recopilados de reportes ENEMDU del INEC.   </w:t>
      </w:r>
    </w:p>
    <w:p w14:paraId="49E44D44" w14:textId="77777777" w:rsidR="004B0BB1" w:rsidRPr="004B0BB1" w:rsidRDefault="004B0BB1" w:rsidP="004B0BB1">
      <w:pPr>
        <w:shd w:val="clear" w:color="auto" w:fill="131314"/>
        <w:spacing w:before="420" w:after="120" w:line="420" w:lineRule="atLeast"/>
        <w:outlineLvl w:val="1"/>
        <w:rPr>
          <w:rFonts w:ascii="Arial" w:eastAsia="Times New Roman" w:hAnsi="Arial" w:cs="Arial"/>
          <w:b/>
          <w:bCs/>
          <w:color w:val="E3E3E3"/>
          <w:sz w:val="30"/>
          <w:szCs w:val="30"/>
          <w:lang w:eastAsia="es-EC"/>
        </w:rPr>
      </w:pPr>
      <w:r w:rsidRPr="004B0BB1">
        <w:rPr>
          <w:rFonts w:ascii="Arial" w:eastAsia="Times New Roman" w:hAnsi="Arial" w:cs="Arial"/>
          <w:b/>
          <w:bCs/>
          <w:color w:val="E3E3E3"/>
          <w:sz w:val="30"/>
          <w:szCs w:val="30"/>
          <w:lang w:eastAsia="es-EC"/>
        </w:rPr>
        <w:t>Crisis de Seguridad y Pobreza: El Vínculo Emergente (2022-2024)</w:t>
      </w:r>
    </w:p>
    <w:p w14:paraId="5675008B" w14:textId="77777777" w:rsidR="004B0BB1" w:rsidRPr="004B0BB1" w:rsidRDefault="004B0BB1" w:rsidP="004B0BB1">
      <w:pPr>
        <w:shd w:val="clear" w:color="auto" w:fill="131314"/>
        <w:spacing w:after="240" w:line="240" w:lineRule="auto"/>
        <w:rPr>
          <w:rFonts w:ascii="Arial" w:eastAsia="Times New Roman" w:hAnsi="Arial" w:cs="Arial"/>
          <w:color w:val="E3E3E3"/>
          <w:sz w:val="24"/>
          <w:szCs w:val="24"/>
          <w:lang w:eastAsia="es-EC"/>
        </w:rPr>
      </w:pPr>
      <w:r w:rsidRPr="004B0BB1">
        <w:rPr>
          <w:rFonts w:ascii="Arial" w:eastAsia="Times New Roman" w:hAnsi="Arial" w:cs="Arial"/>
          <w:color w:val="E3E3E3"/>
          <w:sz w:val="24"/>
          <w:szCs w:val="24"/>
          <w:lang w:eastAsia="es-EC"/>
        </w:rPr>
        <w:t>Tras el fin de la emergencia sanitaria, Ecuador entró en una fase de recuperación económica caracterizada por una profunda inestabilidad social. Aunque la pobreza por ingresos se redujo al 25,2% en diciembre de 2022 debido a la reactivación del comercio y el flujo récord de remesas desde el exterior, surgió un nuevo factor determinante en la evolución de la pobreza: la crisis de seguridad. Ecuador pasó de una tasa de homicidios moderada a convertirse en el país más violento de América Latina en 2023, con más de 8.000 muertes violentas reportadas.   </w:t>
      </w:r>
    </w:p>
    <w:p w14:paraId="61A2C257" w14:textId="77777777" w:rsidR="004B0BB1" w:rsidRPr="004B0BB1" w:rsidRDefault="004B0BB1" w:rsidP="004B0BB1">
      <w:pPr>
        <w:shd w:val="clear" w:color="auto" w:fill="131314"/>
        <w:spacing w:after="240" w:line="240" w:lineRule="auto"/>
        <w:rPr>
          <w:rFonts w:ascii="Arial" w:eastAsia="Times New Roman" w:hAnsi="Arial" w:cs="Arial"/>
          <w:color w:val="E3E3E3"/>
          <w:sz w:val="24"/>
          <w:szCs w:val="24"/>
          <w:lang w:eastAsia="es-EC"/>
        </w:rPr>
      </w:pPr>
      <w:r w:rsidRPr="004B0BB1">
        <w:rPr>
          <w:rFonts w:ascii="Arial" w:eastAsia="Times New Roman" w:hAnsi="Arial" w:cs="Arial"/>
          <w:color w:val="E3E3E3"/>
          <w:sz w:val="24"/>
          <w:szCs w:val="24"/>
          <w:lang w:eastAsia="es-EC"/>
        </w:rPr>
        <w:lastRenderedPageBreak/>
        <w:t>La relación entre inseguridad y pobreza es bidireccional y genera efectos de segundo y tercer orden en la economía de los hogares. Por un lado, la falta de empleo adecuado y las privaciones educativas en los jóvenes actúan como un factor de empuje hacia el reclutamiento por parte de bandas de delincuencia organizada. Por otro lado, la violencia y la extorsión generalizada (conocida como "vacunas") han impuesto un costo operativo insostenible para los pequeños negocios y emprendimientos en los barrios más pobres, forzando cierres de negocios y destruyendo la única fuente de ingresos de miles de familias.   </w:t>
      </w:r>
    </w:p>
    <w:p w14:paraId="3C066862" w14:textId="77777777" w:rsidR="004B0BB1" w:rsidRPr="004B0BB1" w:rsidRDefault="004B0BB1" w:rsidP="004B0BB1">
      <w:pPr>
        <w:shd w:val="clear" w:color="auto" w:fill="131314"/>
        <w:spacing w:after="240" w:line="240" w:lineRule="auto"/>
        <w:rPr>
          <w:rFonts w:ascii="Arial" w:eastAsia="Times New Roman" w:hAnsi="Arial" w:cs="Arial"/>
          <w:color w:val="E3E3E3"/>
          <w:sz w:val="24"/>
          <w:szCs w:val="24"/>
          <w:lang w:eastAsia="es-EC"/>
        </w:rPr>
      </w:pPr>
      <w:r w:rsidRPr="004B0BB1">
        <w:rPr>
          <w:rFonts w:ascii="Arial" w:eastAsia="Times New Roman" w:hAnsi="Arial" w:cs="Arial"/>
          <w:color w:val="E3E3E3"/>
          <w:sz w:val="24"/>
          <w:szCs w:val="24"/>
          <w:lang w:eastAsia="es-EC"/>
        </w:rPr>
        <w:t>En 2024, esta crisis de seguridad se consolidó como un obstáculo para el desarrollo social. La declaratoria de "conflicto armado interno" en enero de 2024 y los estados de excepción recurrentes han tenido un impacto mixto. Si bien han buscado restaurar el orden, las restricciones de movilidad y el clima de miedo han disuadido la inversión privada y el consumo interno, afectando la generación de empleo pleno. En diciembre de 2024, la pobreza por ingresos registró un aumento al 28,0%, reflejando la combinación de la crisis de inseguridad con la crisis energética y los apagones que afectaron la productividad nacional.   </w:t>
      </w:r>
    </w:p>
    <w:p w14:paraId="5CDF5D34" w14:textId="77777777" w:rsidR="004B0BB1" w:rsidRPr="004B0BB1" w:rsidRDefault="004B0BB1" w:rsidP="004B0BB1">
      <w:pPr>
        <w:shd w:val="clear" w:color="auto" w:fill="131314"/>
        <w:spacing w:before="420" w:after="120" w:line="420" w:lineRule="atLeast"/>
        <w:outlineLvl w:val="1"/>
        <w:rPr>
          <w:rFonts w:ascii="Arial" w:eastAsia="Times New Roman" w:hAnsi="Arial" w:cs="Arial"/>
          <w:b/>
          <w:bCs/>
          <w:color w:val="E3E3E3"/>
          <w:sz w:val="30"/>
          <w:szCs w:val="30"/>
          <w:lang w:eastAsia="es-EC"/>
        </w:rPr>
      </w:pPr>
      <w:r w:rsidRPr="004B0BB1">
        <w:rPr>
          <w:rFonts w:ascii="Arial" w:eastAsia="Times New Roman" w:hAnsi="Arial" w:cs="Arial"/>
          <w:b/>
          <w:bCs/>
          <w:color w:val="E3E3E3"/>
          <w:sz w:val="30"/>
          <w:szCs w:val="30"/>
          <w:lang w:eastAsia="es-EC"/>
        </w:rPr>
        <w:t>Disparidades Territoriales y Exclusión Étnica</w:t>
      </w:r>
    </w:p>
    <w:p w14:paraId="0007796C" w14:textId="77777777" w:rsidR="004B0BB1" w:rsidRPr="004B0BB1" w:rsidRDefault="004B0BB1" w:rsidP="004B0BB1">
      <w:pPr>
        <w:shd w:val="clear" w:color="auto" w:fill="131314"/>
        <w:spacing w:after="240" w:line="240" w:lineRule="auto"/>
        <w:rPr>
          <w:rFonts w:ascii="Arial" w:eastAsia="Times New Roman" w:hAnsi="Arial" w:cs="Arial"/>
          <w:color w:val="E3E3E3"/>
          <w:sz w:val="24"/>
          <w:szCs w:val="24"/>
          <w:lang w:eastAsia="es-EC"/>
        </w:rPr>
      </w:pPr>
      <w:r w:rsidRPr="004B0BB1">
        <w:rPr>
          <w:rFonts w:ascii="Arial" w:eastAsia="Times New Roman" w:hAnsi="Arial" w:cs="Arial"/>
          <w:color w:val="E3E3E3"/>
          <w:sz w:val="24"/>
          <w:szCs w:val="24"/>
          <w:lang w:eastAsia="es-EC"/>
        </w:rPr>
        <w:t>Un análisis profundo de la evolución de la pobreza en el Ecuador requiere observar las brechas territoriales persistentes. El área rural ha sido históricamente la más desfavorecida, con tasas de pobreza que triplican a las urbanas en indicadores de privación extrema. Para junio de 2024, mientras la pobreza urbana era del 17,2%, en el área rural esta cifra se elevó al 43,2%. Esta disparidad no es solo monetaria, sino que refleja un déficit estructural en el acceso a agua potable, saneamiento y servicios de salud de calidad.   </w:t>
      </w:r>
    </w:p>
    <w:p w14:paraId="39C9DC6E" w14:textId="77777777" w:rsidR="004B0BB1" w:rsidRPr="004B0BB1" w:rsidRDefault="004B0BB1" w:rsidP="004B0BB1">
      <w:pPr>
        <w:shd w:val="clear" w:color="auto" w:fill="131314"/>
        <w:spacing w:after="240" w:line="240" w:lineRule="auto"/>
        <w:rPr>
          <w:rFonts w:ascii="Arial" w:eastAsia="Times New Roman" w:hAnsi="Arial" w:cs="Arial"/>
          <w:color w:val="E3E3E3"/>
          <w:sz w:val="24"/>
          <w:szCs w:val="24"/>
          <w:lang w:eastAsia="es-EC"/>
        </w:rPr>
      </w:pPr>
      <w:r w:rsidRPr="004B0BB1">
        <w:rPr>
          <w:rFonts w:ascii="Arial" w:eastAsia="Times New Roman" w:hAnsi="Arial" w:cs="Arial"/>
          <w:color w:val="E3E3E3"/>
          <w:sz w:val="24"/>
          <w:szCs w:val="24"/>
          <w:lang w:eastAsia="es-EC"/>
        </w:rPr>
        <w:t>La dimensión étnica agrava estas disparidades. Los resultados del Censo 2022 y estudios derivados revelan que las poblaciones indígenas y montubias mantienen incidencias de pobreza por Necesidades Básicas Insatisfechas (NBI) cercanas al 68,5% y 70%, respectivamente. Estas poblaciones no solo enfrentan menores ingresos, sino que residen en territorios con menor inversión en infraestructura pública y enfrentan barreras lingüísticas y culturales en el acceso a servicios del Estado. En la región amazónica, la paradoja es evidente: a pesar de generar la mayor parte de la riqueza petrolera del país, las provincias de esta región presentan niveles de pobreza muy superiores al promedio nacional.   </w:t>
      </w:r>
    </w:p>
    <w:p w14:paraId="101A4AA5" w14:textId="77777777" w:rsidR="004B0BB1" w:rsidRPr="004B0BB1" w:rsidRDefault="004B0BB1" w:rsidP="004B0BB1">
      <w:pPr>
        <w:shd w:val="clear" w:color="auto" w:fill="131314"/>
        <w:spacing w:before="420" w:after="120" w:line="360" w:lineRule="atLeast"/>
        <w:outlineLvl w:val="2"/>
        <w:rPr>
          <w:rFonts w:ascii="Arial" w:eastAsia="Times New Roman" w:hAnsi="Arial" w:cs="Arial"/>
          <w:b/>
          <w:bCs/>
          <w:color w:val="E3E3E3"/>
          <w:sz w:val="24"/>
          <w:szCs w:val="24"/>
          <w:lang w:eastAsia="es-EC"/>
        </w:rPr>
      </w:pPr>
      <w:r w:rsidRPr="004B0BB1">
        <w:rPr>
          <w:rFonts w:ascii="Arial" w:eastAsia="Times New Roman" w:hAnsi="Arial" w:cs="Arial"/>
          <w:b/>
          <w:bCs/>
          <w:color w:val="E3E3E3"/>
          <w:sz w:val="24"/>
          <w:szCs w:val="24"/>
          <w:lang w:eastAsia="es-EC"/>
        </w:rPr>
        <w:t>Indicador de Necesidades Básicas Insatisfechas (NBI) por Grupos</w:t>
      </w:r>
    </w:p>
    <w:tbl>
      <w:tblPr>
        <w:tblW w:w="969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122"/>
        <w:gridCol w:w="2279"/>
        <w:gridCol w:w="2043"/>
        <w:gridCol w:w="3246"/>
      </w:tblGrid>
      <w:tr w:rsidR="004B0BB1" w:rsidRPr="004B0BB1" w14:paraId="69CF5FFB" w14:textId="77777777" w:rsidTr="004B0BB1">
        <w:trPr>
          <w:tblHeader/>
          <w:tblCellSpacing w:w="15" w:type="dxa"/>
        </w:trPr>
        <w:tc>
          <w:tcPr>
            <w:tcW w:w="0" w:type="auto"/>
            <w:shd w:val="clear" w:color="auto" w:fill="1B1B1B"/>
            <w:tcMar>
              <w:top w:w="120" w:type="dxa"/>
              <w:left w:w="180" w:type="dxa"/>
              <w:bottom w:w="120" w:type="dxa"/>
              <w:right w:w="180" w:type="dxa"/>
            </w:tcMar>
            <w:hideMark/>
          </w:tcPr>
          <w:p w14:paraId="5BAE6585"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Grupo Poblacional</w:t>
            </w:r>
          </w:p>
        </w:tc>
        <w:tc>
          <w:tcPr>
            <w:tcW w:w="0" w:type="auto"/>
            <w:shd w:val="clear" w:color="auto" w:fill="1B1B1B"/>
            <w:tcMar>
              <w:top w:w="120" w:type="dxa"/>
              <w:left w:w="180" w:type="dxa"/>
              <w:bottom w:w="120" w:type="dxa"/>
              <w:right w:w="180" w:type="dxa"/>
            </w:tcMar>
            <w:hideMark/>
          </w:tcPr>
          <w:p w14:paraId="4C798764"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Pobreza por NBI (%)</w:t>
            </w:r>
          </w:p>
        </w:tc>
        <w:tc>
          <w:tcPr>
            <w:tcW w:w="0" w:type="auto"/>
            <w:shd w:val="clear" w:color="auto" w:fill="1B1B1B"/>
            <w:tcMar>
              <w:top w:w="120" w:type="dxa"/>
              <w:left w:w="180" w:type="dxa"/>
              <w:bottom w:w="120" w:type="dxa"/>
              <w:right w:w="180" w:type="dxa"/>
            </w:tcMar>
            <w:hideMark/>
          </w:tcPr>
          <w:p w14:paraId="6D4BECA1"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Hacinamiento (%)</w:t>
            </w:r>
          </w:p>
        </w:tc>
        <w:tc>
          <w:tcPr>
            <w:tcW w:w="0" w:type="auto"/>
            <w:shd w:val="clear" w:color="auto" w:fill="1B1B1B"/>
            <w:tcMar>
              <w:top w:w="120" w:type="dxa"/>
              <w:left w:w="180" w:type="dxa"/>
              <w:bottom w:w="120" w:type="dxa"/>
              <w:right w:w="180" w:type="dxa"/>
            </w:tcMar>
            <w:hideMark/>
          </w:tcPr>
          <w:p w14:paraId="14C1CC82"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Carencia Servicios Básicos (%)</w:t>
            </w:r>
          </w:p>
        </w:tc>
      </w:tr>
      <w:tr w:rsidR="004B0BB1" w:rsidRPr="004B0BB1" w14:paraId="58EA8713" w14:textId="77777777" w:rsidTr="004B0BB1">
        <w:trPr>
          <w:tblCellSpacing w:w="15" w:type="dxa"/>
        </w:trPr>
        <w:tc>
          <w:tcPr>
            <w:tcW w:w="0" w:type="auto"/>
            <w:shd w:val="clear" w:color="auto" w:fill="1B1B1B"/>
            <w:tcMar>
              <w:top w:w="120" w:type="dxa"/>
              <w:left w:w="180" w:type="dxa"/>
              <w:bottom w:w="120" w:type="dxa"/>
              <w:right w:w="180" w:type="dxa"/>
            </w:tcMar>
            <w:hideMark/>
          </w:tcPr>
          <w:p w14:paraId="53A20855"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Nacional</w:t>
            </w:r>
          </w:p>
        </w:tc>
        <w:tc>
          <w:tcPr>
            <w:tcW w:w="0" w:type="auto"/>
            <w:shd w:val="clear" w:color="auto" w:fill="1B1B1B"/>
            <w:tcMar>
              <w:top w:w="120" w:type="dxa"/>
              <w:left w:w="180" w:type="dxa"/>
              <w:bottom w:w="120" w:type="dxa"/>
              <w:right w:w="180" w:type="dxa"/>
            </w:tcMar>
            <w:hideMark/>
          </w:tcPr>
          <w:p w14:paraId="0A269127"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39,8</w:t>
            </w:r>
          </w:p>
        </w:tc>
        <w:tc>
          <w:tcPr>
            <w:tcW w:w="0" w:type="auto"/>
            <w:shd w:val="clear" w:color="auto" w:fill="1B1B1B"/>
            <w:tcMar>
              <w:top w:w="120" w:type="dxa"/>
              <w:left w:w="180" w:type="dxa"/>
              <w:bottom w:w="120" w:type="dxa"/>
              <w:right w:w="180" w:type="dxa"/>
            </w:tcMar>
            <w:hideMark/>
          </w:tcPr>
          <w:p w14:paraId="049B4AB5"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w:t>
            </w:r>
          </w:p>
        </w:tc>
        <w:tc>
          <w:tcPr>
            <w:tcW w:w="0" w:type="auto"/>
            <w:shd w:val="clear" w:color="auto" w:fill="1B1B1B"/>
            <w:tcMar>
              <w:top w:w="120" w:type="dxa"/>
              <w:left w:w="180" w:type="dxa"/>
              <w:bottom w:w="120" w:type="dxa"/>
              <w:right w:w="180" w:type="dxa"/>
            </w:tcMar>
            <w:hideMark/>
          </w:tcPr>
          <w:p w14:paraId="548DA472"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w:t>
            </w:r>
          </w:p>
        </w:tc>
      </w:tr>
      <w:tr w:rsidR="004B0BB1" w:rsidRPr="004B0BB1" w14:paraId="0A6B6848" w14:textId="77777777" w:rsidTr="004B0BB1">
        <w:trPr>
          <w:tblCellSpacing w:w="15" w:type="dxa"/>
        </w:trPr>
        <w:tc>
          <w:tcPr>
            <w:tcW w:w="0" w:type="auto"/>
            <w:shd w:val="clear" w:color="auto" w:fill="1B1B1B"/>
            <w:tcMar>
              <w:top w:w="120" w:type="dxa"/>
              <w:left w:w="180" w:type="dxa"/>
              <w:bottom w:w="120" w:type="dxa"/>
              <w:right w:w="180" w:type="dxa"/>
            </w:tcMar>
            <w:hideMark/>
          </w:tcPr>
          <w:p w14:paraId="384CBFB1"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lastRenderedPageBreak/>
              <w:t>Urbano</w:t>
            </w:r>
          </w:p>
        </w:tc>
        <w:tc>
          <w:tcPr>
            <w:tcW w:w="0" w:type="auto"/>
            <w:shd w:val="clear" w:color="auto" w:fill="1B1B1B"/>
            <w:tcMar>
              <w:top w:w="120" w:type="dxa"/>
              <w:left w:w="180" w:type="dxa"/>
              <w:bottom w:w="120" w:type="dxa"/>
              <w:right w:w="180" w:type="dxa"/>
            </w:tcMar>
            <w:hideMark/>
          </w:tcPr>
          <w:p w14:paraId="7362B054"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27,0</w:t>
            </w:r>
          </w:p>
        </w:tc>
        <w:tc>
          <w:tcPr>
            <w:tcW w:w="0" w:type="auto"/>
            <w:shd w:val="clear" w:color="auto" w:fill="1B1B1B"/>
            <w:tcMar>
              <w:top w:w="120" w:type="dxa"/>
              <w:left w:w="180" w:type="dxa"/>
              <w:bottom w:w="120" w:type="dxa"/>
              <w:right w:w="180" w:type="dxa"/>
            </w:tcMar>
            <w:hideMark/>
          </w:tcPr>
          <w:p w14:paraId="2C138E36"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w:t>
            </w:r>
          </w:p>
        </w:tc>
        <w:tc>
          <w:tcPr>
            <w:tcW w:w="0" w:type="auto"/>
            <w:shd w:val="clear" w:color="auto" w:fill="1B1B1B"/>
            <w:tcMar>
              <w:top w:w="120" w:type="dxa"/>
              <w:left w:w="180" w:type="dxa"/>
              <w:bottom w:w="120" w:type="dxa"/>
              <w:right w:w="180" w:type="dxa"/>
            </w:tcMar>
            <w:hideMark/>
          </w:tcPr>
          <w:p w14:paraId="054385A9"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w:t>
            </w:r>
          </w:p>
        </w:tc>
      </w:tr>
      <w:tr w:rsidR="004B0BB1" w:rsidRPr="004B0BB1" w14:paraId="1F514EF7" w14:textId="77777777" w:rsidTr="004B0BB1">
        <w:trPr>
          <w:tblCellSpacing w:w="15" w:type="dxa"/>
        </w:trPr>
        <w:tc>
          <w:tcPr>
            <w:tcW w:w="0" w:type="auto"/>
            <w:shd w:val="clear" w:color="auto" w:fill="1B1B1B"/>
            <w:tcMar>
              <w:top w:w="120" w:type="dxa"/>
              <w:left w:w="180" w:type="dxa"/>
              <w:bottom w:w="120" w:type="dxa"/>
              <w:right w:w="180" w:type="dxa"/>
            </w:tcMar>
            <w:hideMark/>
          </w:tcPr>
          <w:p w14:paraId="558C5B5C"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Rural</w:t>
            </w:r>
          </w:p>
        </w:tc>
        <w:tc>
          <w:tcPr>
            <w:tcW w:w="0" w:type="auto"/>
            <w:shd w:val="clear" w:color="auto" w:fill="1B1B1B"/>
            <w:tcMar>
              <w:top w:w="120" w:type="dxa"/>
              <w:left w:w="180" w:type="dxa"/>
              <w:bottom w:w="120" w:type="dxa"/>
              <w:right w:w="180" w:type="dxa"/>
            </w:tcMar>
            <w:hideMark/>
          </w:tcPr>
          <w:p w14:paraId="0499C406"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70,7</w:t>
            </w:r>
          </w:p>
        </w:tc>
        <w:tc>
          <w:tcPr>
            <w:tcW w:w="0" w:type="auto"/>
            <w:shd w:val="clear" w:color="auto" w:fill="1B1B1B"/>
            <w:tcMar>
              <w:top w:w="120" w:type="dxa"/>
              <w:left w:w="180" w:type="dxa"/>
              <w:bottom w:w="120" w:type="dxa"/>
              <w:right w:w="180" w:type="dxa"/>
            </w:tcMar>
            <w:hideMark/>
          </w:tcPr>
          <w:p w14:paraId="1A01C75D"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w:t>
            </w:r>
          </w:p>
        </w:tc>
        <w:tc>
          <w:tcPr>
            <w:tcW w:w="0" w:type="auto"/>
            <w:shd w:val="clear" w:color="auto" w:fill="1B1B1B"/>
            <w:tcMar>
              <w:top w:w="120" w:type="dxa"/>
              <w:left w:w="180" w:type="dxa"/>
              <w:bottom w:w="120" w:type="dxa"/>
              <w:right w:w="180" w:type="dxa"/>
            </w:tcMar>
            <w:hideMark/>
          </w:tcPr>
          <w:p w14:paraId="514A0291"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w:t>
            </w:r>
          </w:p>
        </w:tc>
      </w:tr>
      <w:tr w:rsidR="004B0BB1" w:rsidRPr="004B0BB1" w14:paraId="256826B9" w14:textId="77777777" w:rsidTr="004B0BB1">
        <w:trPr>
          <w:tblCellSpacing w:w="15" w:type="dxa"/>
        </w:trPr>
        <w:tc>
          <w:tcPr>
            <w:tcW w:w="0" w:type="auto"/>
            <w:shd w:val="clear" w:color="auto" w:fill="1B1B1B"/>
            <w:tcMar>
              <w:top w:w="120" w:type="dxa"/>
              <w:left w:w="180" w:type="dxa"/>
              <w:bottom w:w="120" w:type="dxa"/>
              <w:right w:w="180" w:type="dxa"/>
            </w:tcMar>
            <w:hideMark/>
          </w:tcPr>
          <w:p w14:paraId="0D4F2EDA"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Indígena</w:t>
            </w:r>
          </w:p>
        </w:tc>
        <w:tc>
          <w:tcPr>
            <w:tcW w:w="0" w:type="auto"/>
            <w:shd w:val="clear" w:color="auto" w:fill="1B1B1B"/>
            <w:tcMar>
              <w:top w:w="120" w:type="dxa"/>
              <w:left w:w="180" w:type="dxa"/>
              <w:bottom w:w="120" w:type="dxa"/>
              <w:right w:w="180" w:type="dxa"/>
            </w:tcMar>
            <w:hideMark/>
          </w:tcPr>
          <w:p w14:paraId="31C521DC"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68,5</w:t>
            </w:r>
          </w:p>
        </w:tc>
        <w:tc>
          <w:tcPr>
            <w:tcW w:w="0" w:type="auto"/>
            <w:shd w:val="clear" w:color="auto" w:fill="1B1B1B"/>
            <w:tcMar>
              <w:top w:w="120" w:type="dxa"/>
              <w:left w:w="180" w:type="dxa"/>
              <w:bottom w:w="120" w:type="dxa"/>
              <w:right w:w="180" w:type="dxa"/>
            </w:tcMar>
            <w:hideMark/>
          </w:tcPr>
          <w:p w14:paraId="72B0C564"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w:t>
            </w:r>
          </w:p>
        </w:tc>
        <w:tc>
          <w:tcPr>
            <w:tcW w:w="0" w:type="auto"/>
            <w:shd w:val="clear" w:color="auto" w:fill="1B1B1B"/>
            <w:tcMar>
              <w:top w:w="120" w:type="dxa"/>
              <w:left w:w="180" w:type="dxa"/>
              <w:bottom w:w="120" w:type="dxa"/>
              <w:right w:w="180" w:type="dxa"/>
            </w:tcMar>
            <w:hideMark/>
          </w:tcPr>
          <w:p w14:paraId="029190AE"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w:t>
            </w:r>
          </w:p>
        </w:tc>
      </w:tr>
      <w:tr w:rsidR="004B0BB1" w:rsidRPr="004B0BB1" w14:paraId="0502522C" w14:textId="77777777" w:rsidTr="004B0BB1">
        <w:trPr>
          <w:tblCellSpacing w:w="15" w:type="dxa"/>
        </w:trPr>
        <w:tc>
          <w:tcPr>
            <w:tcW w:w="0" w:type="auto"/>
            <w:shd w:val="clear" w:color="auto" w:fill="1B1B1B"/>
            <w:tcMar>
              <w:top w:w="120" w:type="dxa"/>
              <w:left w:w="180" w:type="dxa"/>
              <w:bottom w:w="120" w:type="dxa"/>
              <w:right w:w="180" w:type="dxa"/>
            </w:tcMar>
            <w:hideMark/>
          </w:tcPr>
          <w:p w14:paraId="27A253F0"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Montubio</w:t>
            </w:r>
          </w:p>
        </w:tc>
        <w:tc>
          <w:tcPr>
            <w:tcW w:w="0" w:type="auto"/>
            <w:shd w:val="clear" w:color="auto" w:fill="1B1B1B"/>
            <w:tcMar>
              <w:top w:w="120" w:type="dxa"/>
              <w:left w:w="180" w:type="dxa"/>
              <w:bottom w:w="120" w:type="dxa"/>
              <w:right w:w="180" w:type="dxa"/>
            </w:tcMar>
            <w:hideMark/>
          </w:tcPr>
          <w:p w14:paraId="197AE8AB"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70,0</w:t>
            </w:r>
          </w:p>
        </w:tc>
        <w:tc>
          <w:tcPr>
            <w:tcW w:w="0" w:type="auto"/>
            <w:shd w:val="clear" w:color="auto" w:fill="1B1B1B"/>
            <w:tcMar>
              <w:top w:w="120" w:type="dxa"/>
              <w:left w:w="180" w:type="dxa"/>
              <w:bottom w:w="120" w:type="dxa"/>
              <w:right w:w="180" w:type="dxa"/>
            </w:tcMar>
            <w:hideMark/>
          </w:tcPr>
          <w:p w14:paraId="1B3CB0BB"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w:t>
            </w:r>
          </w:p>
        </w:tc>
        <w:tc>
          <w:tcPr>
            <w:tcW w:w="0" w:type="auto"/>
            <w:shd w:val="clear" w:color="auto" w:fill="1B1B1B"/>
            <w:tcMar>
              <w:top w:w="120" w:type="dxa"/>
              <w:left w:w="180" w:type="dxa"/>
              <w:bottom w:w="120" w:type="dxa"/>
              <w:right w:w="180" w:type="dxa"/>
            </w:tcMar>
            <w:hideMark/>
          </w:tcPr>
          <w:p w14:paraId="0254A9CA"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w:t>
            </w:r>
          </w:p>
        </w:tc>
      </w:tr>
      <w:tr w:rsidR="004B0BB1" w:rsidRPr="004B0BB1" w14:paraId="4171E0F0" w14:textId="77777777" w:rsidTr="004B0BB1">
        <w:trPr>
          <w:tblCellSpacing w:w="15" w:type="dxa"/>
        </w:trPr>
        <w:tc>
          <w:tcPr>
            <w:tcW w:w="0" w:type="auto"/>
            <w:shd w:val="clear" w:color="auto" w:fill="1B1B1B"/>
            <w:tcMar>
              <w:top w:w="120" w:type="dxa"/>
              <w:left w:w="180" w:type="dxa"/>
              <w:bottom w:w="120" w:type="dxa"/>
              <w:right w:w="180" w:type="dxa"/>
            </w:tcMar>
            <w:hideMark/>
          </w:tcPr>
          <w:p w14:paraId="451726C5"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Afroecuatoriano</w:t>
            </w:r>
          </w:p>
        </w:tc>
        <w:tc>
          <w:tcPr>
            <w:tcW w:w="0" w:type="auto"/>
            <w:shd w:val="clear" w:color="auto" w:fill="1B1B1B"/>
            <w:tcMar>
              <w:top w:w="120" w:type="dxa"/>
              <w:left w:w="180" w:type="dxa"/>
              <w:bottom w:w="120" w:type="dxa"/>
              <w:right w:w="180" w:type="dxa"/>
            </w:tcMar>
            <w:hideMark/>
          </w:tcPr>
          <w:p w14:paraId="24373AA9"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48,5</w:t>
            </w:r>
          </w:p>
        </w:tc>
        <w:tc>
          <w:tcPr>
            <w:tcW w:w="0" w:type="auto"/>
            <w:shd w:val="clear" w:color="auto" w:fill="1B1B1B"/>
            <w:tcMar>
              <w:top w:w="120" w:type="dxa"/>
              <w:left w:w="180" w:type="dxa"/>
              <w:bottom w:w="120" w:type="dxa"/>
              <w:right w:w="180" w:type="dxa"/>
            </w:tcMar>
            <w:hideMark/>
          </w:tcPr>
          <w:p w14:paraId="75D22D8C"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w:t>
            </w:r>
          </w:p>
        </w:tc>
        <w:tc>
          <w:tcPr>
            <w:tcW w:w="0" w:type="auto"/>
            <w:shd w:val="clear" w:color="auto" w:fill="1B1B1B"/>
            <w:tcMar>
              <w:top w:w="120" w:type="dxa"/>
              <w:left w:w="180" w:type="dxa"/>
              <w:bottom w:w="120" w:type="dxa"/>
              <w:right w:w="180" w:type="dxa"/>
            </w:tcMar>
            <w:hideMark/>
          </w:tcPr>
          <w:p w14:paraId="1B2A50FE"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w:t>
            </w:r>
          </w:p>
        </w:tc>
      </w:tr>
    </w:tbl>
    <w:p w14:paraId="48CF27A9" w14:textId="77777777" w:rsidR="004B0BB1" w:rsidRPr="004B0BB1" w:rsidRDefault="004B0BB1" w:rsidP="004B0BB1">
      <w:pPr>
        <w:shd w:val="clear" w:color="auto" w:fill="131314"/>
        <w:spacing w:after="240" w:line="240" w:lineRule="auto"/>
        <w:rPr>
          <w:rFonts w:ascii="Arial" w:eastAsia="Times New Roman" w:hAnsi="Arial" w:cs="Arial"/>
          <w:color w:val="E3E3E3"/>
          <w:sz w:val="24"/>
          <w:szCs w:val="24"/>
          <w:lang w:eastAsia="es-EC"/>
        </w:rPr>
      </w:pPr>
      <w:r w:rsidRPr="004B0BB1">
        <w:rPr>
          <w:rFonts w:ascii="Arial" w:eastAsia="Times New Roman" w:hAnsi="Arial" w:cs="Arial"/>
          <w:color w:val="E3E3E3"/>
          <w:sz w:val="24"/>
          <w:szCs w:val="24"/>
          <w:lang w:eastAsia="es-EC"/>
        </w:rPr>
        <w:t>Fuente: Análisis de variación intercensal 2010-2022.   </w:t>
      </w:r>
    </w:p>
    <w:p w14:paraId="4E315B61" w14:textId="77777777" w:rsidR="004B0BB1" w:rsidRPr="004B0BB1" w:rsidRDefault="004B0BB1" w:rsidP="004B0BB1">
      <w:pPr>
        <w:shd w:val="clear" w:color="auto" w:fill="131314"/>
        <w:spacing w:before="420" w:after="120" w:line="420" w:lineRule="atLeast"/>
        <w:outlineLvl w:val="1"/>
        <w:rPr>
          <w:rFonts w:ascii="Arial" w:eastAsia="Times New Roman" w:hAnsi="Arial" w:cs="Arial"/>
          <w:b/>
          <w:bCs/>
          <w:color w:val="E3E3E3"/>
          <w:sz w:val="30"/>
          <w:szCs w:val="30"/>
          <w:lang w:eastAsia="es-EC"/>
        </w:rPr>
      </w:pPr>
      <w:r w:rsidRPr="004B0BB1">
        <w:rPr>
          <w:rFonts w:ascii="Arial" w:eastAsia="Times New Roman" w:hAnsi="Arial" w:cs="Arial"/>
          <w:b/>
          <w:bCs/>
          <w:color w:val="E3E3E3"/>
          <w:sz w:val="30"/>
          <w:szCs w:val="30"/>
          <w:lang w:eastAsia="es-EC"/>
        </w:rPr>
        <w:t>Mercado Laboral: El Motor de la Pobreza</w:t>
      </w:r>
    </w:p>
    <w:p w14:paraId="568B8209" w14:textId="77777777" w:rsidR="004B0BB1" w:rsidRPr="004B0BB1" w:rsidRDefault="004B0BB1" w:rsidP="004B0BB1">
      <w:pPr>
        <w:shd w:val="clear" w:color="auto" w:fill="131314"/>
        <w:spacing w:after="240" w:line="240" w:lineRule="auto"/>
        <w:rPr>
          <w:rFonts w:ascii="Arial" w:eastAsia="Times New Roman" w:hAnsi="Arial" w:cs="Arial"/>
          <w:color w:val="E3E3E3"/>
          <w:sz w:val="24"/>
          <w:szCs w:val="24"/>
          <w:lang w:eastAsia="es-EC"/>
        </w:rPr>
      </w:pPr>
      <w:r w:rsidRPr="004B0BB1">
        <w:rPr>
          <w:rFonts w:ascii="Arial" w:eastAsia="Times New Roman" w:hAnsi="Arial" w:cs="Arial"/>
          <w:color w:val="E3E3E3"/>
          <w:sz w:val="24"/>
          <w:szCs w:val="24"/>
          <w:lang w:eastAsia="es-EC"/>
        </w:rPr>
        <w:t>El mercado de trabajo ecuatoriano es el principal determinante de los niveles de pobreza por ingresos. El país presenta una estructura laboral segmentada donde solo uno de cada tres trabajadores cuenta con un empleo pleno (con salario igual o superior al básico y afiliación a la seguridad social). La mayoría de la fuerza laboral se encuentra en el subempleo o en el empleo informal, categorías que están intrínsecamente ligadas a la pobreza.   </w:t>
      </w:r>
    </w:p>
    <w:p w14:paraId="41087F64" w14:textId="77777777" w:rsidR="004B0BB1" w:rsidRPr="004B0BB1" w:rsidRDefault="004B0BB1" w:rsidP="004B0BB1">
      <w:pPr>
        <w:shd w:val="clear" w:color="auto" w:fill="131314"/>
        <w:spacing w:after="240" w:line="240" w:lineRule="auto"/>
        <w:rPr>
          <w:rFonts w:ascii="Arial" w:eastAsia="Times New Roman" w:hAnsi="Arial" w:cs="Arial"/>
          <w:color w:val="E3E3E3"/>
          <w:sz w:val="24"/>
          <w:szCs w:val="24"/>
          <w:lang w:eastAsia="es-EC"/>
        </w:rPr>
      </w:pPr>
      <w:r w:rsidRPr="004B0BB1">
        <w:rPr>
          <w:rFonts w:ascii="Arial" w:eastAsia="Times New Roman" w:hAnsi="Arial" w:cs="Arial"/>
          <w:color w:val="E3E3E3"/>
          <w:sz w:val="24"/>
          <w:szCs w:val="24"/>
          <w:lang w:eastAsia="es-EC"/>
        </w:rPr>
        <w:t xml:space="preserve">Durante el periodo 2010-2024, el subempleo ha funcionado como una válvula de escape ante la falta de dinamismo del sector formal. En tiempos de crisis, como la pandemia, el subempleo y la informalidad aumentaron drásticamente, permitiendo a las familias obtener ingresos de </w:t>
      </w:r>
      <w:proofErr w:type="gramStart"/>
      <w:r w:rsidRPr="004B0BB1">
        <w:rPr>
          <w:rFonts w:ascii="Arial" w:eastAsia="Times New Roman" w:hAnsi="Arial" w:cs="Arial"/>
          <w:color w:val="E3E3E3"/>
          <w:sz w:val="24"/>
          <w:szCs w:val="24"/>
          <w:lang w:eastAsia="es-EC"/>
        </w:rPr>
        <w:t>subsistencia</w:t>
      </w:r>
      <w:proofErr w:type="gramEnd"/>
      <w:r w:rsidRPr="004B0BB1">
        <w:rPr>
          <w:rFonts w:ascii="Arial" w:eastAsia="Times New Roman" w:hAnsi="Arial" w:cs="Arial"/>
          <w:color w:val="E3E3E3"/>
          <w:sz w:val="24"/>
          <w:szCs w:val="24"/>
          <w:lang w:eastAsia="es-EC"/>
        </w:rPr>
        <w:t xml:space="preserve"> pero manteniéndolas por debajo de la línea de pobreza. Un fenómeno preocupante en los últimos años es la proliferación de trabajos precarios de baja calificación que no permiten superar la barrera del bienestar mínimo.   </w:t>
      </w:r>
    </w:p>
    <w:p w14:paraId="7E0BFD49" w14:textId="77777777" w:rsidR="004B0BB1" w:rsidRPr="004B0BB1" w:rsidRDefault="004B0BB1" w:rsidP="004B0BB1">
      <w:pPr>
        <w:shd w:val="clear" w:color="auto" w:fill="131314"/>
        <w:spacing w:after="240" w:line="240" w:lineRule="auto"/>
        <w:rPr>
          <w:rFonts w:ascii="Arial" w:eastAsia="Times New Roman" w:hAnsi="Arial" w:cs="Arial"/>
          <w:color w:val="E3E3E3"/>
          <w:sz w:val="24"/>
          <w:szCs w:val="24"/>
          <w:lang w:eastAsia="es-EC"/>
        </w:rPr>
      </w:pPr>
      <w:r w:rsidRPr="004B0BB1">
        <w:rPr>
          <w:rFonts w:ascii="Arial" w:eastAsia="Times New Roman" w:hAnsi="Arial" w:cs="Arial"/>
          <w:color w:val="E3E3E3"/>
          <w:sz w:val="24"/>
          <w:szCs w:val="24"/>
          <w:lang w:eastAsia="es-EC"/>
        </w:rPr>
        <w:t>Hacia finales de 2025, el gobierno reportó una mejora significativa en las cifras de empleo, con una tasa de desempleo bajando al 2,6% y el subempleo situándose en el 17,4%. Estas cifras, si se consolidan, explicarían la reducción de la pobreza reportada en diciembre de 2025 al 21,4%. Sin embargo, analistas advierten que la alta incidencia del empleo informal (cercana al 50-55%) sigue siendo el mayor desafío estructural para garantizar que la salida de la pobreza sea permanente y no solo coyuntural.   </w:t>
      </w:r>
    </w:p>
    <w:p w14:paraId="2D00D12E" w14:textId="77777777" w:rsidR="004B0BB1" w:rsidRPr="004B0BB1" w:rsidRDefault="004B0BB1" w:rsidP="004B0BB1">
      <w:pPr>
        <w:shd w:val="clear" w:color="auto" w:fill="131314"/>
        <w:spacing w:before="420" w:after="120" w:line="420" w:lineRule="atLeast"/>
        <w:outlineLvl w:val="1"/>
        <w:rPr>
          <w:rFonts w:ascii="Arial" w:eastAsia="Times New Roman" w:hAnsi="Arial" w:cs="Arial"/>
          <w:b/>
          <w:bCs/>
          <w:color w:val="E3E3E3"/>
          <w:sz w:val="30"/>
          <w:szCs w:val="30"/>
          <w:lang w:eastAsia="es-EC"/>
        </w:rPr>
      </w:pPr>
      <w:r w:rsidRPr="004B0BB1">
        <w:rPr>
          <w:rFonts w:ascii="Arial" w:eastAsia="Times New Roman" w:hAnsi="Arial" w:cs="Arial"/>
          <w:b/>
          <w:bCs/>
          <w:color w:val="E3E3E3"/>
          <w:sz w:val="30"/>
          <w:szCs w:val="30"/>
          <w:lang w:eastAsia="es-EC"/>
        </w:rPr>
        <w:t>Evolución de la Pobreza Multidimensional (IPM) 2010-2024</w:t>
      </w:r>
    </w:p>
    <w:p w14:paraId="1365AEB3" w14:textId="77777777" w:rsidR="004B0BB1" w:rsidRPr="004B0BB1" w:rsidRDefault="004B0BB1" w:rsidP="004B0BB1">
      <w:pPr>
        <w:shd w:val="clear" w:color="auto" w:fill="131314"/>
        <w:spacing w:after="240" w:line="240" w:lineRule="auto"/>
        <w:rPr>
          <w:rFonts w:ascii="Arial" w:eastAsia="Times New Roman" w:hAnsi="Arial" w:cs="Arial"/>
          <w:color w:val="E3E3E3"/>
          <w:sz w:val="24"/>
          <w:szCs w:val="24"/>
          <w:lang w:eastAsia="es-EC"/>
        </w:rPr>
      </w:pPr>
      <w:r w:rsidRPr="004B0BB1">
        <w:rPr>
          <w:rFonts w:ascii="Arial" w:eastAsia="Times New Roman" w:hAnsi="Arial" w:cs="Arial"/>
          <w:color w:val="E3E3E3"/>
          <w:sz w:val="24"/>
          <w:szCs w:val="24"/>
          <w:lang w:eastAsia="es-EC"/>
        </w:rPr>
        <w:t>El análisis del IPM permite observar cómo ha cambiado el acceso a derechos en Ecuador más allá del dinero. Entre 2009 y 2015, el país logró una reducción constante del IPM nacional, pasando de 27,2 a 17,0 puntos. Esta mejora fue consistente y reflejó avances en la calidad de la vivienda y la asistencia escolar. No obstante, a partir de 2016, con el estancamiento económico, la tendencia a la baja se desaceleró y, tras la pandemia, mostró un retroceso importante.   </w:t>
      </w:r>
    </w:p>
    <w:p w14:paraId="3EEBCC77" w14:textId="77777777" w:rsidR="004B0BB1" w:rsidRPr="004B0BB1" w:rsidRDefault="004B0BB1" w:rsidP="004B0BB1">
      <w:pPr>
        <w:shd w:val="clear" w:color="auto" w:fill="131314"/>
        <w:spacing w:after="240" w:line="240" w:lineRule="auto"/>
        <w:rPr>
          <w:rFonts w:ascii="Arial" w:eastAsia="Times New Roman" w:hAnsi="Arial" w:cs="Arial"/>
          <w:color w:val="E3E3E3"/>
          <w:sz w:val="24"/>
          <w:szCs w:val="24"/>
          <w:lang w:eastAsia="es-EC"/>
        </w:rPr>
      </w:pPr>
      <w:r w:rsidRPr="004B0BB1">
        <w:rPr>
          <w:rFonts w:ascii="Arial" w:eastAsia="Times New Roman" w:hAnsi="Arial" w:cs="Arial"/>
          <w:color w:val="E3E3E3"/>
          <w:sz w:val="24"/>
          <w:szCs w:val="24"/>
          <w:lang w:eastAsia="es-EC"/>
        </w:rPr>
        <w:lastRenderedPageBreak/>
        <w:t>En diciembre de 2024, la tasa de pobreza multidimensional nacional se ubicó en 40,8%, reflejando un aumento respecto al 37,3% de 2023. Este incremento es particularmente visible en las áreas urbanas, donde el deterioro de la seguridad ciudadana y la falta de empleo adecuado han empujado a más hogares a situaciones de privación múltiple. Las dimensiones que más contribuyen a la pobreza multidimensional en el Ecuador actual son el empleo inadecuado, la falta de contribución al sistema de pensiones y el déficit habitacional.   </w:t>
      </w:r>
    </w:p>
    <w:p w14:paraId="770FB6FC" w14:textId="77777777" w:rsidR="004B0BB1" w:rsidRPr="004B0BB1" w:rsidRDefault="004B0BB1" w:rsidP="004B0BB1">
      <w:pPr>
        <w:shd w:val="clear" w:color="auto" w:fill="131314"/>
        <w:spacing w:before="420" w:after="120" w:line="360" w:lineRule="atLeast"/>
        <w:outlineLvl w:val="2"/>
        <w:rPr>
          <w:rFonts w:ascii="Arial" w:eastAsia="Times New Roman" w:hAnsi="Arial" w:cs="Arial"/>
          <w:b/>
          <w:bCs/>
          <w:color w:val="E3E3E3"/>
          <w:sz w:val="24"/>
          <w:szCs w:val="24"/>
          <w:lang w:eastAsia="es-EC"/>
        </w:rPr>
      </w:pPr>
      <w:r w:rsidRPr="004B0BB1">
        <w:rPr>
          <w:rFonts w:ascii="Arial" w:eastAsia="Times New Roman" w:hAnsi="Arial" w:cs="Arial"/>
          <w:b/>
          <w:bCs/>
          <w:color w:val="E3E3E3"/>
          <w:sz w:val="24"/>
          <w:szCs w:val="24"/>
          <w:lang w:eastAsia="es-EC"/>
        </w:rPr>
        <w:t>Componentes de la Pobreza Multidimensional (Ecuador)</w:t>
      </w:r>
    </w:p>
    <w:tbl>
      <w:tblPr>
        <w:tblW w:w="969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605"/>
        <w:gridCol w:w="5500"/>
        <w:gridCol w:w="1585"/>
      </w:tblGrid>
      <w:tr w:rsidR="004B0BB1" w:rsidRPr="004B0BB1" w14:paraId="3658B349" w14:textId="77777777" w:rsidTr="004B0BB1">
        <w:trPr>
          <w:tblHeader/>
          <w:tblCellSpacing w:w="15" w:type="dxa"/>
        </w:trPr>
        <w:tc>
          <w:tcPr>
            <w:tcW w:w="0" w:type="auto"/>
            <w:shd w:val="clear" w:color="auto" w:fill="1B1B1B"/>
            <w:tcMar>
              <w:top w:w="120" w:type="dxa"/>
              <w:left w:w="180" w:type="dxa"/>
              <w:bottom w:w="120" w:type="dxa"/>
              <w:right w:w="180" w:type="dxa"/>
            </w:tcMar>
            <w:hideMark/>
          </w:tcPr>
          <w:p w14:paraId="30EBE5DF"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Dimensión</w:t>
            </w:r>
          </w:p>
        </w:tc>
        <w:tc>
          <w:tcPr>
            <w:tcW w:w="0" w:type="auto"/>
            <w:shd w:val="clear" w:color="auto" w:fill="1B1B1B"/>
            <w:tcMar>
              <w:top w:w="120" w:type="dxa"/>
              <w:left w:w="180" w:type="dxa"/>
              <w:bottom w:w="120" w:type="dxa"/>
              <w:right w:w="180" w:type="dxa"/>
            </w:tcMar>
            <w:hideMark/>
          </w:tcPr>
          <w:p w14:paraId="64DE6D75"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Indicadores Clave</w:t>
            </w:r>
          </w:p>
        </w:tc>
        <w:tc>
          <w:tcPr>
            <w:tcW w:w="0" w:type="auto"/>
            <w:shd w:val="clear" w:color="auto" w:fill="1B1B1B"/>
            <w:tcMar>
              <w:top w:w="120" w:type="dxa"/>
              <w:left w:w="180" w:type="dxa"/>
              <w:bottom w:w="120" w:type="dxa"/>
              <w:right w:w="180" w:type="dxa"/>
            </w:tcMar>
            <w:hideMark/>
          </w:tcPr>
          <w:p w14:paraId="441A0C5A"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Ponderación</w:t>
            </w:r>
          </w:p>
        </w:tc>
      </w:tr>
      <w:tr w:rsidR="004B0BB1" w:rsidRPr="004B0BB1" w14:paraId="5E7B993C" w14:textId="77777777" w:rsidTr="004B0BB1">
        <w:trPr>
          <w:tblCellSpacing w:w="15" w:type="dxa"/>
        </w:trPr>
        <w:tc>
          <w:tcPr>
            <w:tcW w:w="0" w:type="auto"/>
            <w:shd w:val="clear" w:color="auto" w:fill="1B1B1B"/>
            <w:tcMar>
              <w:top w:w="120" w:type="dxa"/>
              <w:left w:w="180" w:type="dxa"/>
              <w:bottom w:w="120" w:type="dxa"/>
              <w:right w:w="180" w:type="dxa"/>
            </w:tcMar>
            <w:hideMark/>
          </w:tcPr>
          <w:p w14:paraId="03E2C227"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Educación</w:t>
            </w:r>
          </w:p>
        </w:tc>
        <w:tc>
          <w:tcPr>
            <w:tcW w:w="0" w:type="auto"/>
            <w:shd w:val="clear" w:color="auto" w:fill="1B1B1B"/>
            <w:tcMar>
              <w:top w:w="120" w:type="dxa"/>
              <w:left w:w="180" w:type="dxa"/>
              <w:bottom w:w="120" w:type="dxa"/>
              <w:right w:w="180" w:type="dxa"/>
            </w:tcMar>
            <w:hideMark/>
          </w:tcPr>
          <w:p w14:paraId="2D3F0259"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Asistencia escolar, Rezago escolar, Logro educativo incompleto</w:t>
            </w:r>
          </w:p>
        </w:tc>
        <w:tc>
          <w:tcPr>
            <w:tcW w:w="0" w:type="auto"/>
            <w:shd w:val="clear" w:color="auto" w:fill="1B1B1B"/>
            <w:tcMar>
              <w:top w:w="120" w:type="dxa"/>
              <w:left w:w="180" w:type="dxa"/>
              <w:bottom w:w="120" w:type="dxa"/>
              <w:right w:w="180" w:type="dxa"/>
            </w:tcMar>
            <w:hideMark/>
          </w:tcPr>
          <w:p w14:paraId="6549E24D"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25%</w:t>
            </w:r>
          </w:p>
        </w:tc>
      </w:tr>
      <w:tr w:rsidR="004B0BB1" w:rsidRPr="004B0BB1" w14:paraId="0EB89E91" w14:textId="77777777" w:rsidTr="004B0BB1">
        <w:trPr>
          <w:tblCellSpacing w:w="15" w:type="dxa"/>
        </w:trPr>
        <w:tc>
          <w:tcPr>
            <w:tcW w:w="0" w:type="auto"/>
            <w:shd w:val="clear" w:color="auto" w:fill="1B1B1B"/>
            <w:tcMar>
              <w:top w:w="120" w:type="dxa"/>
              <w:left w:w="180" w:type="dxa"/>
              <w:bottom w:w="120" w:type="dxa"/>
              <w:right w:w="180" w:type="dxa"/>
            </w:tcMar>
            <w:hideMark/>
          </w:tcPr>
          <w:p w14:paraId="46B276E7"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Trabajo y Seguridad Social</w:t>
            </w:r>
          </w:p>
        </w:tc>
        <w:tc>
          <w:tcPr>
            <w:tcW w:w="0" w:type="auto"/>
            <w:shd w:val="clear" w:color="auto" w:fill="1B1B1B"/>
            <w:tcMar>
              <w:top w:w="120" w:type="dxa"/>
              <w:left w:w="180" w:type="dxa"/>
              <w:bottom w:w="120" w:type="dxa"/>
              <w:right w:w="180" w:type="dxa"/>
            </w:tcMar>
            <w:hideMark/>
          </w:tcPr>
          <w:p w14:paraId="4788492B"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Empleo adecuado, Afiliación a seguridad social, Trabajo infantil</w:t>
            </w:r>
          </w:p>
        </w:tc>
        <w:tc>
          <w:tcPr>
            <w:tcW w:w="0" w:type="auto"/>
            <w:shd w:val="clear" w:color="auto" w:fill="1B1B1B"/>
            <w:tcMar>
              <w:top w:w="120" w:type="dxa"/>
              <w:left w:w="180" w:type="dxa"/>
              <w:bottom w:w="120" w:type="dxa"/>
              <w:right w:w="180" w:type="dxa"/>
            </w:tcMar>
            <w:hideMark/>
          </w:tcPr>
          <w:p w14:paraId="526BDAE0"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25%</w:t>
            </w:r>
          </w:p>
        </w:tc>
      </w:tr>
      <w:tr w:rsidR="004B0BB1" w:rsidRPr="004B0BB1" w14:paraId="4DFCEE3E" w14:textId="77777777" w:rsidTr="004B0BB1">
        <w:trPr>
          <w:tblCellSpacing w:w="15" w:type="dxa"/>
        </w:trPr>
        <w:tc>
          <w:tcPr>
            <w:tcW w:w="0" w:type="auto"/>
            <w:shd w:val="clear" w:color="auto" w:fill="1B1B1B"/>
            <w:tcMar>
              <w:top w:w="120" w:type="dxa"/>
              <w:left w:w="180" w:type="dxa"/>
              <w:bottom w:w="120" w:type="dxa"/>
              <w:right w:w="180" w:type="dxa"/>
            </w:tcMar>
            <w:hideMark/>
          </w:tcPr>
          <w:p w14:paraId="5BA7D653"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Salud, Agua y Alimentación</w:t>
            </w:r>
          </w:p>
        </w:tc>
        <w:tc>
          <w:tcPr>
            <w:tcW w:w="0" w:type="auto"/>
            <w:shd w:val="clear" w:color="auto" w:fill="1B1B1B"/>
            <w:tcMar>
              <w:top w:w="120" w:type="dxa"/>
              <w:left w:w="180" w:type="dxa"/>
              <w:bottom w:w="120" w:type="dxa"/>
              <w:right w:w="180" w:type="dxa"/>
            </w:tcMar>
            <w:hideMark/>
          </w:tcPr>
          <w:p w14:paraId="50D60A17"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Acceso a agua potable, Saneamiento, Pobreza extrema por ingresos</w:t>
            </w:r>
          </w:p>
        </w:tc>
        <w:tc>
          <w:tcPr>
            <w:tcW w:w="0" w:type="auto"/>
            <w:shd w:val="clear" w:color="auto" w:fill="1B1B1B"/>
            <w:tcMar>
              <w:top w:w="120" w:type="dxa"/>
              <w:left w:w="180" w:type="dxa"/>
              <w:bottom w:w="120" w:type="dxa"/>
              <w:right w:w="180" w:type="dxa"/>
            </w:tcMar>
            <w:hideMark/>
          </w:tcPr>
          <w:p w14:paraId="3E4DE953"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25%</w:t>
            </w:r>
          </w:p>
        </w:tc>
      </w:tr>
      <w:tr w:rsidR="004B0BB1" w:rsidRPr="004B0BB1" w14:paraId="7C76143E" w14:textId="77777777" w:rsidTr="004B0BB1">
        <w:trPr>
          <w:tblCellSpacing w:w="15" w:type="dxa"/>
        </w:trPr>
        <w:tc>
          <w:tcPr>
            <w:tcW w:w="0" w:type="auto"/>
            <w:shd w:val="clear" w:color="auto" w:fill="1B1B1B"/>
            <w:tcMar>
              <w:top w:w="120" w:type="dxa"/>
              <w:left w:w="180" w:type="dxa"/>
              <w:bottom w:w="120" w:type="dxa"/>
              <w:right w:w="180" w:type="dxa"/>
            </w:tcMar>
            <w:hideMark/>
          </w:tcPr>
          <w:p w14:paraId="7B4C993C"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Hábitat y Vivienda</w:t>
            </w:r>
          </w:p>
        </w:tc>
        <w:tc>
          <w:tcPr>
            <w:tcW w:w="0" w:type="auto"/>
            <w:shd w:val="clear" w:color="auto" w:fill="1B1B1B"/>
            <w:tcMar>
              <w:top w:w="120" w:type="dxa"/>
              <w:left w:w="180" w:type="dxa"/>
              <w:bottom w:w="120" w:type="dxa"/>
              <w:right w:w="180" w:type="dxa"/>
            </w:tcMar>
            <w:hideMark/>
          </w:tcPr>
          <w:p w14:paraId="449F9566"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Calidad de vivienda, Hacinamiento, Servicio de recolección de basura</w:t>
            </w:r>
          </w:p>
        </w:tc>
        <w:tc>
          <w:tcPr>
            <w:tcW w:w="0" w:type="auto"/>
            <w:shd w:val="clear" w:color="auto" w:fill="1B1B1B"/>
            <w:tcMar>
              <w:top w:w="120" w:type="dxa"/>
              <w:left w:w="180" w:type="dxa"/>
              <w:bottom w:w="120" w:type="dxa"/>
              <w:right w:w="180" w:type="dxa"/>
            </w:tcMar>
            <w:hideMark/>
          </w:tcPr>
          <w:p w14:paraId="3933349C" w14:textId="77777777" w:rsidR="004B0BB1" w:rsidRPr="004B0BB1" w:rsidRDefault="004B0BB1" w:rsidP="004B0BB1">
            <w:pPr>
              <w:spacing w:after="0" w:line="300" w:lineRule="atLeast"/>
              <w:rPr>
                <w:rFonts w:ascii="Arial" w:eastAsia="Times New Roman" w:hAnsi="Arial" w:cs="Arial"/>
                <w:sz w:val="21"/>
                <w:szCs w:val="21"/>
                <w:lang w:eastAsia="es-EC"/>
              </w:rPr>
            </w:pPr>
            <w:r w:rsidRPr="004B0BB1">
              <w:rPr>
                <w:rFonts w:ascii="Arial" w:eastAsia="Times New Roman" w:hAnsi="Arial" w:cs="Arial"/>
                <w:sz w:val="21"/>
                <w:szCs w:val="21"/>
                <w:lang w:eastAsia="es-EC"/>
              </w:rPr>
              <w:t>25%</w:t>
            </w:r>
          </w:p>
        </w:tc>
      </w:tr>
    </w:tbl>
    <w:p w14:paraId="58F38AFA" w14:textId="77777777" w:rsidR="004B0BB1" w:rsidRPr="004B0BB1" w:rsidRDefault="004B0BB1" w:rsidP="004B0BB1">
      <w:pPr>
        <w:shd w:val="clear" w:color="auto" w:fill="131314"/>
        <w:spacing w:after="240" w:line="240" w:lineRule="auto"/>
        <w:rPr>
          <w:rFonts w:ascii="Arial" w:eastAsia="Times New Roman" w:hAnsi="Arial" w:cs="Arial"/>
          <w:color w:val="E3E3E3"/>
          <w:sz w:val="24"/>
          <w:szCs w:val="24"/>
          <w:lang w:eastAsia="es-EC"/>
        </w:rPr>
      </w:pPr>
      <w:r w:rsidRPr="004B0BB1">
        <w:rPr>
          <w:rFonts w:ascii="Arial" w:eastAsia="Times New Roman" w:hAnsi="Arial" w:cs="Arial"/>
          <w:color w:val="E3E3E3"/>
          <w:sz w:val="24"/>
          <w:szCs w:val="24"/>
          <w:lang w:eastAsia="es-EC"/>
        </w:rPr>
        <w:t xml:space="preserve">Fuente: Metodología oficial IPM INEC - </w:t>
      </w:r>
      <w:proofErr w:type="spellStart"/>
      <w:r w:rsidRPr="004B0BB1">
        <w:rPr>
          <w:rFonts w:ascii="Arial" w:eastAsia="Times New Roman" w:hAnsi="Arial" w:cs="Arial"/>
          <w:color w:val="E3E3E3"/>
          <w:sz w:val="24"/>
          <w:szCs w:val="24"/>
          <w:lang w:eastAsia="es-EC"/>
        </w:rPr>
        <w:t>Alkire</w:t>
      </w:r>
      <w:proofErr w:type="spellEnd"/>
      <w:r w:rsidRPr="004B0BB1">
        <w:rPr>
          <w:rFonts w:ascii="Arial" w:eastAsia="Times New Roman" w:hAnsi="Arial" w:cs="Arial"/>
          <w:color w:val="E3E3E3"/>
          <w:sz w:val="24"/>
          <w:szCs w:val="24"/>
          <w:lang w:eastAsia="es-EC"/>
        </w:rPr>
        <w:t xml:space="preserve"> y Foster.   </w:t>
      </w:r>
    </w:p>
    <w:p w14:paraId="12278DC9" w14:textId="77777777" w:rsidR="004B0BB1" w:rsidRPr="004B0BB1" w:rsidRDefault="004B0BB1" w:rsidP="004B0BB1">
      <w:pPr>
        <w:shd w:val="clear" w:color="auto" w:fill="131314"/>
        <w:spacing w:before="420" w:after="120" w:line="420" w:lineRule="atLeast"/>
        <w:outlineLvl w:val="1"/>
        <w:rPr>
          <w:rFonts w:ascii="Arial" w:eastAsia="Times New Roman" w:hAnsi="Arial" w:cs="Arial"/>
          <w:b/>
          <w:bCs/>
          <w:color w:val="E3E3E3"/>
          <w:sz w:val="30"/>
          <w:szCs w:val="30"/>
          <w:lang w:eastAsia="es-EC"/>
        </w:rPr>
      </w:pPr>
      <w:r w:rsidRPr="004B0BB1">
        <w:rPr>
          <w:rFonts w:ascii="Arial" w:eastAsia="Times New Roman" w:hAnsi="Arial" w:cs="Arial"/>
          <w:b/>
          <w:bCs/>
          <w:color w:val="E3E3E3"/>
          <w:sz w:val="30"/>
          <w:szCs w:val="30"/>
          <w:lang w:eastAsia="es-EC"/>
        </w:rPr>
        <w:t>Comparativa Regional: Ecuador en el Contexto Latinoamericano</w:t>
      </w:r>
    </w:p>
    <w:p w14:paraId="12772041" w14:textId="77777777" w:rsidR="004B0BB1" w:rsidRPr="004B0BB1" w:rsidRDefault="004B0BB1" w:rsidP="004B0BB1">
      <w:pPr>
        <w:shd w:val="clear" w:color="auto" w:fill="131314"/>
        <w:spacing w:after="240" w:line="240" w:lineRule="auto"/>
        <w:rPr>
          <w:rFonts w:ascii="Arial" w:eastAsia="Times New Roman" w:hAnsi="Arial" w:cs="Arial"/>
          <w:color w:val="E3E3E3"/>
          <w:sz w:val="24"/>
          <w:szCs w:val="24"/>
          <w:lang w:eastAsia="es-EC"/>
        </w:rPr>
      </w:pPr>
      <w:r w:rsidRPr="004B0BB1">
        <w:rPr>
          <w:rFonts w:ascii="Arial" w:eastAsia="Times New Roman" w:hAnsi="Arial" w:cs="Arial"/>
          <w:color w:val="E3E3E3"/>
          <w:sz w:val="24"/>
          <w:szCs w:val="24"/>
          <w:lang w:eastAsia="es-EC"/>
        </w:rPr>
        <w:t>En comparación con sus pares regionales, Ecuador ha seguido una trayectoria similar en la reducción de la pobreza durante el auge de las materias primas, pero ha mostrado mayores dificultades para recuperarse de la crisis de la pandemia y los choques institucionales. Según datos del Banco Mundial y la CEPAL, mientras que países como Perú y Colombia han logrado mantener tasas de crecimiento moderadas que mitigan la pobreza, Ecuador ha enfrentado una mayor volatilidad debido a su dependencia del petróleo y la ausencia de una política monetaria propia bajo la dolarización.   </w:t>
      </w:r>
    </w:p>
    <w:p w14:paraId="7F1D14FB" w14:textId="77777777" w:rsidR="004B0BB1" w:rsidRPr="004B0BB1" w:rsidRDefault="004B0BB1" w:rsidP="004B0BB1">
      <w:pPr>
        <w:shd w:val="clear" w:color="auto" w:fill="131314"/>
        <w:spacing w:after="240" w:line="240" w:lineRule="auto"/>
        <w:rPr>
          <w:rFonts w:ascii="Arial" w:eastAsia="Times New Roman" w:hAnsi="Arial" w:cs="Arial"/>
          <w:color w:val="E3E3E3"/>
          <w:sz w:val="24"/>
          <w:szCs w:val="24"/>
          <w:lang w:eastAsia="es-EC"/>
        </w:rPr>
      </w:pPr>
      <w:r w:rsidRPr="004B0BB1">
        <w:rPr>
          <w:rFonts w:ascii="Arial" w:eastAsia="Times New Roman" w:hAnsi="Arial" w:cs="Arial"/>
          <w:color w:val="E3E3E3"/>
          <w:sz w:val="24"/>
          <w:szCs w:val="24"/>
          <w:lang w:eastAsia="es-EC"/>
        </w:rPr>
        <w:t xml:space="preserve">En 2024, la incidencia de la pobreza en Ecuador medida bajo estándares internacionales (línea de USD 6,85 por día PPA 2017) se situaba en niveles superiores al promedio del Cono Sur, pero competitivos con la región andina. Sin embargo, la crisis de seguridad ha introducido una desventaja competitiva única para el país, afectando la percepción de riesgo y limitando la inversión extranjera directa, factor clave para generar empleos de calidad que reduzcan la pobreza de manera sostenida. El Panorama Social de la CEPAL 2025 resalta que la región sigue atrapada en una trampa de alta desigualdad y baja movilidad social, una realidad que en Ecuador se manifiesta en la </w:t>
      </w:r>
      <w:r w:rsidRPr="004B0BB1">
        <w:rPr>
          <w:rFonts w:ascii="Arial" w:eastAsia="Times New Roman" w:hAnsi="Arial" w:cs="Arial"/>
          <w:color w:val="E3E3E3"/>
          <w:sz w:val="24"/>
          <w:szCs w:val="24"/>
          <w:lang w:eastAsia="es-EC"/>
        </w:rPr>
        <w:lastRenderedPageBreak/>
        <w:t>persistente brecha entre las élites urbanas y las poblaciones rurales e indígenas.   </w:t>
      </w:r>
    </w:p>
    <w:p w14:paraId="19BAEA4E" w14:textId="77777777" w:rsidR="004B0BB1" w:rsidRPr="004B0BB1" w:rsidRDefault="004B0BB1" w:rsidP="004B0BB1">
      <w:pPr>
        <w:shd w:val="clear" w:color="auto" w:fill="131314"/>
        <w:spacing w:before="420" w:after="120" w:line="420" w:lineRule="atLeast"/>
        <w:outlineLvl w:val="1"/>
        <w:rPr>
          <w:rFonts w:ascii="Arial" w:eastAsia="Times New Roman" w:hAnsi="Arial" w:cs="Arial"/>
          <w:b/>
          <w:bCs/>
          <w:color w:val="E3E3E3"/>
          <w:sz w:val="30"/>
          <w:szCs w:val="30"/>
          <w:lang w:eastAsia="es-EC"/>
        </w:rPr>
      </w:pPr>
      <w:r w:rsidRPr="004B0BB1">
        <w:rPr>
          <w:rFonts w:ascii="Arial" w:eastAsia="Times New Roman" w:hAnsi="Arial" w:cs="Arial"/>
          <w:b/>
          <w:bCs/>
          <w:color w:val="E3E3E3"/>
          <w:sz w:val="30"/>
          <w:szCs w:val="30"/>
          <w:lang w:eastAsia="es-EC"/>
        </w:rPr>
        <w:t>Implicaciones Socioeconómicas y Perspectivas Futuras</w:t>
      </w:r>
    </w:p>
    <w:p w14:paraId="32BB7566" w14:textId="77777777" w:rsidR="004B0BB1" w:rsidRPr="004B0BB1" w:rsidRDefault="004B0BB1" w:rsidP="004B0BB1">
      <w:pPr>
        <w:shd w:val="clear" w:color="auto" w:fill="131314"/>
        <w:spacing w:after="240" w:line="240" w:lineRule="auto"/>
        <w:rPr>
          <w:rFonts w:ascii="Arial" w:eastAsia="Times New Roman" w:hAnsi="Arial" w:cs="Arial"/>
          <w:color w:val="E3E3E3"/>
          <w:sz w:val="24"/>
          <w:szCs w:val="24"/>
          <w:lang w:eastAsia="es-EC"/>
        </w:rPr>
      </w:pPr>
      <w:r w:rsidRPr="004B0BB1">
        <w:rPr>
          <w:rFonts w:ascii="Arial" w:eastAsia="Times New Roman" w:hAnsi="Arial" w:cs="Arial"/>
          <w:color w:val="E3E3E3"/>
          <w:sz w:val="24"/>
          <w:szCs w:val="24"/>
          <w:lang w:eastAsia="es-EC"/>
        </w:rPr>
        <w:t xml:space="preserve">La trayectoria de la pobreza en el Ecuador durante el periodo 2010-2024 revela que la superación de la privación requiere mucho más que el crecimiento económico basado en recursos naturales. El ciclo de bonanza petrolera demostró que el Estado puede ser un motor de cambio social a través de la inversión y la redistribución, pero también dejó en evidencia </w:t>
      </w:r>
      <w:proofErr w:type="gramStart"/>
      <w:r w:rsidRPr="004B0BB1">
        <w:rPr>
          <w:rFonts w:ascii="Arial" w:eastAsia="Times New Roman" w:hAnsi="Arial" w:cs="Arial"/>
          <w:color w:val="E3E3E3"/>
          <w:sz w:val="24"/>
          <w:szCs w:val="24"/>
          <w:lang w:eastAsia="es-EC"/>
        </w:rPr>
        <w:t>que</w:t>
      </w:r>
      <w:proofErr w:type="gramEnd"/>
      <w:r w:rsidRPr="004B0BB1">
        <w:rPr>
          <w:rFonts w:ascii="Arial" w:eastAsia="Times New Roman" w:hAnsi="Arial" w:cs="Arial"/>
          <w:color w:val="E3E3E3"/>
          <w:sz w:val="24"/>
          <w:szCs w:val="24"/>
          <w:lang w:eastAsia="es-EC"/>
        </w:rPr>
        <w:t xml:space="preserve"> sin una diversificación de la matriz productiva y un sector privado dinámico, los avances son reversibles ante choques externos.   </w:t>
      </w:r>
    </w:p>
    <w:p w14:paraId="5C939355" w14:textId="77777777" w:rsidR="004B0BB1" w:rsidRPr="004B0BB1" w:rsidRDefault="004B0BB1" w:rsidP="004B0BB1">
      <w:pPr>
        <w:shd w:val="clear" w:color="auto" w:fill="131314"/>
        <w:spacing w:after="240" w:line="240" w:lineRule="auto"/>
        <w:rPr>
          <w:rFonts w:ascii="Arial" w:eastAsia="Times New Roman" w:hAnsi="Arial" w:cs="Arial"/>
          <w:color w:val="E3E3E3"/>
          <w:sz w:val="24"/>
          <w:szCs w:val="24"/>
          <w:lang w:eastAsia="es-EC"/>
        </w:rPr>
      </w:pPr>
      <w:r w:rsidRPr="004B0BB1">
        <w:rPr>
          <w:rFonts w:ascii="Arial" w:eastAsia="Times New Roman" w:hAnsi="Arial" w:cs="Arial"/>
          <w:color w:val="E3E3E3"/>
          <w:sz w:val="24"/>
          <w:szCs w:val="24"/>
          <w:lang w:eastAsia="es-EC"/>
        </w:rPr>
        <w:t>La emergencia de la crisis de seguridad como determinante de la pobreza en 2023 y 2024 marca un cambio de paradigma. La pobreza ya no solo se combate con bonos o servicios básicos, sino con la recuperación del control estatal y la paz ciudadana, factores sin los cuales no es posible el desarrollo de los mercados locales. Hacia 2025, las señales de reducción de la pobreza al 21,4% son alentadoras y sugieren una resiliencia del sector productivo frente a la crisis, pero la sostenibilidad de este descenso dependerá de la capacidad del país para enfrentar los problemas estructurales de desnutrición infantil, rezago educativo y precariedad laboral que persisten en la ruralidad y entre los grupos étnicos históricamente excluidos.   </w:t>
      </w:r>
    </w:p>
    <w:p w14:paraId="24881672" w14:textId="77777777" w:rsidR="004B0BB1" w:rsidRPr="004B0BB1" w:rsidRDefault="004B0BB1" w:rsidP="004B0BB1">
      <w:pPr>
        <w:shd w:val="clear" w:color="auto" w:fill="131314"/>
        <w:spacing w:after="240" w:line="240" w:lineRule="auto"/>
        <w:rPr>
          <w:rFonts w:ascii="Arial" w:eastAsia="Times New Roman" w:hAnsi="Arial" w:cs="Arial"/>
          <w:color w:val="E3E3E3"/>
          <w:sz w:val="24"/>
          <w:szCs w:val="24"/>
          <w:lang w:eastAsia="es-EC"/>
        </w:rPr>
      </w:pPr>
      <w:r w:rsidRPr="004B0BB1">
        <w:rPr>
          <w:rFonts w:ascii="Arial" w:eastAsia="Times New Roman" w:hAnsi="Arial" w:cs="Arial"/>
          <w:color w:val="E3E3E3"/>
          <w:sz w:val="24"/>
          <w:szCs w:val="24"/>
          <w:lang w:eastAsia="es-EC"/>
        </w:rPr>
        <w:t>El futuro de la pobreza en el Ecuador estará condicionado por la estabilidad institucional y la capacidad de implementar políticas públicas integrales que trasciendan la visión monetaria y aborden la multidimensionalidad de los derechos humanos. La consolidación de un sistema de protección social no contributiva, la mejora en la calidad del gasto social y el fortalecimiento de la seguridad ciudadana son los pilares fundamentales para que el país retome la senda de reducción de la pobreza que inició hace quince años, pero esta vez sobre bases más sólidas y menos dependientes de la volatilidad externa.</w:t>
      </w:r>
    </w:p>
    <w:p w14:paraId="13D1E2D7" w14:textId="77777777" w:rsidR="004B0BB1" w:rsidRPr="004B0BB1" w:rsidRDefault="004B0BB1" w:rsidP="004B0BB1">
      <w:pPr>
        <w:shd w:val="clear" w:color="auto" w:fill="131314"/>
        <w:spacing w:after="0" w:line="240" w:lineRule="auto"/>
        <w:rPr>
          <w:rFonts w:ascii="Segoe UI" w:eastAsia="Times New Roman" w:hAnsi="Segoe UI" w:cs="Segoe UI"/>
          <w:color w:val="C4C7C5"/>
          <w:sz w:val="27"/>
          <w:szCs w:val="27"/>
          <w:lang w:eastAsia="es-EC"/>
        </w:rPr>
      </w:pP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"https://www.ecuadorencifras.gob.ec/documentos/web-inec/POBREZA/2024/Junio/202406_PobrezayDesigualdad.pdf" \t "_blank" </w:instrText>
      </w:r>
      <w:r w:rsidRPr="004B0BB1">
        <w:rPr>
          <w:rFonts w:ascii="Segoe UI" w:eastAsia="Times New Roman" w:hAnsi="Segoe UI" w:cs="Segoe UI"/>
          <w:color w:val="E3E3E3"/>
          <w:sz w:val="27"/>
          <w:szCs w:val="27"/>
          <w:lang w:eastAsia="es-EC"/>
        </w:rPr>
        <w:fldChar w:fldCharType="separate"/>
      </w:r>
    </w:p>
    <w:p w14:paraId="75F81A42"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drawing>
          <wp:inline distT="0" distB="0" distL="0" distR="0" wp14:anchorId="4AC7E652" wp14:editId="71DBA257">
            <wp:extent cx="1828800" cy="182880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A14531B"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ecuadorencifras.gob.ec</w:t>
      </w:r>
    </w:p>
    <w:p w14:paraId="08C519D7"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Indicadores de Pobreza y Desigualdad - Instituto Nacional de Estadística y Censos</w:t>
      </w:r>
    </w:p>
    <w:p w14:paraId="0C7CF738"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"https://investigaciones.quito.gob.ec/wp-content/uploads/2025/06/1.-Boletin-NBI.pdf" \t "_blank" </w:instrText>
      </w:r>
      <w:r w:rsidRPr="004B0BB1">
        <w:rPr>
          <w:rFonts w:ascii="Segoe UI" w:eastAsia="Times New Roman" w:hAnsi="Segoe UI" w:cs="Segoe UI"/>
          <w:color w:val="E3E3E3"/>
          <w:sz w:val="27"/>
          <w:szCs w:val="27"/>
          <w:lang w:eastAsia="es-EC"/>
        </w:rPr>
        <w:fldChar w:fldCharType="separate"/>
      </w:r>
    </w:p>
    <w:p w14:paraId="3124D5F8"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lastRenderedPageBreak/>
        <w:drawing>
          <wp:inline distT="0" distB="0" distL="0" distR="0" wp14:anchorId="11EFD98C" wp14:editId="39797FBD">
            <wp:extent cx="2438400" cy="243840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D314E87"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investigaciones.quito.gob.ec</w:t>
      </w:r>
    </w:p>
    <w:p w14:paraId="179E7D2B"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Análisis de la variación intercensal de la Pobreza por Necesidades Básicas Insatisfechas (NBI) entre el 2010 - 2022 - Investigaciones</w:t>
      </w:r>
    </w:p>
    <w:p w14:paraId="3634924B"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"https://www.cepal.org/sites/default/files/static/files/ecuador_-_informe_nacional_3.pdf" \t "_blank" </w:instrText>
      </w:r>
      <w:r w:rsidRPr="004B0BB1">
        <w:rPr>
          <w:rFonts w:ascii="Segoe UI" w:eastAsia="Times New Roman" w:hAnsi="Segoe UI" w:cs="Segoe UI"/>
          <w:color w:val="E3E3E3"/>
          <w:sz w:val="27"/>
          <w:szCs w:val="27"/>
          <w:lang w:eastAsia="es-EC"/>
        </w:rPr>
        <w:fldChar w:fldCharType="separate"/>
      </w:r>
    </w:p>
    <w:p w14:paraId="19DD1F84"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drawing>
          <wp:inline distT="0" distB="0" distL="0" distR="0" wp14:anchorId="05265220" wp14:editId="2A294EA6">
            <wp:extent cx="304800" cy="30480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30EBD61"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cepal.org</w:t>
      </w:r>
    </w:p>
    <w:p w14:paraId="77841571"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INFORME NACIONAL ECUADOR 2024 - CEPAL</w:t>
      </w:r>
    </w:p>
    <w:p w14:paraId="21377CC6"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"https://www.ecuadorencifras.gob.ec/documentos/web-inec/POBREZA/2024/Junio/202406_Boletin_pobreza_ENEMDU.pdf" \t "_blank" </w:instrText>
      </w:r>
      <w:r w:rsidRPr="004B0BB1">
        <w:rPr>
          <w:rFonts w:ascii="Segoe UI" w:eastAsia="Times New Roman" w:hAnsi="Segoe UI" w:cs="Segoe UI"/>
          <w:color w:val="E3E3E3"/>
          <w:sz w:val="27"/>
          <w:szCs w:val="27"/>
          <w:lang w:eastAsia="es-EC"/>
        </w:rPr>
        <w:fldChar w:fldCharType="separate"/>
      </w:r>
    </w:p>
    <w:p w14:paraId="68BA80FC"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drawing>
          <wp:inline distT="0" distB="0" distL="0" distR="0" wp14:anchorId="0DBAF28D" wp14:editId="57F7C032">
            <wp:extent cx="1828800" cy="18288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55F32135"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ecuadorencifras.gob.ec</w:t>
      </w:r>
    </w:p>
    <w:p w14:paraId="6B4DCA0A"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 xml:space="preserve">Boletín Técnico </w:t>
      </w:r>
      <w:proofErr w:type="spellStart"/>
      <w:r w:rsidRPr="004B0BB1">
        <w:rPr>
          <w:rFonts w:ascii="Arial" w:eastAsia="Times New Roman" w:hAnsi="Arial" w:cs="Arial"/>
          <w:color w:val="C4C7C5"/>
          <w:sz w:val="21"/>
          <w:szCs w:val="21"/>
          <w:lang w:eastAsia="es-EC"/>
        </w:rPr>
        <w:t>N°</w:t>
      </w:r>
      <w:proofErr w:type="spellEnd"/>
      <w:r w:rsidRPr="004B0BB1">
        <w:rPr>
          <w:rFonts w:ascii="Arial" w:eastAsia="Times New Roman" w:hAnsi="Arial" w:cs="Arial"/>
          <w:color w:val="C4C7C5"/>
          <w:sz w:val="21"/>
          <w:szCs w:val="21"/>
          <w:lang w:eastAsia="es-EC"/>
        </w:rPr>
        <w:t xml:space="preserve"> 12-2024-ENEMDU - Instituto Nacional de Estadística y Censos</w:t>
      </w:r>
    </w:p>
    <w:p w14:paraId="224CCF08"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"https://www.ecuadorencifras.gob.ec/documentos/web-inec/POBREZA/2016/Marzo_2016/Informe%20pobreza-mar16.pdf" \t "_blank" </w:instrText>
      </w:r>
      <w:r w:rsidRPr="004B0BB1">
        <w:rPr>
          <w:rFonts w:ascii="Segoe UI" w:eastAsia="Times New Roman" w:hAnsi="Segoe UI" w:cs="Segoe UI"/>
          <w:color w:val="E3E3E3"/>
          <w:sz w:val="27"/>
          <w:szCs w:val="27"/>
          <w:lang w:eastAsia="es-EC"/>
        </w:rPr>
        <w:fldChar w:fldCharType="separate"/>
      </w:r>
    </w:p>
    <w:p w14:paraId="77AF20DF"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drawing>
          <wp:inline distT="0" distB="0" distL="0" distR="0" wp14:anchorId="5695281D" wp14:editId="3330B43B">
            <wp:extent cx="1828800" cy="182880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148D0958"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ecuadorencifras.gob.ec</w:t>
      </w:r>
    </w:p>
    <w:p w14:paraId="01AC320A"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Reporte de Pobreza - Instituto Nacional de Estadística y Censos</w:t>
      </w:r>
    </w:p>
    <w:p w14:paraId="46085E88"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lastRenderedPageBreak/>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"https://www.ecuadorencifras.gob.ec/documentos/web-inec/Sitios/Pobreza_Multidimensional/assets/ipm-metodologia-oficial.pdf" \t "_blank" </w:instrText>
      </w:r>
      <w:r w:rsidRPr="004B0BB1">
        <w:rPr>
          <w:rFonts w:ascii="Segoe UI" w:eastAsia="Times New Roman" w:hAnsi="Segoe UI" w:cs="Segoe UI"/>
          <w:color w:val="E3E3E3"/>
          <w:sz w:val="27"/>
          <w:szCs w:val="27"/>
          <w:lang w:eastAsia="es-EC"/>
        </w:rPr>
        <w:fldChar w:fldCharType="separate"/>
      </w:r>
    </w:p>
    <w:p w14:paraId="4A1F6A63"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drawing>
          <wp:inline distT="0" distB="0" distL="0" distR="0" wp14:anchorId="6E7F1126" wp14:editId="1BC1D738">
            <wp:extent cx="1828800" cy="182880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24146C9"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ecuadorencifras.gob.ec</w:t>
      </w:r>
    </w:p>
    <w:p w14:paraId="0D45594D"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Medición de la Pobreza Multidimensional en Ecuador1 - Instituto ...</w:t>
      </w:r>
    </w:p>
    <w:p w14:paraId="387F8F01"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"https://www.ecuadorencifras.gob.ec/documentos/web-inec/POBREZA/2024/Diciembre/202412_Boletin_pobreza.pdf" \t "_blank" </w:instrText>
      </w:r>
      <w:r w:rsidRPr="004B0BB1">
        <w:rPr>
          <w:rFonts w:ascii="Segoe UI" w:eastAsia="Times New Roman" w:hAnsi="Segoe UI" w:cs="Segoe UI"/>
          <w:color w:val="E3E3E3"/>
          <w:sz w:val="27"/>
          <w:szCs w:val="27"/>
          <w:lang w:eastAsia="es-EC"/>
        </w:rPr>
        <w:fldChar w:fldCharType="separate"/>
      </w:r>
    </w:p>
    <w:p w14:paraId="109DDD67"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drawing>
          <wp:inline distT="0" distB="0" distL="0" distR="0" wp14:anchorId="766A2EEC" wp14:editId="6296FAAF">
            <wp:extent cx="1828800" cy="182880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13436933"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ecuadorencifras.gob.ec</w:t>
      </w:r>
    </w:p>
    <w:p w14:paraId="1C278686"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 xml:space="preserve">Boletín Técnico </w:t>
      </w:r>
      <w:proofErr w:type="spellStart"/>
      <w:r w:rsidRPr="004B0BB1">
        <w:rPr>
          <w:rFonts w:ascii="Arial" w:eastAsia="Times New Roman" w:hAnsi="Arial" w:cs="Arial"/>
          <w:color w:val="C4C7C5"/>
          <w:sz w:val="21"/>
          <w:szCs w:val="21"/>
          <w:lang w:eastAsia="es-EC"/>
        </w:rPr>
        <w:t>N°</w:t>
      </w:r>
      <w:proofErr w:type="spellEnd"/>
      <w:r w:rsidRPr="004B0BB1">
        <w:rPr>
          <w:rFonts w:ascii="Arial" w:eastAsia="Times New Roman" w:hAnsi="Arial" w:cs="Arial"/>
          <w:color w:val="C4C7C5"/>
          <w:sz w:val="21"/>
          <w:szCs w:val="21"/>
          <w:lang w:eastAsia="es-EC"/>
        </w:rPr>
        <w:t xml:space="preserve"> 02-2025-ENEMDU - Instituto Nacional de Estadística y Censos</w:t>
      </w:r>
    </w:p>
    <w:p w14:paraId="3360709D"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"https://www.primicias.ec/economia/pobreza-ecuador-ingresos-urbana-rural-desigualdad-diciembre2025-113335/" \t "_blank" </w:instrText>
      </w:r>
      <w:r w:rsidRPr="004B0BB1">
        <w:rPr>
          <w:rFonts w:ascii="Segoe UI" w:eastAsia="Times New Roman" w:hAnsi="Segoe UI" w:cs="Segoe UI"/>
          <w:color w:val="E3E3E3"/>
          <w:sz w:val="27"/>
          <w:szCs w:val="27"/>
          <w:lang w:eastAsia="es-EC"/>
        </w:rPr>
        <w:fldChar w:fldCharType="separate"/>
      </w:r>
    </w:p>
    <w:p w14:paraId="15CCF7C7"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drawing>
          <wp:inline distT="0" distB="0" distL="0" distR="0" wp14:anchorId="551BFB97" wp14:editId="2D8FBEE7">
            <wp:extent cx="304800" cy="30480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34A3E5E"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primicias.ec</w:t>
      </w:r>
    </w:p>
    <w:p w14:paraId="02479B61"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La pobreza en las zonas urbanas de Ecuador bajó en diciembre de 2025 y se situó en 13,8% - Primicias</w:t>
      </w:r>
    </w:p>
    <w:p w14:paraId="10209C34"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"https://www.censoecuador.gob.ec/wp-content/uploads/2024/12/Pobreza_NBI_Resultados_Dic2024.pdf" \t "_blank" </w:instrText>
      </w:r>
      <w:r w:rsidRPr="004B0BB1">
        <w:rPr>
          <w:rFonts w:ascii="Segoe UI" w:eastAsia="Times New Roman" w:hAnsi="Segoe UI" w:cs="Segoe UI"/>
          <w:color w:val="E3E3E3"/>
          <w:sz w:val="27"/>
          <w:szCs w:val="27"/>
          <w:lang w:eastAsia="es-EC"/>
        </w:rPr>
        <w:fldChar w:fldCharType="separate"/>
      </w:r>
    </w:p>
    <w:p w14:paraId="4E1520B4"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drawing>
          <wp:inline distT="0" distB="0" distL="0" distR="0" wp14:anchorId="7E9B5EBC" wp14:editId="298E42B1">
            <wp:extent cx="828675" cy="828675"/>
            <wp:effectExtent l="0" t="0" r="9525" b="95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ln>
                      <a:noFill/>
                    </a:ln>
                  </pic:spPr>
                </pic:pic>
              </a:graphicData>
            </a:graphic>
          </wp:inline>
        </w:drawing>
      </w:r>
    </w:p>
    <w:p w14:paraId="1B947182"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censoecuador.gob.ec</w:t>
      </w:r>
    </w:p>
    <w:p w14:paraId="28D35315"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Pobreza por NBI - Censo Ecuador</w:t>
      </w:r>
    </w:p>
    <w:p w14:paraId="4E2711B6"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"https://www.ecuadorencifras.gob.ec/documentos/web-inec/Bibliotecas/Libros/reportePobreza.pdf" \t "_blank" </w:instrText>
      </w:r>
      <w:r w:rsidRPr="004B0BB1">
        <w:rPr>
          <w:rFonts w:ascii="Segoe UI" w:eastAsia="Times New Roman" w:hAnsi="Segoe UI" w:cs="Segoe UI"/>
          <w:color w:val="E3E3E3"/>
          <w:sz w:val="27"/>
          <w:szCs w:val="27"/>
          <w:lang w:eastAsia="es-EC"/>
        </w:rPr>
        <w:fldChar w:fldCharType="separate"/>
      </w:r>
    </w:p>
    <w:p w14:paraId="4BDF5F17"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lastRenderedPageBreak/>
        <w:drawing>
          <wp:inline distT="0" distB="0" distL="0" distR="0" wp14:anchorId="51A14575" wp14:editId="32F28C72">
            <wp:extent cx="1828800" cy="1828800"/>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534FC561"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ecuadorencifras.gob.ec</w:t>
      </w:r>
    </w:p>
    <w:p w14:paraId="3653F3C7"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Reporte de Pobreza por Consumo Ecuador 2006 – 2014 - Instituto ...</w:t>
      </w:r>
    </w:p>
    <w:p w14:paraId="4DBBF574"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"https://oaji.net/pdf.html?n=2023/11930-1723215675.pdf" \t "_blank" </w:instrText>
      </w:r>
      <w:r w:rsidRPr="004B0BB1">
        <w:rPr>
          <w:rFonts w:ascii="Segoe UI" w:eastAsia="Times New Roman" w:hAnsi="Segoe UI" w:cs="Segoe UI"/>
          <w:color w:val="E3E3E3"/>
          <w:sz w:val="27"/>
          <w:szCs w:val="27"/>
          <w:lang w:eastAsia="es-EC"/>
        </w:rPr>
        <w:fldChar w:fldCharType="separate"/>
      </w:r>
    </w:p>
    <w:p w14:paraId="3EC44D04"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drawing>
          <wp:inline distT="0" distB="0" distL="0" distR="0" wp14:anchorId="1E02BD52" wp14:editId="6A25A656">
            <wp:extent cx="152400" cy="15240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BCB5F2F"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oaji.net</w:t>
      </w:r>
    </w:p>
    <w:p w14:paraId="140F418E"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Inversión pública y pobreza: el caso ecuatoriano hasta 2020</w:t>
      </w:r>
    </w:p>
    <w:p w14:paraId="28528FE5"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"https://visualcompublications.es/revVISUAL/article/download/5768/4089/23495" \t "_blank" </w:instrText>
      </w:r>
      <w:r w:rsidRPr="004B0BB1">
        <w:rPr>
          <w:rFonts w:ascii="Segoe UI" w:eastAsia="Times New Roman" w:hAnsi="Segoe UI" w:cs="Segoe UI"/>
          <w:color w:val="E3E3E3"/>
          <w:sz w:val="27"/>
          <w:szCs w:val="27"/>
          <w:lang w:eastAsia="es-EC"/>
        </w:rPr>
        <w:fldChar w:fldCharType="separate"/>
      </w:r>
    </w:p>
    <w:p w14:paraId="02671D96"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drawing>
          <wp:inline distT="0" distB="0" distL="0" distR="0" wp14:anchorId="416B303F" wp14:editId="4826B628">
            <wp:extent cx="152400" cy="15240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8E6AB5B"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visualcompublications.es</w:t>
      </w:r>
    </w:p>
    <w:p w14:paraId="54488DD0"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ANÁLISIS VISUAL DE LA POBREZA MULTIDIMENSIONAL EN ECUADOR Y ESTRATEGIAS DE INTERVENCIÓN DESDE EL TRABAJO SOCIAL</w:t>
      </w:r>
    </w:p>
    <w:p w14:paraId="7E75478A"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"https://publications.iadb.org/publications/spanish/document/Desaf%C3%ADos-del-desarrollo-en-Ecuador.pdf" \t "_blank" </w:instrText>
      </w:r>
      <w:r w:rsidRPr="004B0BB1">
        <w:rPr>
          <w:rFonts w:ascii="Segoe UI" w:eastAsia="Times New Roman" w:hAnsi="Segoe UI" w:cs="Segoe UI"/>
          <w:color w:val="E3E3E3"/>
          <w:sz w:val="27"/>
          <w:szCs w:val="27"/>
          <w:lang w:eastAsia="es-EC"/>
        </w:rPr>
        <w:fldChar w:fldCharType="separate"/>
      </w:r>
    </w:p>
    <w:p w14:paraId="7446774F"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drawing>
          <wp:inline distT="0" distB="0" distL="0" distR="0" wp14:anchorId="1026EB22" wp14:editId="40173F95">
            <wp:extent cx="152400" cy="15240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E5C0D68"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publications.iadb.org</w:t>
      </w:r>
    </w:p>
    <w:p w14:paraId="3C7B246D"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Desafíos del Desarrollo en Ecuador</w:t>
      </w:r>
    </w:p>
    <w:p w14:paraId="5B3134AD"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"https://documents1.worldbank.org/curated/en/099050924131536292/pdf/P17797312cbabc01b189011ce0839cba821.pdf" \t "_blank" </w:instrText>
      </w:r>
      <w:r w:rsidRPr="004B0BB1">
        <w:rPr>
          <w:rFonts w:ascii="Segoe UI" w:eastAsia="Times New Roman" w:hAnsi="Segoe UI" w:cs="Segoe UI"/>
          <w:color w:val="E3E3E3"/>
          <w:sz w:val="27"/>
          <w:szCs w:val="27"/>
          <w:lang w:eastAsia="es-EC"/>
        </w:rPr>
        <w:fldChar w:fldCharType="separate"/>
      </w:r>
    </w:p>
    <w:p w14:paraId="09BEAAD7"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drawing>
          <wp:inline distT="0" distB="0" distL="0" distR="0" wp14:anchorId="56EF14DD" wp14:editId="2D00450B">
            <wp:extent cx="152400" cy="15240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2ACB359"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documents1.worldbank.org</w:t>
      </w:r>
    </w:p>
    <w:p w14:paraId="666954D7"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 xml:space="preserve">Ecuador: Crecimiento resiliente para un futuro mejor - </w:t>
      </w:r>
      <w:proofErr w:type="spellStart"/>
      <w:r w:rsidRPr="004B0BB1">
        <w:rPr>
          <w:rFonts w:ascii="Arial" w:eastAsia="Times New Roman" w:hAnsi="Arial" w:cs="Arial"/>
          <w:color w:val="C4C7C5"/>
          <w:sz w:val="21"/>
          <w:szCs w:val="21"/>
          <w:lang w:eastAsia="es-EC"/>
        </w:rPr>
        <w:t>World</w:t>
      </w:r>
      <w:proofErr w:type="spellEnd"/>
      <w:r w:rsidRPr="004B0BB1">
        <w:rPr>
          <w:rFonts w:ascii="Arial" w:eastAsia="Times New Roman" w:hAnsi="Arial" w:cs="Arial"/>
          <w:color w:val="C4C7C5"/>
          <w:sz w:val="21"/>
          <w:szCs w:val="21"/>
          <w:lang w:eastAsia="es-EC"/>
        </w:rPr>
        <w:t xml:space="preserve"> Bank </w:t>
      </w:r>
      <w:proofErr w:type="spellStart"/>
      <w:r w:rsidRPr="004B0BB1">
        <w:rPr>
          <w:rFonts w:ascii="Arial" w:eastAsia="Times New Roman" w:hAnsi="Arial" w:cs="Arial"/>
          <w:color w:val="C4C7C5"/>
          <w:sz w:val="21"/>
          <w:szCs w:val="21"/>
          <w:lang w:eastAsia="es-EC"/>
        </w:rPr>
        <w:t>Documents</w:t>
      </w:r>
      <w:proofErr w:type="spellEnd"/>
      <w:r w:rsidRPr="004B0BB1">
        <w:rPr>
          <w:rFonts w:ascii="Arial" w:eastAsia="Times New Roman" w:hAnsi="Arial" w:cs="Arial"/>
          <w:color w:val="C4C7C5"/>
          <w:sz w:val="21"/>
          <w:szCs w:val="21"/>
          <w:lang w:eastAsia="es-EC"/>
        </w:rPr>
        <w:t xml:space="preserve"> and </w:t>
      </w:r>
      <w:proofErr w:type="spellStart"/>
      <w:r w:rsidRPr="004B0BB1">
        <w:rPr>
          <w:rFonts w:ascii="Arial" w:eastAsia="Times New Roman" w:hAnsi="Arial" w:cs="Arial"/>
          <w:color w:val="C4C7C5"/>
          <w:sz w:val="21"/>
          <w:szCs w:val="21"/>
          <w:lang w:eastAsia="es-EC"/>
        </w:rPr>
        <w:t>Reports</w:t>
      </w:r>
      <w:proofErr w:type="spellEnd"/>
    </w:p>
    <w:p w14:paraId="71E8B184"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"https://www.ecuadorencifras.gob.ec/documentos/web-inec/POBREZA/2016/Diciembre_2016/Reporte%20pobreza%20y%20desigualdad-dic16.pdf" \t "_blank" </w:instrText>
      </w:r>
      <w:r w:rsidRPr="004B0BB1">
        <w:rPr>
          <w:rFonts w:ascii="Segoe UI" w:eastAsia="Times New Roman" w:hAnsi="Segoe UI" w:cs="Segoe UI"/>
          <w:color w:val="E3E3E3"/>
          <w:sz w:val="27"/>
          <w:szCs w:val="27"/>
          <w:lang w:eastAsia="es-EC"/>
        </w:rPr>
        <w:fldChar w:fldCharType="separate"/>
      </w:r>
    </w:p>
    <w:p w14:paraId="06EF06FF"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drawing>
          <wp:inline distT="0" distB="0" distL="0" distR="0" wp14:anchorId="7E6579E7" wp14:editId="16029AFE">
            <wp:extent cx="1828800" cy="182880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1AEC29CC"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ecuadorencifras.gob.ec</w:t>
      </w:r>
    </w:p>
    <w:p w14:paraId="710C43AF"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Reporte de Pobreza y Desigualdad - Instituto Nacional de Estadística y Censos</w:t>
      </w:r>
    </w:p>
    <w:p w14:paraId="7E8D82D6"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"https://latam.redilat.org/index.php/lt/article/view/4201/7871" \t "_blank" </w:instrText>
      </w:r>
      <w:r w:rsidRPr="004B0BB1">
        <w:rPr>
          <w:rFonts w:ascii="Segoe UI" w:eastAsia="Times New Roman" w:hAnsi="Segoe UI" w:cs="Segoe UI"/>
          <w:color w:val="E3E3E3"/>
          <w:sz w:val="27"/>
          <w:szCs w:val="27"/>
          <w:lang w:eastAsia="es-EC"/>
        </w:rPr>
        <w:fldChar w:fldCharType="separate"/>
      </w:r>
    </w:p>
    <w:p w14:paraId="15E14C19"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drawing>
          <wp:inline distT="0" distB="0" distL="0" distR="0" wp14:anchorId="7D00B05A" wp14:editId="1E7A61BC">
            <wp:extent cx="152400" cy="15240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F311466"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latam.redilat.org</w:t>
      </w:r>
    </w:p>
    <w:p w14:paraId="18E88B89"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Vista de El impacto del desempleo en la pobreza en Ecuador</w:t>
      </w:r>
    </w:p>
    <w:p w14:paraId="2C3DD1A0"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lastRenderedPageBreak/>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"https://revistaeucken.com/indes/index.php/home/article/view/evolucion-desempleo-2023-2025" \t "_blank" </w:instrText>
      </w:r>
      <w:r w:rsidRPr="004B0BB1">
        <w:rPr>
          <w:rFonts w:ascii="Segoe UI" w:eastAsia="Times New Roman" w:hAnsi="Segoe UI" w:cs="Segoe UI"/>
          <w:color w:val="E3E3E3"/>
          <w:sz w:val="27"/>
          <w:szCs w:val="27"/>
          <w:lang w:eastAsia="es-EC"/>
        </w:rPr>
        <w:fldChar w:fldCharType="separate"/>
      </w:r>
    </w:p>
    <w:p w14:paraId="5A9FAC35"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drawing>
          <wp:inline distT="0" distB="0" distL="0" distR="0" wp14:anchorId="580438A5" wp14:editId="34FDF97E">
            <wp:extent cx="2438400" cy="24384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A9E593A"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revistaeucken.com</w:t>
      </w:r>
    </w:p>
    <w:p w14:paraId="67D1D617"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Evolución de la tasa de desempleo en Ecuador entre 2023 y 2025: un análisis comparativo</w:t>
      </w:r>
    </w:p>
    <w:p w14:paraId="780F3041"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"https://revista.religacion.com/index.php/religacion/article/download/1407/1872/" \t "_blank" </w:instrText>
      </w:r>
      <w:r w:rsidRPr="004B0BB1">
        <w:rPr>
          <w:rFonts w:ascii="Segoe UI" w:eastAsia="Times New Roman" w:hAnsi="Segoe UI" w:cs="Segoe UI"/>
          <w:color w:val="E3E3E3"/>
          <w:sz w:val="27"/>
          <w:szCs w:val="27"/>
          <w:lang w:eastAsia="es-EC"/>
        </w:rPr>
        <w:fldChar w:fldCharType="separate"/>
      </w:r>
    </w:p>
    <w:p w14:paraId="79BB3023"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drawing>
          <wp:inline distT="0" distB="0" distL="0" distR="0" wp14:anchorId="0E5931AA" wp14:editId="0ED306E6">
            <wp:extent cx="2438400" cy="243840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D3298BE"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revista.religacion.com</w:t>
      </w:r>
    </w:p>
    <w:p w14:paraId="391A6566"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Impacto de los indicadores sociales y económicos en la pobreza multidimensional en Ecuador</w:t>
      </w:r>
    </w:p>
    <w:p w14:paraId="44B0D29F"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"https://dialnet.unirioja.es/descarga/articulo/10082533.pdf" \t "_blank" </w:instrText>
      </w:r>
      <w:r w:rsidRPr="004B0BB1">
        <w:rPr>
          <w:rFonts w:ascii="Segoe UI" w:eastAsia="Times New Roman" w:hAnsi="Segoe UI" w:cs="Segoe UI"/>
          <w:color w:val="E3E3E3"/>
          <w:sz w:val="27"/>
          <w:szCs w:val="27"/>
          <w:lang w:eastAsia="es-EC"/>
        </w:rPr>
        <w:fldChar w:fldCharType="separate"/>
      </w:r>
    </w:p>
    <w:p w14:paraId="4E8CEC10"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drawing>
          <wp:inline distT="0" distB="0" distL="0" distR="0" wp14:anchorId="50BC6B9D" wp14:editId="67793981">
            <wp:extent cx="152400" cy="15240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F48F489"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dialnet.unirioja.es</w:t>
      </w:r>
    </w:p>
    <w:p w14:paraId="7CD9F39F"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IMPACTO DE LA PANDEMIA DEL COVID-19 EN LA ECONOMÍA ECUATORIANA - Dialnet</w:t>
      </w:r>
    </w:p>
    <w:p w14:paraId="50642262"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"https://institutojubones.edu.ec/ojs/index.php/societec/article/view/108" \t "_blank" </w:instrText>
      </w:r>
      <w:r w:rsidRPr="004B0BB1">
        <w:rPr>
          <w:rFonts w:ascii="Segoe UI" w:eastAsia="Times New Roman" w:hAnsi="Segoe UI" w:cs="Segoe UI"/>
          <w:color w:val="E3E3E3"/>
          <w:sz w:val="27"/>
          <w:szCs w:val="27"/>
          <w:lang w:eastAsia="es-EC"/>
        </w:rPr>
        <w:fldChar w:fldCharType="separate"/>
      </w:r>
    </w:p>
    <w:p w14:paraId="2C87DAC0"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lastRenderedPageBreak/>
        <w:drawing>
          <wp:inline distT="0" distB="0" distL="0" distR="0" wp14:anchorId="309FF10A" wp14:editId="02EEEB0C">
            <wp:extent cx="2438400" cy="2438400"/>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2DFC6B9"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institutojubones.edu.ec</w:t>
      </w:r>
    </w:p>
    <w:p w14:paraId="0DD79248"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Indicador de pobreza por ingreso en Ecuador y el efecto Covid-19, del 2010 al 2020</w:t>
      </w:r>
    </w:p>
    <w:p w14:paraId="22139D5D"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"https://www.ecuadorencifras.gob.ec/documentos/web-inec/POBREZA/2025/Junio/202506_Boletin_pobreza_ENEMDU.pdf" \t "_blank" </w:instrText>
      </w:r>
      <w:r w:rsidRPr="004B0BB1">
        <w:rPr>
          <w:rFonts w:ascii="Segoe UI" w:eastAsia="Times New Roman" w:hAnsi="Segoe UI" w:cs="Segoe UI"/>
          <w:color w:val="E3E3E3"/>
          <w:sz w:val="27"/>
          <w:szCs w:val="27"/>
          <w:lang w:eastAsia="es-EC"/>
        </w:rPr>
        <w:fldChar w:fldCharType="separate"/>
      </w:r>
    </w:p>
    <w:p w14:paraId="6588BE04"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drawing>
          <wp:inline distT="0" distB="0" distL="0" distR="0" wp14:anchorId="22BBD9BE" wp14:editId="1B9D1237">
            <wp:extent cx="1828800" cy="1828800"/>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9EE995C"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ecuadorencifras.gob.ec</w:t>
      </w:r>
    </w:p>
    <w:p w14:paraId="617E4C91"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 xml:space="preserve">Boletín Técnico </w:t>
      </w:r>
      <w:proofErr w:type="spellStart"/>
      <w:r w:rsidRPr="004B0BB1">
        <w:rPr>
          <w:rFonts w:ascii="Arial" w:eastAsia="Times New Roman" w:hAnsi="Arial" w:cs="Arial"/>
          <w:color w:val="C4C7C5"/>
          <w:sz w:val="21"/>
          <w:szCs w:val="21"/>
          <w:lang w:eastAsia="es-EC"/>
        </w:rPr>
        <w:t>N°</w:t>
      </w:r>
      <w:proofErr w:type="spellEnd"/>
      <w:r w:rsidRPr="004B0BB1">
        <w:rPr>
          <w:rFonts w:ascii="Arial" w:eastAsia="Times New Roman" w:hAnsi="Arial" w:cs="Arial"/>
          <w:color w:val="C4C7C5"/>
          <w:sz w:val="21"/>
          <w:szCs w:val="21"/>
          <w:lang w:eastAsia="es-EC"/>
        </w:rPr>
        <w:t xml:space="preserve"> 10-2025-ENEMDU - Instituto Nacional de Estadística y Censos</w:t>
      </w:r>
    </w:p>
    <w:p w14:paraId="454C30F7"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"https://www.cepal.org/sites/default/files/static/files/ecuador_-_informe_nacional_2.pdf" \t "_blank" </w:instrText>
      </w:r>
      <w:r w:rsidRPr="004B0BB1">
        <w:rPr>
          <w:rFonts w:ascii="Segoe UI" w:eastAsia="Times New Roman" w:hAnsi="Segoe UI" w:cs="Segoe UI"/>
          <w:color w:val="E3E3E3"/>
          <w:sz w:val="27"/>
          <w:szCs w:val="27"/>
          <w:lang w:eastAsia="es-EC"/>
        </w:rPr>
        <w:fldChar w:fldCharType="separate"/>
      </w:r>
    </w:p>
    <w:p w14:paraId="16FF48DA"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drawing>
          <wp:inline distT="0" distB="0" distL="0" distR="0" wp14:anchorId="73D07755" wp14:editId="1F7EF04A">
            <wp:extent cx="304800" cy="30480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A9A93DB"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cepal.org</w:t>
      </w:r>
    </w:p>
    <w:p w14:paraId="77272F64"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INFORME NACIONAL ECUADOR Julio 2024 - CEPAL</w:t>
      </w:r>
    </w:p>
    <w:p w14:paraId="355212AE"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"https://revistas.uasb.edu.ec/index.php/eg/article/view/3709/4322" \t "_blank" </w:instrText>
      </w:r>
      <w:r w:rsidRPr="004B0BB1">
        <w:rPr>
          <w:rFonts w:ascii="Segoe UI" w:eastAsia="Times New Roman" w:hAnsi="Segoe UI" w:cs="Segoe UI"/>
          <w:color w:val="E3E3E3"/>
          <w:sz w:val="27"/>
          <w:szCs w:val="27"/>
          <w:lang w:eastAsia="es-EC"/>
        </w:rPr>
        <w:fldChar w:fldCharType="separate"/>
      </w:r>
    </w:p>
    <w:p w14:paraId="28A360B9"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drawing>
          <wp:inline distT="0" distB="0" distL="0" distR="0" wp14:anchorId="63D51CD3" wp14:editId="01BFB19C">
            <wp:extent cx="152400" cy="15240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EC265F0"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revistas.uasb.edu.ec</w:t>
      </w:r>
    </w:p>
    <w:p w14:paraId="22CD5BAA"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Vista de Efectos del COVID-19 en la pobreza multidimensional del Ecuador durante el período 2019-2020 - Revistas - UASB</w:t>
      </w:r>
    </w:p>
    <w:p w14:paraId="3B425A6E"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"https://www.ecuadorencifras.gob.ec/documentos/web-inec/POBREZA/2024/Diciembre/202412_PobrezayDesigualdad.pdf" \t "_blank" </w:instrText>
      </w:r>
      <w:r w:rsidRPr="004B0BB1">
        <w:rPr>
          <w:rFonts w:ascii="Segoe UI" w:eastAsia="Times New Roman" w:hAnsi="Segoe UI" w:cs="Segoe UI"/>
          <w:color w:val="E3E3E3"/>
          <w:sz w:val="27"/>
          <w:szCs w:val="27"/>
          <w:lang w:eastAsia="es-EC"/>
        </w:rPr>
        <w:fldChar w:fldCharType="separate"/>
      </w:r>
    </w:p>
    <w:p w14:paraId="7B940759"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lastRenderedPageBreak/>
        <w:drawing>
          <wp:inline distT="0" distB="0" distL="0" distR="0" wp14:anchorId="320D50D0" wp14:editId="43E21CAC">
            <wp:extent cx="1828800" cy="182880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78EAD5EB"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ecuadorencifras.gob.ec</w:t>
      </w:r>
    </w:p>
    <w:p w14:paraId="641D8A7C"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Presentación de PowerPoint - Instituto Nacional de Estadística y ...</w:t>
      </w:r>
    </w:p>
    <w:p w14:paraId="5C56A976"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"https://datos.bancomundial.org/?locations=PE-CO-EC" \t "_blank" </w:instrText>
      </w:r>
      <w:r w:rsidRPr="004B0BB1">
        <w:rPr>
          <w:rFonts w:ascii="Segoe UI" w:eastAsia="Times New Roman" w:hAnsi="Segoe UI" w:cs="Segoe UI"/>
          <w:color w:val="E3E3E3"/>
          <w:sz w:val="27"/>
          <w:szCs w:val="27"/>
          <w:lang w:eastAsia="es-EC"/>
        </w:rPr>
        <w:fldChar w:fldCharType="separate"/>
      </w:r>
    </w:p>
    <w:p w14:paraId="03AFFBB9"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drawing>
          <wp:inline distT="0" distB="0" distL="0" distR="0" wp14:anchorId="5472CC8C" wp14:editId="531DFD6F">
            <wp:extent cx="152400" cy="15240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158923F"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datos.bancomundial.org</w:t>
      </w:r>
    </w:p>
    <w:p w14:paraId="0DEF2A8B"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Los datos relativos a Perú, Colombia, Ecuador</w:t>
      </w:r>
    </w:p>
    <w:p w14:paraId="2B3FDE0E"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"https://www.rescue.org/sites/default/files/2025-03/AN%C3%81LISIS%20DE%20SENSIBILIDAD%20DEL%20CONFLICTO%20%281%29.pdf" \t "_blank" </w:instrText>
      </w:r>
      <w:r w:rsidRPr="004B0BB1">
        <w:rPr>
          <w:rFonts w:ascii="Segoe UI" w:eastAsia="Times New Roman" w:hAnsi="Segoe UI" w:cs="Segoe UI"/>
          <w:color w:val="E3E3E3"/>
          <w:sz w:val="27"/>
          <w:szCs w:val="27"/>
          <w:lang w:eastAsia="es-EC"/>
        </w:rPr>
        <w:fldChar w:fldCharType="separate"/>
      </w:r>
    </w:p>
    <w:p w14:paraId="4C368478"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drawing>
          <wp:inline distT="0" distB="0" distL="0" distR="0" wp14:anchorId="40907EB7" wp14:editId="025A01D5">
            <wp:extent cx="152400" cy="152400"/>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284D113"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rescue.org</w:t>
      </w:r>
    </w:p>
    <w:p w14:paraId="1C55ABCF"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 xml:space="preserve">Análisis de Sensibilidad al Conflicto en Ecuador - International </w:t>
      </w:r>
      <w:proofErr w:type="spellStart"/>
      <w:r w:rsidRPr="004B0BB1">
        <w:rPr>
          <w:rFonts w:ascii="Arial" w:eastAsia="Times New Roman" w:hAnsi="Arial" w:cs="Arial"/>
          <w:color w:val="C4C7C5"/>
          <w:sz w:val="21"/>
          <w:szCs w:val="21"/>
          <w:lang w:eastAsia="es-EC"/>
        </w:rPr>
        <w:t>Rescue</w:t>
      </w:r>
      <w:proofErr w:type="spellEnd"/>
      <w:r w:rsidRPr="004B0BB1">
        <w:rPr>
          <w:rFonts w:ascii="Arial" w:eastAsia="Times New Roman" w:hAnsi="Arial" w:cs="Arial"/>
          <w:color w:val="C4C7C5"/>
          <w:sz w:val="21"/>
          <w:szCs w:val="21"/>
          <w:lang w:eastAsia="es-EC"/>
        </w:rPr>
        <w:t xml:space="preserve"> </w:t>
      </w:r>
      <w:proofErr w:type="spellStart"/>
      <w:r w:rsidRPr="004B0BB1">
        <w:rPr>
          <w:rFonts w:ascii="Arial" w:eastAsia="Times New Roman" w:hAnsi="Arial" w:cs="Arial"/>
          <w:color w:val="C4C7C5"/>
          <w:sz w:val="21"/>
          <w:szCs w:val="21"/>
          <w:lang w:eastAsia="es-EC"/>
        </w:rPr>
        <w:t>Committee</w:t>
      </w:r>
      <w:proofErr w:type="spellEnd"/>
    </w:p>
    <w:p w14:paraId="1DACD8E0"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"https://agendaestadodederecho.com/crisis-de-seguridad-en-ecuador/" \t "_blank" </w:instrText>
      </w:r>
      <w:r w:rsidRPr="004B0BB1">
        <w:rPr>
          <w:rFonts w:ascii="Segoe UI" w:eastAsia="Times New Roman" w:hAnsi="Segoe UI" w:cs="Segoe UI"/>
          <w:color w:val="E3E3E3"/>
          <w:sz w:val="27"/>
          <w:szCs w:val="27"/>
          <w:lang w:eastAsia="es-EC"/>
        </w:rPr>
        <w:fldChar w:fldCharType="separate"/>
      </w:r>
    </w:p>
    <w:p w14:paraId="0B08D774"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drawing>
          <wp:inline distT="0" distB="0" distL="0" distR="0" wp14:anchorId="52050991" wp14:editId="264CDA91">
            <wp:extent cx="1828800" cy="1828800"/>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D3E3AF4"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agendaestadodederecho.com</w:t>
      </w:r>
    </w:p>
    <w:p w14:paraId="07689D3A"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Crisis de seguridad en Ecuador: pasado, presente y futuro - Agenda Estado de Derecho</w:t>
      </w:r>
    </w:p>
    <w:p w14:paraId="536473D7"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"https://www.crisisgroup.org/es/latin-america-caribbean/ecuador/109-paradise-lost-ecuadors-battle-organised-crime" \t "_blank" </w:instrText>
      </w:r>
      <w:r w:rsidRPr="004B0BB1">
        <w:rPr>
          <w:rFonts w:ascii="Segoe UI" w:eastAsia="Times New Roman" w:hAnsi="Segoe UI" w:cs="Segoe UI"/>
          <w:color w:val="E3E3E3"/>
          <w:sz w:val="27"/>
          <w:szCs w:val="27"/>
          <w:lang w:eastAsia="es-EC"/>
        </w:rPr>
        <w:fldChar w:fldCharType="separate"/>
      </w:r>
    </w:p>
    <w:p w14:paraId="4FBCDAAB"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drawing>
          <wp:inline distT="0" distB="0" distL="0" distR="0" wp14:anchorId="6D69C3D1" wp14:editId="0D8A0C49">
            <wp:extent cx="1714500" cy="1714500"/>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B1DAA9D"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crisisgroup.org</w:t>
      </w:r>
    </w:p>
    <w:p w14:paraId="5C27105E"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 xml:space="preserve">¿Un paraíso perdido? La lucha de Ecuador contra el crimen organizado | International Crisis </w:t>
      </w:r>
      <w:proofErr w:type="spellStart"/>
      <w:r w:rsidRPr="004B0BB1">
        <w:rPr>
          <w:rFonts w:ascii="Arial" w:eastAsia="Times New Roman" w:hAnsi="Arial" w:cs="Arial"/>
          <w:color w:val="C4C7C5"/>
          <w:sz w:val="21"/>
          <w:szCs w:val="21"/>
          <w:lang w:eastAsia="es-EC"/>
        </w:rPr>
        <w:t>Group</w:t>
      </w:r>
      <w:proofErr w:type="spellEnd"/>
    </w:p>
    <w:p w14:paraId="61ABBCFD"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lastRenderedPageBreak/>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"https://www.hrw.org/es/world-report/2025/country-chapters/ecuador" \t "_blank" </w:instrText>
      </w:r>
      <w:r w:rsidRPr="004B0BB1">
        <w:rPr>
          <w:rFonts w:ascii="Segoe UI" w:eastAsia="Times New Roman" w:hAnsi="Segoe UI" w:cs="Segoe UI"/>
          <w:color w:val="E3E3E3"/>
          <w:sz w:val="27"/>
          <w:szCs w:val="27"/>
          <w:lang w:eastAsia="es-EC"/>
        </w:rPr>
        <w:fldChar w:fldCharType="separate"/>
      </w:r>
    </w:p>
    <w:p w14:paraId="147E23C2"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drawing>
          <wp:inline distT="0" distB="0" distL="0" distR="0" wp14:anchorId="0405FA9B" wp14:editId="746BB49E">
            <wp:extent cx="152400" cy="152400"/>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62E87E4"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val="en-US" w:eastAsia="es-EC"/>
        </w:rPr>
      </w:pPr>
      <w:r w:rsidRPr="004B0BB1">
        <w:rPr>
          <w:rFonts w:ascii="Arial" w:eastAsia="Times New Roman" w:hAnsi="Arial" w:cs="Arial"/>
          <w:b/>
          <w:bCs/>
          <w:color w:val="C4C7C5"/>
          <w:sz w:val="21"/>
          <w:szCs w:val="21"/>
          <w:lang w:val="en-US" w:eastAsia="es-EC"/>
        </w:rPr>
        <w:t>hrw.org</w:t>
      </w:r>
    </w:p>
    <w:p w14:paraId="02201B6F"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val="en-US" w:eastAsia="es-EC"/>
        </w:rPr>
      </w:pPr>
      <w:r w:rsidRPr="004B0BB1">
        <w:rPr>
          <w:rFonts w:ascii="Arial" w:eastAsia="Times New Roman" w:hAnsi="Arial" w:cs="Arial"/>
          <w:color w:val="C4C7C5"/>
          <w:sz w:val="21"/>
          <w:szCs w:val="21"/>
          <w:lang w:val="en-US" w:eastAsia="es-EC"/>
        </w:rPr>
        <w:t>INFORME MUNDIAL 2025: Ecuador - Human Rights Watch</w:t>
      </w:r>
    </w:p>
    <w:p w14:paraId="24C9307E"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"https://perspectiva.ide.edu.ec/investiga/2024/12/16/gatilladores-de-la-crisis-2024-y-escenarios-a-inicios-de-2025/" \t "_blank" </w:instrText>
      </w:r>
      <w:r w:rsidRPr="004B0BB1">
        <w:rPr>
          <w:rFonts w:ascii="Segoe UI" w:eastAsia="Times New Roman" w:hAnsi="Segoe UI" w:cs="Segoe UI"/>
          <w:color w:val="E3E3E3"/>
          <w:sz w:val="27"/>
          <w:szCs w:val="27"/>
          <w:lang w:eastAsia="es-EC"/>
        </w:rPr>
        <w:fldChar w:fldCharType="separate"/>
      </w:r>
    </w:p>
    <w:p w14:paraId="555609F9"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drawing>
          <wp:inline distT="0" distB="0" distL="0" distR="0" wp14:anchorId="62FD06F6" wp14:editId="2000E50F">
            <wp:extent cx="1828800" cy="1828800"/>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0C968C7"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perspectiva.ide.edu.ec</w:t>
      </w:r>
    </w:p>
    <w:p w14:paraId="29C57389"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Gatilladores de la crisis 2024 y escenarios a inicios de 2025 - Revista Perspectiva</w:t>
      </w:r>
    </w:p>
    <w:p w14:paraId="16EE0F10"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"https://blogs.worldbank.org/es/latinamerica/pobreza-y-empleo-en-ecuador--dos-caras-de-una-misma-realidad" \t "_blank" </w:instrText>
      </w:r>
      <w:r w:rsidRPr="004B0BB1">
        <w:rPr>
          <w:rFonts w:ascii="Segoe UI" w:eastAsia="Times New Roman" w:hAnsi="Segoe UI" w:cs="Segoe UI"/>
          <w:color w:val="E3E3E3"/>
          <w:sz w:val="27"/>
          <w:szCs w:val="27"/>
          <w:lang w:eastAsia="es-EC"/>
        </w:rPr>
        <w:fldChar w:fldCharType="separate"/>
      </w:r>
    </w:p>
    <w:p w14:paraId="45C48672"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drawing>
          <wp:inline distT="0" distB="0" distL="0" distR="0" wp14:anchorId="5D60342F" wp14:editId="4EBED0B5">
            <wp:extent cx="152400" cy="152400"/>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F668EA5"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blogs.worldbank.org</w:t>
      </w:r>
    </w:p>
    <w:p w14:paraId="3C7B1181"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 xml:space="preserve">Pobreza y empleo en Ecuador: dos caras de una misma realidad - </w:t>
      </w:r>
      <w:proofErr w:type="spellStart"/>
      <w:r w:rsidRPr="004B0BB1">
        <w:rPr>
          <w:rFonts w:ascii="Arial" w:eastAsia="Times New Roman" w:hAnsi="Arial" w:cs="Arial"/>
          <w:color w:val="C4C7C5"/>
          <w:sz w:val="21"/>
          <w:szCs w:val="21"/>
          <w:lang w:eastAsia="es-EC"/>
        </w:rPr>
        <w:t>World</w:t>
      </w:r>
      <w:proofErr w:type="spellEnd"/>
      <w:r w:rsidRPr="004B0BB1">
        <w:rPr>
          <w:rFonts w:ascii="Arial" w:eastAsia="Times New Roman" w:hAnsi="Arial" w:cs="Arial"/>
          <w:color w:val="C4C7C5"/>
          <w:sz w:val="21"/>
          <w:szCs w:val="21"/>
          <w:lang w:eastAsia="es-EC"/>
        </w:rPr>
        <w:t xml:space="preserve"> Bank Blogs</w:t>
      </w:r>
    </w:p>
    <w:p w14:paraId="585B593A"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"https://www.eluniverso.com/noticias/economia/desempleo-subempleo-ecuador-pobreza-inec-encuesta-nacional-2025-nota/" \t "_blank" </w:instrText>
      </w:r>
      <w:r w:rsidRPr="004B0BB1">
        <w:rPr>
          <w:rFonts w:ascii="Segoe UI" w:eastAsia="Times New Roman" w:hAnsi="Segoe UI" w:cs="Segoe UI"/>
          <w:color w:val="E3E3E3"/>
          <w:sz w:val="27"/>
          <w:szCs w:val="27"/>
          <w:lang w:eastAsia="es-EC"/>
        </w:rPr>
        <w:fldChar w:fldCharType="separate"/>
      </w:r>
    </w:p>
    <w:p w14:paraId="437AFE55"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drawing>
          <wp:inline distT="0" distB="0" distL="0" distR="0" wp14:anchorId="09597D3C" wp14:editId="4926133B">
            <wp:extent cx="1714500" cy="1714500"/>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07BCACF"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eluniverso.com</w:t>
      </w:r>
    </w:p>
    <w:p w14:paraId="08204F6E"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Desempleo terminó en 2,6 % en 2025 y subempleo llegó al nivel más bajo en siete años</w:t>
      </w:r>
    </w:p>
    <w:p w14:paraId="5A93D579"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"https://www.eltelegrafo.com.ec/noticias/nacionales/210/pobreza-pobreza-extrema-bajaron-ecuador-2025-segun-inec" \t "_blank" </w:instrText>
      </w:r>
      <w:r w:rsidRPr="004B0BB1">
        <w:rPr>
          <w:rFonts w:ascii="Segoe UI" w:eastAsia="Times New Roman" w:hAnsi="Segoe UI" w:cs="Segoe UI"/>
          <w:color w:val="E3E3E3"/>
          <w:sz w:val="27"/>
          <w:szCs w:val="27"/>
          <w:lang w:eastAsia="es-EC"/>
        </w:rPr>
        <w:fldChar w:fldCharType="separate"/>
      </w:r>
    </w:p>
    <w:p w14:paraId="74716ABB"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drawing>
          <wp:inline distT="0" distB="0" distL="0" distR="0" wp14:anchorId="54BC8D42" wp14:editId="6083FA1C">
            <wp:extent cx="1714500" cy="1714500"/>
            <wp:effectExtent l="0" t="0" r="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E1877BA"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eltelegrafo.com.ec</w:t>
      </w:r>
    </w:p>
    <w:p w14:paraId="4BB5F4B5"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La pobreza y la pobreza extrema bajaron en Ecuador en 2025, según el INEC - El Telégrafo</w:t>
      </w:r>
    </w:p>
    <w:p w14:paraId="1E79B14D"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lastRenderedPageBreak/>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"https://documents1.worldbank.org/curated/en/099101724185031291/pdf/P506095-4d5e2538-e603-49b9-9807-09289007e31d.pdf" \t "_blank" </w:instrText>
      </w:r>
      <w:r w:rsidRPr="004B0BB1">
        <w:rPr>
          <w:rFonts w:ascii="Segoe UI" w:eastAsia="Times New Roman" w:hAnsi="Segoe UI" w:cs="Segoe UI"/>
          <w:color w:val="E3E3E3"/>
          <w:sz w:val="27"/>
          <w:szCs w:val="27"/>
          <w:lang w:eastAsia="es-EC"/>
        </w:rPr>
        <w:fldChar w:fldCharType="separate"/>
      </w:r>
    </w:p>
    <w:p w14:paraId="3D939FE1"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drawing>
          <wp:inline distT="0" distB="0" distL="0" distR="0" wp14:anchorId="421EFBE8" wp14:editId="39B2D729">
            <wp:extent cx="152400" cy="152400"/>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3694A76"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documents1.worldbank.org</w:t>
      </w:r>
    </w:p>
    <w:p w14:paraId="595A74E5"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 xml:space="preserve">Tendencias recientes de pobreza y desigualdad América Latina y el Caribe </w:t>
      </w:r>
      <w:proofErr w:type="gramStart"/>
      <w:r w:rsidRPr="004B0BB1">
        <w:rPr>
          <w:rFonts w:ascii="Arial" w:eastAsia="Times New Roman" w:hAnsi="Arial" w:cs="Arial"/>
          <w:color w:val="C4C7C5"/>
          <w:sz w:val="21"/>
          <w:szCs w:val="21"/>
          <w:lang w:eastAsia="es-EC"/>
        </w:rPr>
        <w:t>Octubre</w:t>
      </w:r>
      <w:proofErr w:type="gramEnd"/>
      <w:r w:rsidRPr="004B0BB1">
        <w:rPr>
          <w:rFonts w:ascii="Arial" w:eastAsia="Times New Roman" w:hAnsi="Arial" w:cs="Arial"/>
          <w:color w:val="C4C7C5"/>
          <w:sz w:val="21"/>
          <w:szCs w:val="21"/>
          <w:lang w:eastAsia="es-EC"/>
        </w:rPr>
        <w:t xml:space="preserve"> 20241 - </w:t>
      </w:r>
      <w:proofErr w:type="spellStart"/>
      <w:r w:rsidRPr="004B0BB1">
        <w:rPr>
          <w:rFonts w:ascii="Arial" w:eastAsia="Times New Roman" w:hAnsi="Arial" w:cs="Arial"/>
          <w:color w:val="C4C7C5"/>
          <w:sz w:val="21"/>
          <w:szCs w:val="21"/>
          <w:lang w:eastAsia="es-EC"/>
        </w:rPr>
        <w:t>World</w:t>
      </w:r>
      <w:proofErr w:type="spellEnd"/>
      <w:r w:rsidRPr="004B0BB1">
        <w:rPr>
          <w:rFonts w:ascii="Arial" w:eastAsia="Times New Roman" w:hAnsi="Arial" w:cs="Arial"/>
          <w:color w:val="C4C7C5"/>
          <w:sz w:val="21"/>
          <w:szCs w:val="21"/>
          <w:lang w:eastAsia="es-EC"/>
        </w:rPr>
        <w:t xml:space="preserve"> Bank </w:t>
      </w:r>
      <w:proofErr w:type="spellStart"/>
      <w:r w:rsidRPr="004B0BB1">
        <w:rPr>
          <w:rFonts w:ascii="Arial" w:eastAsia="Times New Roman" w:hAnsi="Arial" w:cs="Arial"/>
          <w:color w:val="C4C7C5"/>
          <w:sz w:val="21"/>
          <w:szCs w:val="21"/>
          <w:lang w:eastAsia="es-EC"/>
        </w:rPr>
        <w:t>Documents</w:t>
      </w:r>
      <w:proofErr w:type="spellEnd"/>
      <w:r w:rsidRPr="004B0BB1">
        <w:rPr>
          <w:rFonts w:ascii="Arial" w:eastAsia="Times New Roman" w:hAnsi="Arial" w:cs="Arial"/>
          <w:color w:val="C4C7C5"/>
          <w:sz w:val="21"/>
          <w:szCs w:val="21"/>
          <w:lang w:eastAsia="es-EC"/>
        </w:rPr>
        <w:t xml:space="preserve"> and </w:t>
      </w:r>
      <w:proofErr w:type="spellStart"/>
      <w:r w:rsidRPr="004B0BB1">
        <w:rPr>
          <w:rFonts w:ascii="Arial" w:eastAsia="Times New Roman" w:hAnsi="Arial" w:cs="Arial"/>
          <w:color w:val="C4C7C5"/>
          <w:sz w:val="21"/>
          <w:szCs w:val="21"/>
          <w:lang w:eastAsia="es-EC"/>
        </w:rPr>
        <w:t>Reports</w:t>
      </w:r>
      <w:proofErr w:type="spellEnd"/>
    </w:p>
    <w:p w14:paraId="7E4361D5"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"https://www.cepal.org/es/publicaciones/84175-panorama-social-america-latina-caribe-2025-como-salir-la-trampa-alta-desigualdad" \t "_blank" </w:instrText>
      </w:r>
      <w:r w:rsidRPr="004B0BB1">
        <w:rPr>
          <w:rFonts w:ascii="Segoe UI" w:eastAsia="Times New Roman" w:hAnsi="Segoe UI" w:cs="Segoe UI"/>
          <w:color w:val="E3E3E3"/>
          <w:sz w:val="27"/>
          <w:szCs w:val="27"/>
          <w:lang w:eastAsia="es-EC"/>
        </w:rPr>
        <w:fldChar w:fldCharType="separate"/>
      </w:r>
    </w:p>
    <w:p w14:paraId="7A0D371D"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drawing>
          <wp:inline distT="0" distB="0" distL="0" distR="0" wp14:anchorId="1CF51E9B" wp14:editId="02A3EA91">
            <wp:extent cx="304800" cy="304800"/>
            <wp:effectExtent l="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80854C9"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cepal.org</w:t>
      </w:r>
    </w:p>
    <w:p w14:paraId="22A98999"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Panorama Social de América Latina y el Caribe, 2025: cómo salir de ...</w:t>
      </w:r>
    </w:p>
    <w:p w14:paraId="5D107F9B"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"https://www.cepal.org/es/publicaciones/84176-panorama-social-america-latina-caribe-2025-como-salir-la-trampa-alta-desigualdad" \t "_blank" </w:instrText>
      </w:r>
      <w:r w:rsidRPr="004B0BB1">
        <w:rPr>
          <w:rFonts w:ascii="Segoe UI" w:eastAsia="Times New Roman" w:hAnsi="Segoe UI" w:cs="Segoe UI"/>
          <w:color w:val="E3E3E3"/>
          <w:sz w:val="27"/>
          <w:szCs w:val="27"/>
          <w:lang w:eastAsia="es-EC"/>
        </w:rPr>
        <w:fldChar w:fldCharType="separate"/>
      </w:r>
    </w:p>
    <w:p w14:paraId="5CFC5305"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drawing>
          <wp:inline distT="0" distB="0" distL="0" distR="0" wp14:anchorId="656A7060" wp14:editId="3F65F974">
            <wp:extent cx="304800" cy="304800"/>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709CE5E"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cepal.org</w:t>
      </w:r>
    </w:p>
    <w:p w14:paraId="2E3EC70A"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Panorama Social de América Latina y el Caribe, 2025: cómo salir de la trampa de alta desigualdad, baja movilidad social y débil cohesión social. Resumen ejecutivo | CEPAL</w:t>
      </w:r>
    </w:p>
    <w:p w14:paraId="39668AC6" w14:textId="77777777" w:rsidR="004B0BB1" w:rsidRPr="004B0BB1" w:rsidRDefault="004B0BB1" w:rsidP="004B0BB1">
      <w:pPr>
        <w:shd w:val="clear" w:color="auto" w:fill="131314"/>
        <w:spacing w:after="0" w:line="240" w:lineRule="auto"/>
        <w:rPr>
          <w:rFonts w:ascii="Segoe UI" w:eastAsia="Times New Roman" w:hAnsi="Segoe UI" w:cs="Segoe UI"/>
          <w:sz w:val="27"/>
          <w:szCs w:val="27"/>
          <w:lang w:eastAsia="es-EC"/>
        </w:rPr>
      </w:pPr>
      <w:r w:rsidRPr="004B0BB1">
        <w:rPr>
          <w:rFonts w:ascii="Segoe UI" w:eastAsia="Times New Roman" w:hAnsi="Segoe UI" w:cs="Segoe UI"/>
          <w:color w:val="C4C7C5"/>
          <w:sz w:val="27"/>
          <w:szCs w:val="27"/>
          <w:bdr w:val="none" w:sz="0" w:space="0" w:color="auto" w:frame="1"/>
          <w:lang w:eastAsia="es-EC"/>
        </w:rPr>
        <w:t>Se abre en una ventana nueva</w:t>
      </w:r>
      <w:r w:rsidRPr="004B0BB1">
        <w:rPr>
          <w:rFonts w:ascii="Segoe UI" w:eastAsia="Times New Roman" w:hAnsi="Segoe UI" w:cs="Segoe UI"/>
          <w:color w:val="E3E3E3"/>
          <w:sz w:val="27"/>
          <w:szCs w:val="27"/>
          <w:lang w:eastAsia="es-EC"/>
        </w:rPr>
        <w:fldChar w:fldCharType="end"/>
      </w: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"https://www.cepal.org/es/notas/indice-pobreza-multidimensional-america-latina-revela-como-viven-hogares-pobres-la-region" \t "_blank" </w:instrText>
      </w:r>
      <w:r w:rsidRPr="004B0BB1">
        <w:rPr>
          <w:rFonts w:ascii="Segoe UI" w:eastAsia="Times New Roman" w:hAnsi="Segoe UI" w:cs="Segoe UI"/>
          <w:color w:val="E3E3E3"/>
          <w:sz w:val="27"/>
          <w:szCs w:val="27"/>
          <w:lang w:eastAsia="es-EC"/>
        </w:rPr>
        <w:fldChar w:fldCharType="separate"/>
      </w:r>
    </w:p>
    <w:p w14:paraId="2DE693FD"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noProof/>
          <w:color w:val="C4C7C5"/>
          <w:sz w:val="21"/>
          <w:szCs w:val="21"/>
          <w:lang w:eastAsia="es-EC"/>
        </w:rPr>
        <w:drawing>
          <wp:inline distT="0" distB="0" distL="0" distR="0" wp14:anchorId="461FBB2B" wp14:editId="4A5C4D44">
            <wp:extent cx="304800" cy="304800"/>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1C82462" w14:textId="77777777" w:rsidR="004B0BB1" w:rsidRPr="004B0BB1" w:rsidRDefault="004B0BB1" w:rsidP="004B0BB1">
      <w:pPr>
        <w:shd w:val="clear" w:color="auto" w:fill="1E1F20"/>
        <w:spacing w:after="0" w:line="300" w:lineRule="atLeast"/>
        <w:rPr>
          <w:rFonts w:ascii="Arial" w:eastAsia="Times New Roman" w:hAnsi="Arial" w:cs="Arial"/>
          <w:b/>
          <w:bCs/>
          <w:color w:val="C4C7C5"/>
          <w:sz w:val="21"/>
          <w:szCs w:val="21"/>
          <w:lang w:eastAsia="es-EC"/>
        </w:rPr>
      </w:pPr>
      <w:r w:rsidRPr="004B0BB1">
        <w:rPr>
          <w:rFonts w:ascii="Arial" w:eastAsia="Times New Roman" w:hAnsi="Arial" w:cs="Arial"/>
          <w:b/>
          <w:bCs/>
          <w:color w:val="C4C7C5"/>
          <w:sz w:val="21"/>
          <w:szCs w:val="21"/>
          <w:lang w:eastAsia="es-EC"/>
        </w:rPr>
        <w:t>cepal.org</w:t>
      </w:r>
    </w:p>
    <w:p w14:paraId="76288469" w14:textId="77777777" w:rsidR="004B0BB1" w:rsidRPr="004B0BB1" w:rsidRDefault="004B0BB1" w:rsidP="004B0BB1">
      <w:pPr>
        <w:shd w:val="clear" w:color="auto" w:fill="1E1F20"/>
        <w:spacing w:after="0" w:line="300" w:lineRule="atLeast"/>
        <w:rPr>
          <w:rFonts w:ascii="Arial" w:eastAsia="Times New Roman" w:hAnsi="Arial" w:cs="Arial"/>
          <w:color w:val="C4C7C5"/>
          <w:sz w:val="21"/>
          <w:szCs w:val="21"/>
          <w:lang w:eastAsia="es-EC"/>
        </w:rPr>
      </w:pPr>
      <w:r w:rsidRPr="004B0BB1">
        <w:rPr>
          <w:rFonts w:ascii="Arial" w:eastAsia="Times New Roman" w:hAnsi="Arial" w:cs="Arial"/>
          <w:color w:val="C4C7C5"/>
          <w:sz w:val="21"/>
          <w:szCs w:val="21"/>
          <w:lang w:eastAsia="es-EC"/>
        </w:rPr>
        <w:t>El Índice de Pobreza Multidimensional para América Latina revela cómo viven los hogares pobres de la región | CEPAL</w:t>
      </w:r>
    </w:p>
    <w:p w14:paraId="0B6CB4EC" w14:textId="77777777" w:rsidR="004B0BB1" w:rsidRPr="004B0BB1" w:rsidRDefault="004B0BB1" w:rsidP="004B0BB1">
      <w:pPr>
        <w:shd w:val="clear" w:color="auto" w:fill="131314"/>
        <w:spacing w:after="0" w:line="240" w:lineRule="auto"/>
        <w:rPr>
          <w:rFonts w:ascii="Segoe UI" w:eastAsia="Times New Roman" w:hAnsi="Segoe UI" w:cs="Segoe UI"/>
          <w:color w:val="E3E3E3"/>
          <w:sz w:val="27"/>
          <w:szCs w:val="27"/>
          <w:lang w:eastAsia="es-EC"/>
        </w:rPr>
      </w:pPr>
      <w:r w:rsidRPr="004B0BB1">
        <w:rPr>
          <w:rFonts w:ascii="Segoe UI" w:eastAsia="Times New Roman" w:hAnsi="Segoe UI" w:cs="Segoe UI"/>
          <w:color w:val="C4C7C5"/>
          <w:sz w:val="27"/>
          <w:szCs w:val="27"/>
          <w:bdr w:val="none" w:sz="0" w:space="0" w:color="auto" w:frame="1"/>
          <w:lang w:eastAsia="es-EC"/>
        </w:rPr>
        <w:t>Se abre en una ventana nueva</w:t>
      </w:r>
      <w:r w:rsidRPr="004B0BB1">
        <w:rPr>
          <w:rFonts w:ascii="Segoe UI" w:eastAsia="Times New Roman" w:hAnsi="Segoe UI" w:cs="Segoe UI"/>
          <w:color w:val="E3E3E3"/>
          <w:sz w:val="27"/>
          <w:szCs w:val="27"/>
          <w:lang w:eastAsia="es-EC"/>
        </w:rPr>
        <w:fldChar w:fldCharType="end"/>
      </w:r>
    </w:p>
    <w:p w14:paraId="64658731" w14:textId="77777777" w:rsidR="004B0BB1" w:rsidRPr="004B0BB1" w:rsidRDefault="004B0BB1" w:rsidP="004B0BB1">
      <w:pPr>
        <w:shd w:val="clear" w:color="auto" w:fill="131314"/>
        <w:spacing w:after="0" w:line="240" w:lineRule="auto"/>
        <w:rPr>
          <w:rFonts w:ascii="Times New Roman" w:eastAsia="Times New Roman" w:hAnsi="Times New Roman" w:cs="Times New Roman"/>
          <w:color w:val="C4C7C5"/>
          <w:sz w:val="24"/>
          <w:szCs w:val="24"/>
          <w:lang w:eastAsia="es-EC"/>
        </w:rPr>
      </w:pPr>
      <w:r w:rsidRPr="004B0BB1">
        <w:rPr>
          <w:rFonts w:ascii="Segoe UI" w:eastAsia="Times New Roman" w:hAnsi="Segoe UI" w:cs="Segoe UI"/>
          <w:color w:val="E3E3E3"/>
          <w:sz w:val="27"/>
          <w:szCs w:val="27"/>
          <w:lang w:eastAsia="es-EC"/>
        </w:rPr>
        <w:fldChar w:fldCharType="begin"/>
      </w:r>
      <w:r w:rsidRPr="004B0BB1">
        <w:rPr>
          <w:rFonts w:ascii="Segoe UI" w:eastAsia="Times New Roman" w:hAnsi="Segoe UI" w:cs="Segoe UI"/>
          <w:color w:val="E3E3E3"/>
          <w:sz w:val="27"/>
          <w:szCs w:val="27"/>
          <w:lang w:eastAsia="es-EC"/>
        </w:rPr>
        <w:instrText xml:space="preserve"> HYPERLINK "https://www.ecuadorencifras.gob.ec/documentos/web-inec/POBREZA/2023/Diciembre/202312_Boletin_pobreza_ENEMDU.pdf" \t "_blank" </w:instrText>
      </w:r>
      <w:r w:rsidRPr="004B0BB1">
        <w:rPr>
          <w:rFonts w:ascii="Segoe UI" w:eastAsia="Times New Roman" w:hAnsi="Segoe UI" w:cs="Segoe UI"/>
          <w:color w:val="E3E3E3"/>
          <w:sz w:val="27"/>
          <w:szCs w:val="27"/>
          <w:lang w:eastAsia="es-EC"/>
        </w:rPr>
        <w:fldChar w:fldCharType="separate"/>
      </w:r>
    </w:p>
    <w:p w14:paraId="26004B41" w14:textId="77777777" w:rsidR="004B0BB1" w:rsidRPr="004B0BB1" w:rsidRDefault="004B0BB1" w:rsidP="004B0BB1">
      <w:pPr>
        <w:shd w:val="clear" w:color="auto" w:fill="1E1F20"/>
        <w:spacing w:after="0" w:line="300" w:lineRule="atLeast"/>
        <w:rPr>
          <w:rFonts w:ascii="Arial" w:eastAsia="Times New Roman" w:hAnsi="Arial" w:cs="Arial"/>
          <w:sz w:val="21"/>
          <w:szCs w:val="21"/>
          <w:lang w:eastAsia="es-EC"/>
        </w:rPr>
      </w:pPr>
      <w:r w:rsidRPr="004B0BB1">
        <w:rPr>
          <w:rFonts w:ascii="Arial" w:eastAsia="Times New Roman" w:hAnsi="Arial" w:cs="Arial"/>
          <w:color w:val="C4C7C5"/>
          <w:sz w:val="21"/>
          <w:szCs w:val="21"/>
          <w:lang w:eastAsia="es-EC"/>
        </w:rPr>
        <w:br/>
      </w:r>
    </w:p>
    <w:p w14:paraId="2071041E" w14:textId="7453B807" w:rsidR="009354B8" w:rsidRDefault="004B0BB1" w:rsidP="004B0BB1">
      <w:r w:rsidRPr="004B0BB1">
        <w:rPr>
          <w:rFonts w:ascii="Segoe UI" w:eastAsia="Times New Roman" w:hAnsi="Segoe UI" w:cs="Segoe UI"/>
          <w:color w:val="E3E3E3"/>
          <w:sz w:val="27"/>
          <w:szCs w:val="27"/>
          <w:lang w:eastAsia="es-EC"/>
        </w:rPr>
        <w:fldChar w:fldCharType="end"/>
      </w:r>
    </w:p>
    <w:sectPr w:rsidR="009354B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KaTeX_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BB1"/>
    <w:rsid w:val="004B0BB1"/>
    <w:rsid w:val="009354B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B0D77"/>
  <w15:chartTrackingRefBased/>
  <w15:docId w15:val="{CB08E5D7-96E7-452F-9215-75B765D41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3998119">
      <w:bodyDiv w:val="1"/>
      <w:marLeft w:val="0"/>
      <w:marRight w:val="0"/>
      <w:marTop w:val="0"/>
      <w:marBottom w:val="0"/>
      <w:divBdr>
        <w:top w:val="none" w:sz="0" w:space="0" w:color="auto"/>
        <w:left w:val="none" w:sz="0" w:space="0" w:color="auto"/>
        <w:bottom w:val="none" w:sz="0" w:space="0" w:color="auto"/>
        <w:right w:val="none" w:sz="0" w:space="0" w:color="auto"/>
      </w:divBdr>
      <w:divsChild>
        <w:div w:id="646711593">
          <w:marLeft w:val="0"/>
          <w:marRight w:val="0"/>
          <w:marTop w:val="0"/>
          <w:marBottom w:val="0"/>
          <w:divBdr>
            <w:top w:val="none" w:sz="0" w:space="0" w:color="auto"/>
            <w:left w:val="none" w:sz="0" w:space="0" w:color="auto"/>
            <w:bottom w:val="single" w:sz="6" w:space="9" w:color="444746"/>
            <w:right w:val="none" w:sz="0" w:space="0" w:color="auto"/>
          </w:divBdr>
          <w:divsChild>
            <w:div w:id="1505051634">
              <w:marLeft w:val="0"/>
              <w:marRight w:val="0"/>
              <w:marTop w:val="0"/>
              <w:marBottom w:val="0"/>
              <w:divBdr>
                <w:top w:val="none" w:sz="0" w:space="0" w:color="auto"/>
                <w:left w:val="none" w:sz="0" w:space="0" w:color="auto"/>
                <w:bottom w:val="none" w:sz="0" w:space="0" w:color="auto"/>
                <w:right w:val="none" w:sz="0" w:space="0" w:color="auto"/>
              </w:divBdr>
            </w:div>
          </w:divsChild>
        </w:div>
        <w:div w:id="1797212132">
          <w:marLeft w:val="0"/>
          <w:marRight w:val="0"/>
          <w:marTop w:val="0"/>
          <w:marBottom w:val="0"/>
          <w:divBdr>
            <w:top w:val="none" w:sz="0" w:space="0" w:color="auto"/>
            <w:left w:val="none" w:sz="0" w:space="0" w:color="auto"/>
            <w:bottom w:val="none" w:sz="0" w:space="0" w:color="auto"/>
            <w:right w:val="none" w:sz="0" w:space="0" w:color="auto"/>
          </w:divBdr>
          <w:divsChild>
            <w:div w:id="1173489884">
              <w:marLeft w:val="0"/>
              <w:marRight w:val="0"/>
              <w:marTop w:val="0"/>
              <w:marBottom w:val="0"/>
              <w:divBdr>
                <w:top w:val="none" w:sz="0" w:space="0" w:color="auto"/>
                <w:left w:val="none" w:sz="0" w:space="0" w:color="auto"/>
                <w:bottom w:val="none" w:sz="0" w:space="0" w:color="auto"/>
                <w:right w:val="none" w:sz="0" w:space="0" w:color="auto"/>
              </w:divBdr>
              <w:divsChild>
                <w:div w:id="498891049">
                  <w:marLeft w:val="0"/>
                  <w:marRight w:val="0"/>
                  <w:marTop w:val="0"/>
                  <w:marBottom w:val="0"/>
                  <w:divBdr>
                    <w:top w:val="none" w:sz="0" w:space="0" w:color="auto"/>
                    <w:left w:val="none" w:sz="0" w:space="0" w:color="auto"/>
                    <w:bottom w:val="none" w:sz="0" w:space="0" w:color="auto"/>
                    <w:right w:val="none" w:sz="0" w:space="0" w:color="auto"/>
                  </w:divBdr>
                  <w:divsChild>
                    <w:div w:id="262498439">
                      <w:marLeft w:val="0"/>
                      <w:marRight w:val="0"/>
                      <w:marTop w:val="0"/>
                      <w:marBottom w:val="0"/>
                      <w:divBdr>
                        <w:top w:val="none" w:sz="0" w:space="0" w:color="auto"/>
                        <w:left w:val="none" w:sz="0" w:space="0" w:color="auto"/>
                        <w:bottom w:val="none" w:sz="0" w:space="0" w:color="auto"/>
                        <w:right w:val="none" w:sz="0" w:space="0" w:color="auto"/>
                      </w:divBdr>
                      <w:divsChild>
                        <w:div w:id="432627053">
                          <w:marLeft w:val="0"/>
                          <w:marRight w:val="0"/>
                          <w:marTop w:val="0"/>
                          <w:marBottom w:val="0"/>
                          <w:divBdr>
                            <w:top w:val="none" w:sz="0" w:space="0" w:color="auto"/>
                            <w:left w:val="none" w:sz="0" w:space="0" w:color="auto"/>
                            <w:bottom w:val="none" w:sz="0" w:space="0" w:color="auto"/>
                            <w:right w:val="none" w:sz="0" w:space="0" w:color="auto"/>
                          </w:divBdr>
                          <w:divsChild>
                            <w:div w:id="1904019270">
                              <w:marLeft w:val="0"/>
                              <w:marRight w:val="0"/>
                              <w:marTop w:val="0"/>
                              <w:marBottom w:val="0"/>
                              <w:divBdr>
                                <w:top w:val="none" w:sz="0" w:space="0" w:color="auto"/>
                                <w:left w:val="none" w:sz="0" w:space="0" w:color="auto"/>
                                <w:bottom w:val="none" w:sz="0" w:space="0" w:color="auto"/>
                                <w:right w:val="none" w:sz="0" w:space="0" w:color="auto"/>
                              </w:divBdr>
                              <w:divsChild>
                                <w:div w:id="1722513772">
                                  <w:marLeft w:val="0"/>
                                  <w:marRight w:val="0"/>
                                  <w:marTop w:val="0"/>
                                  <w:marBottom w:val="0"/>
                                  <w:divBdr>
                                    <w:top w:val="none" w:sz="0" w:space="0" w:color="auto"/>
                                    <w:left w:val="none" w:sz="0" w:space="0" w:color="auto"/>
                                    <w:bottom w:val="none" w:sz="0" w:space="0" w:color="auto"/>
                                    <w:right w:val="none" w:sz="0" w:space="0" w:color="auto"/>
                                  </w:divBdr>
                                  <w:divsChild>
                                    <w:div w:id="1789859827">
                                      <w:marLeft w:val="0"/>
                                      <w:marRight w:val="0"/>
                                      <w:marTop w:val="0"/>
                                      <w:marBottom w:val="0"/>
                                      <w:divBdr>
                                        <w:top w:val="none" w:sz="0" w:space="0" w:color="auto"/>
                                        <w:left w:val="none" w:sz="0" w:space="0" w:color="auto"/>
                                        <w:bottom w:val="none" w:sz="0" w:space="0" w:color="auto"/>
                                        <w:right w:val="none" w:sz="0" w:space="0" w:color="auto"/>
                                      </w:divBdr>
                                    </w:div>
                                  </w:divsChild>
                                </w:div>
                                <w:div w:id="1683431517">
                                  <w:marLeft w:val="0"/>
                                  <w:marRight w:val="0"/>
                                  <w:marTop w:val="0"/>
                                  <w:marBottom w:val="0"/>
                                  <w:divBdr>
                                    <w:top w:val="none" w:sz="0" w:space="0" w:color="auto"/>
                                    <w:left w:val="none" w:sz="0" w:space="0" w:color="auto"/>
                                    <w:bottom w:val="none" w:sz="0" w:space="0" w:color="auto"/>
                                    <w:right w:val="none" w:sz="0" w:space="0" w:color="auto"/>
                                  </w:divBdr>
                                  <w:divsChild>
                                    <w:div w:id="15694249">
                                      <w:marLeft w:val="0"/>
                                      <w:marRight w:val="0"/>
                                      <w:marTop w:val="0"/>
                                      <w:marBottom w:val="0"/>
                                      <w:divBdr>
                                        <w:top w:val="none" w:sz="0" w:space="0" w:color="auto"/>
                                        <w:left w:val="none" w:sz="0" w:space="0" w:color="auto"/>
                                        <w:bottom w:val="none" w:sz="0" w:space="0" w:color="auto"/>
                                        <w:right w:val="none" w:sz="0" w:space="0" w:color="auto"/>
                                      </w:divBdr>
                                      <w:divsChild>
                                        <w:div w:id="416362099">
                                          <w:marLeft w:val="0"/>
                                          <w:marRight w:val="0"/>
                                          <w:marTop w:val="0"/>
                                          <w:marBottom w:val="0"/>
                                          <w:divBdr>
                                            <w:top w:val="none" w:sz="0" w:space="0" w:color="auto"/>
                                            <w:left w:val="none" w:sz="0" w:space="0" w:color="auto"/>
                                            <w:bottom w:val="none" w:sz="0" w:space="0" w:color="auto"/>
                                            <w:right w:val="none" w:sz="0" w:space="0" w:color="auto"/>
                                          </w:divBdr>
                                          <w:divsChild>
                                            <w:div w:id="181498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789560">
                                  <w:marLeft w:val="0"/>
                                  <w:marRight w:val="0"/>
                                  <w:marTop w:val="0"/>
                                  <w:marBottom w:val="0"/>
                                  <w:divBdr>
                                    <w:top w:val="none" w:sz="0" w:space="0" w:color="auto"/>
                                    <w:left w:val="none" w:sz="0" w:space="0" w:color="auto"/>
                                    <w:bottom w:val="none" w:sz="0" w:space="0" w:color="auto"/>
                                    <w:right w:val="none" w:sz="0" w:space="0" w:color="auto"/>
                                  </w:divBdr>
                                  <w:divsChild>
                                    <w:div w:id="2074083704">
                                      <w:marLeft w:val="0"/>
                                      <w:marRight w:val="0"/>
                                      <w:marTop w:val="0"/>
                                      <w:marBottom w:val="0"/>
                                      <w:divBdr>
                                        <w:top w:val="none" w:sz="0" w:space="0" w:color="auto"/>
                                        <w:left w:val="none" w:sz="0" w:space="0" w:color="auto"/>
                                        <w:bottom w:val="none" w:sz="0" w:space="0" w:color="auto"/>
                                        <w:right w:val="none" w:sz="0" w:space="0" w:color="auto"/>
                                      </w:divBdr>
                                      <w:divsChild>
                                        <w:div w:id="1259482025">
                                          <w:marLeft w:val="0"/>
                                          <w:marRight w:val="0"/>
                                          <w:marTop w:val="0"/>
                                          <w:marBottom w:val="0"/>
                                          <w:divBdr>
                                            <w:top w:val="none" w:sz="0" w:space="0" w:color="auto"/>
                                            <w:left w:val="none" w:sz="0" w:space="0" w:color="auto"/>
                                            <w:bottom w:val="none" w:sz="0" w:space="0" w:color="auto"/>
                                            <w:right w:val="none" w:sz="0" w:space="0" w:color="auto"/>
                                          </w:divBdr>
                                          <w:divsChild>
                                            <w:div w:id="66501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523899">
                                  <w:marLeft w:val="0"/>
                                  <w:marRight w:val="0"/>
                                  <w:marTop w:val="0"/>
                                  <w:marBottom w:val="0"/>
                                  <w:divBdr>
                                    <w:top w:val="none" w:sz="0" w:space="0" w:color="auto"/>
                                    <w:left w:val="none" w:sz="0" w:space="0" w:color="auto"/>
                                    <w:bottom w:val="none" w:sz="0" w:space="0" w:color="auto"/>
                                    <w:right w:val="none" w:sz="0" w:space="0" w:color="auto"/>
                                  </w:divBdr>
                                  <w:divsChild>
                                    <w:div w:id="175311179">
                                      <w:marLeft w:val="0"/>
                                      <w:marRight w:val="0"/>
                                      <w:marTop w:val="0"/>
                                      <w:marBottom w:val="0"/>
                                      <w:divBdr>
                                        <w:top w:val="none" w:sz="0" w:space="0" w:color="auto"/>
                                        <w:left w:val="none" w:sz="0" w:space="0" w:color="auto"/>
                                        <w:bottom w:val="none" w:sz="0" w:space="0" w:color="auto"/>
                                        <w:right w:val="none" w:sz="0" w:space="0" w:color="auto"/>
                                      </w:divBdr>
                                      <w:divsChild>
                                        <w:div w:id="1361007465">
                                          <w:marLeft w:val="0"/>
                                          <w:marRight w:val="0"/>
                                          <w:marTop w:val="0"/>
                                          <w:marBottom w:val="0"/>
                                          <w:divBdr>
                                            <w:top w:val="none" w:sz="0" w:space="0" w:color="auto"/>
                                            <w:left w:val="none" w:sz="0" w:space="0" w:color="auto"/>
                                            <w:bottom w:val="none" w:sz="0" w:space="0" w:color="auto"/>
                                            <w:right w:val="none" w:sz="0" w:space="0" w:color="auto"/>
                                          </w:divBdr>
                                          <w:divsChild>
                                            <w:div w:id="142687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351113">
                                  <w:marLeft w:val="0"/>
                                  <w:marRight w:val="0"/>
                                  <w:marTop w:val="0"/>
                                  <w:marBottom w:val="0"/>
                                  <w:divBdr>
                                    <w:top w:val="none" w:sz="0" w:space="0" w:color="auto"/>
                                    <w:left w:val="none" w:sz="0" w:space="0" w:color="auto"/>
                                    <w:bottom w:val="none" w:sz="0" w:space="0" w:color="auto"/>
                                    <w:right w:val="none" w:sz="0" w:space="0" w:color="auto"/>
                                  </w:divBdr>
                                  <w:divsChild>
                                    <w:div w:id="1009678860">
                                      <w:marLeft w:val="0"/>
                                      <w:marRight w:val="0"/>
                                      <w:marTop w:val="0"/>
                                      <w:marBottom w:val="0"/>
                                      <w:divBdr>
                                        <w:top w:val="none" w:sz="0" w:space="0" w:color="auto"/>
                                        <w:left w:val="none" w:sz="0" w:space="0" w:color="auto"/>
                                        <w:bottom w:val="none" w:sz="0" w:space="0" w:color="auto"/>
                                        <w:right w:val="none" w:sz="0" w:space="0" w:color="auto"/>
                                      </w:divBdr>
                                      <w:divsChild>
                                        <w:div w:id="669870919">
                                          <w:marLeft w:val="0"/>
                                          <w:marRight w:val="0"/>
                                          <w:marTop w:val="0"/>
                                          <w:marBottom w:val="0"/>
                                          <w:divBdr>
                                            <w:top w:val="none" w:sz="0" w:space="0" w:color="auto"/>
                                            <w:left w:val="none" w:sz="0" w:space="0" w:color="auto"/>
                                            <w:bottom w:val="none" w:sz="0" w:space="0" w:color="auto"/>
                                            <w:right w:val="none" w:sz="0" w:space="0" w:color="auto"/>
                                          </w:divBdr>
                                          <w:divsChild>
                                            <w:div w:id="18902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7470962">
                          <w:marLeft w:val="0"/>
                          <w:marRight w:val="0"/>
                          <w:marTop w:val="0"/>
                          <w:marBottom w:val="0"/>
                          <w:divBdr>
                            <w:top w:val="none" w:sz="0" w:space="0" w:color="auto"/>
                            <w:left w:val="none" w:sz="0" w:space="0" w:color="auto"/>
                            <w:bottom w:val="none" w:sz="0" w:space="0" w:color="auto"/>
                            <w:right w:val="none" w:sz="0" w:space="0" w:color="auto"/>
                          </w:divBdr>
                          <w:divsChild>
                            <w:div w:id="730084038">
                              <w:marLeft w:val="0"/>
                              <w:marRight w:val="0"/>
                              <w:marTop w:val="0"/>
                              <w:marBottom w:val="0"/>
                              <w:divBdr>
                                <w:top w:val="none" w:sz="0" w:space="0" w:color="auto"/>
                                <w:left w:val="none" w:sz="0" w:space="0" w:color="auto"/>
                                <w:bottom w:val="none" w:sz="0" w:space="0" w:color="auto"/>
                                <w:right w:val="none" w:sz="0" w:space="0" w:color="auto"/>
                              </w:divBdr>
                              <w:divsChild>
                                <w:div w:id="1875341261">
                                  <w:marLeft w:val="0"/>
                                  <w:marRight w:val="0"/>
                                  <w:marTop w:val="0"/>
                                  <w:marBottom w:val="0"/>
                                  <w:divBdr>
                                    <w:top w:val="none" w:sz="0" w:space="0" w:color="auto"/>
                                    <w:left w:val="none" w:sz="0" w:space="0" w:color="auto"/>
                                    <w:bottom w:val="none" w:sz="0" w:space="0" w:color="auto"/>
                                    <w:right w:val="none" w:sz="0" w:space="0" w:color="auto"/>
                                  </w:divBdr>
                                  <w:divsChild>
                                    <w:div w:id="525213580">
                                      <w:marLeft w:val="0"/>
                                      <w:marRight w:val="0"/>
                                      <w:marTop w:val="0"/>
                                      <w:marBottom w:val="0"/>
                                      <w:divBdr>
                                        <w:top w:val="none" w:sz="0" w:space="0" w:color="auto"/>
                                        <w:left w:val="none" w:sz="0" w:space="0" w:color="auto"/>
                                        <w:bottom w:val="none" w:sz="0" w:space="0" w:color="auto"/>
                                        <w:right w:val="none" w:sz="0" w:space="0" w:color="auto"/>
                                      </w:divBdr>
                                    </w:div>
                                    <w:div w:id="81156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609339">
                              <w:marLeft w:val="0"/>
                              <w:marRight w:val="0"/>
                              <w:marTop w:val="0"/>
                              <w:marBottom w:val="0"/>
                              <w:divBdr>
                                <w:top w:val="none" w:sz="0" w:space="0" w:color="auto"/>
                                <w:left w:val="none" w:sz="0" w:space="0" w:color="auto"/>
                                <w:bottom w:val="none" w:sz="0" w:space="0" w:color="auto"/>
                                <w:right w:val="none" w:sz="0" w:space="0" w:color="auto"/>
                              </w:divBdr>
                              <w:divsChild>
                                <w:div w:id="628902698">
                                  <w:marLeft w:val="0"/>
                                  <w:marRight w:val="0"/>
                                  <w:marTop w:val="0"/>
                                  <w:marBottom w:val="0"/>
                                  <w:divBdr>
                                    <w:top w:val="none" w:sz="0" w:space="0" w:color="auto"/>
                                    <w:left w:val="none" w:sz="0" w:space="0" w:color="auto"/>
                                    <w:bottom w:val="none" w:sz="0" w:space="0" w:color="auto"/>
                                    <w:right w:val="none" w:sz="0" w:space="0" w:color="auto"/>
                                  </w:divBdr>
                                  <w:divsChild>
                                    <w:div w:id="2093622612">
                                      <w:marLeft w:val="0"/>
                                      <w:marRight w:val="0"/>
                                      <w:marTop w:val="0"/>
                                      <w:marBottom w:val="0"/>
                                      <w:divBdr>
                                        <w:top w:val="none" w:sz="0" w:space="0" w:color="auto"/>
                                        <w:left w:val="none" w:sz="0" w:space="0" w:color="auto"/>
                                        <w:bottom w:val="none" w:sz="0" w:space="0" w:color="auto"/>
                                        <w:right w:val="none" w:sz="0" w:space="0" w:color="auto"/>
                                      </w:divBdr>
                                    </w:div>
                                    <w:div w:id="151796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13802">
                              <w:marLeft w:val="0"/>
                              <w:marRight w:val="0"/>
                              <w:marTop w:val="0"/>
                              <w:marBottom w:val="0"/>
                              <w:divBdr>
                                <w:top w:val="none" w:sz="0" w:space="0" w:color="auto"/>
                                <w:left w:val="none" w:sz="0" w:space="0" w:color="auto"/>
                                <w:bottom w:val="none" w:sz="0" w:space="0" w:color="auto"/>
                                <w:right w:val="none" w:sz="0" w:space="0" w:color="auto"/>
                              </w:divBdr>
                              <w:divsChild>
                                <w:div w:id="681855770">
                                  <w:marLeft w:val="0"/>
                                  <w:marRight w:val="0"/>
                                  <w:marTop w:val="0"/>
                                  <w:marBottom w:val="0"/>
                                  <w:divBdr>
                                    <w:top w:val="none" w:sz="0" w:space="0" w:color="auto"/>
                                    <w:left w:val="none" w:sz="0" w:space="0" w:color="auto"/>
                                    <w:bottom w:val="none" w:sz="0" w:space="0" w:color="auto"/>
                                    <w:right w:val="none" w:sz="0" w:space="0" w:color="auto"/>
                                  </w:divBdr>
                                  <w:divsChild>
                                    <w:div w:id="192695640">
                                      <w:marLeft w:val="0"/>
                                      <w:marRight w:val="0"/>
                                      <w:marTop w:val="0"/>
                                      <w:marBottom w:val="0"/>
                                      <w:divBdr>
                                        <w:top w:val="none" w:sz="0" w:space="0" w:color="auto"/>
                                        <w:left w:val="none" w:sz="0" w:space="0" w:color="auto"/>
                                        <w:bottom w:val="none" w:sz="0" w:space="0" w:color="auto"/>
                                        <w:right w:val="none" w:sz="0" w:space="0" w:color="auto"/>
                                      </w:divBdr>
                                    </w:div>
                                    <w:div w:id="58414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8559">
                              <w:marLeft w:val="0"/>
                              <w:marRight w:val="0"/>
                              <w:marTop w:val="0"/>
                              <w:marBottom w:val="0"/>
                              <w:divBdr>
                                <w:top w:val="none" w:sz="0" w:space="0" w:color="auto"/>
                                <w:left w:val="none" w:sz="0" w:space="0" w:color="auto"/>
                                <w:bottom w:val="none" w:sz="0" w:space="0" w:color="auto"/>
                                <w:right w:val="none" w:sz="0" w:space="0" w:color="auto"/>
                              </w:divBdr>
                              <w:divsChild>
                                <w:div w:id="1117410451">
                                  <w:marLeft w:val="0"/>
                                  <w:marRight w:val="0"/>
                                  <w:marTop w:val="0"/>
                                  <w:marBottom w:val="0"/>
                                  <w:divBdr>
                                    <w:top w:val="none" w:sz="0" w:space="0" w:color="auto"/>
                                    <w:left w:val="none" w:sz="0" w:space="0" w:color="auto"/>
                                    <w:bottom w:val="none" w:sz="0" w:space="0" w:color="auto"/>
                                    <w:right w:val="none" w:sz="0" w:space="0" w:color="auto"/>
                                  </w:divBdr>
                                  <w:divsChild>
                                    <w:div w:id="874391252">
                                      <w:marLeft w:val="0"/>
                                      <w:marRight w:val="0"/>
                                      <w:marTop w:val="0"/>
                                      <w:marBottom w:val="0"/>
                                      <w:divBdr>
                                        <w:top w:val="none" w:sz="0" w:space="0" w:color="auto"/>
                                        <w:left w:val="none" w:sz="0" w:space="0" w:color="auto"/>
                                        <w:bottom w:val="none" w:sz="0" w:space="0" w:color="auto"/>
                                        <w:right w:val="none" w:sz="0" w:space="0" w:color="auto"/>
                                      </w:divBdr>
                                    </w:div>
                                    <w:div w:id="160695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339451">
                              <w:marLeft w:val="0"/>
                              <w:marRight w:val="0"/>
                              <w:marTop w:val="0"/>
                              <w:marBottom w:val="0"/>
                              <w:divBdr>
                                <w:top w:val="none" w:sz="0" w:space="0" w:color="auto"/>
                                <w:left w:val="none" w:sz="0" w:space="0" w:color="auto"/>
                                <w:bottom w:val="none" w:sz="0" w:space="0" w:color="auto"/>
                                <w:right w:val="none" w:sz="0" w:space="0" w:color="auto"/>
                              </w:divBdr>
                              <w:divsChild>
                                <w:div w:id="66849763">
                                  <w:marLeft w:val="0"/>
                                  <w:marRight w:val="0"/>
                                  <w:marTop w:val="0"/>
                                  <w:marBottom w:val="0"/>
                                  <w:divBdr>
                                    <w:top w:val="none" w:sz="0" w:space="0" w:color="auto"/>
                                    <w:left w:val="none" w:sz="0" w:space="0" w:color="auto"/>
                                    <w:bottom w:val="none" w:sz="0" w:space="0" w:color="auto"/>
                                    <w:right w:val="none" w:sz="0" w:space="0" w:color="auto"/>
                                  </w:divBdr>
                                  <w:divsChild>
                                    <w:div w:id="686712358">
                                      <w:marLeft w:val="0"/>
                                      <w:marRight w:val="0"/>
                                      <w:marTop w:val="0"/>
                                      <w:marBottom w:val="0"/>
                                      <w:divBdr>
                                        <w:top w:val="none" w:sz="0" w:space="0" w:color="auto"/>
                                        <w:left w:val="none" w:sz="0" w:space="0" w:color="auto"/>
                                        <w:bottom w:val="none" w:sz="0" w:space="0" w:color="auto"/>
                                        <w:right w:val="none" w:sz="0" w:space="0" w:color="auto"/>
                                      </w:divBdr>
                                    </w:div>
                                    <w:div w:id="8627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08031">
                              <w:marLeft w:val="0"/>
                              <w:marRight w:val="0"/>
                              <w:marTop w:val="0"/>
                              <w:marBottom w:val="0"/>
                              <w:divBdr>
                                <w:top w:val="none" w:sz="0" w:space="0" w:color="auto"/>
                                <w:left w:val="none" w:sz="0" w:space="0" w:color="auto"/>
                                <w:bottom w:val="none" w:sz="0" w:space="0" w:color="auto"/>
                                <w:right w:val="none" w:sz="0" w:space="0" w:color="auto"/>
                              </w:divBdr>
                              <w:divsChild>
                                <w:div w:id="1592619925">
                                  <w:marLeft w:val="0"/>
                                  <w:marRight w:val="0"/>
                                  <w:marTop w:val="0"/>
                                  <w:marBottom w:val="0"/>
                                  <w:divBdr>
                                    <w:top w:val="none" w:sz="0" w:space="0" w:color="auto"/>
                                    <w:left w:val="none" w:sz="0" w:space="0" w:color="auto"/>
                                    <w:bottom w:val="none" w:sz="0" w:space="0" w:color="auto"/>
                                    <w:right w:val="none" w:sz="0" w:space="0" w:color="auto"/>
                                  </w:divBdr>
                                  <w:divsChild>
                                    <w:div w:id="757798267">
                                      <w:marLeft w:val="0"/>
                                      <w:marRight w:val="0"/>
                                      <w:marTop w:val="0"/>
                                      <w:marBottom w:val="0"/>
                                      <w:divBdr>
                                        <w:top w:val="none" w:sz="0" w:space="0" w:color="auto"/>
                                        <w:left w:val="none" w:sz="0" w:space="0" w:color="auto"/>
                                        <w:bottom w:val="none" w:sz="0" w:space="0" w:color="auto"/>
                                        <w:right w:val="none" w:sz="0" w:space="0" w:color="auto"/>
                                      </w:divBdr>
                                    </w:div>
                                    <w:div w:id="132424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597376">
                              <w:marLeft w:val="0"/>
                              <w:marRight w:val="0"/>
                              <w:marTop w:val="0"/>
                              <w:marBottom w:val="0"/>
                              <w:divBdr>
                                <w:top w:val="none" w:sz="0" w:space="0" w:color="auto"/>
                                <w:left w:val="none" w:sz="0" w:space="0" w:color="auto"/>
                                <w:bottom w:val="none" w:sz="0" w:space="0" w:color="auto"/>
                                <w:right w:val="none" w:sz="0" w:space="0" w:color="auto"/>
                              </w:divBdr>
                              <w:divsChild>
                                <w:div w:id="430974145">
                                  <w:marLeft w:val="0"/>
                                  <w:marRight w:val="0"/>
                                  <w:marTop w:val="0"/>
                                  <w:marBottom w:val="0"/>
                                  <w:divBdr>
                                    <w:top w:val="none" w:sz="0" w:space="0" w:color="auto"/>
                                    <w:left w:val="none" w:sz="0" w:space="0" w:color="auto"/>
                                    <w:bottom w:val="none" w:sz="0" w:space="0" w:color="auto"/>
                                    <w:right w:val="none" w:sz="0" w:space="0" w:color="auto"/>
                                  </w:divBdr>
                                  <w:divsChild>
                                    <w:div w:id="2029674275">
                                      <w:marLeft w:val="0"/>
                                      <w:marRight w:val="0"/>
                                      <w:marTop w:val="0"/>
                                      <w:marBottom w:val="0"/>
                                      <w:divBdr>
                                        <w:top w:val="none" w:sz="0" w:space="0" w:color="auto"/>
                                        <w:left w:val="none" w:sz="0" w:space="0" w:color="auto"/>
                                        <w:bottom w:val="none" w:sz="0" w:space="0" w:color="auto"/>
                                        <w:right w:val="none" w:sz="0" w:space="0" w:color="auto"/>
                                      </w:divBdr>
                                    </w:div>
                                    <w:div w:id="162504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89345">
                              <w:marLeft w:val="0"/>
                              <w:marRight w:val="0"/>
                              <w:marTop w:val="0"/>
                              <w:marBottom w:val="0"/>
                              <w:divBdr>
                                <w:top w:val="none" w:sz="0" w:space="0" w:color="auto"/>
                                <w:left w:val="none" w:sz="0" w:space="0" w:color="auto"/>
                                <w:bottom w:val="none" w:sz="0" w:space="0" w:color="auto"/>
                                <w:right w:val="none" w:sz="0" w:space="0" w:color="auto"/>
                              </w:divBdr>
                              <w:divsChild>
                                <w:div w:id="692852071">
                                  <w:marLeft w:val="0"/>
                                  <w:marRight w:val="0"/>
                                  <w:marTop w:val="0"/>
                                  <w:marBottom w:val="0"/>
                                  <w:divBdr>
                                    <w:top w:val="none" w:sz="0" w:space="0" w:color="auto"/>
                                    <w:left w:val="none" w:sz="0" w:space="0" w:color="auto"/>
                                    <w:bottom w:val="none" w:sz="0" w:space="0" w:color="auto"/>
                                    <w:right w:val="none" w:sz="0" w:space="0" w:color="auto"/>
                                  </w:divBdr>
                                  <w:divsChild>
                                    <w:div w:id="610667102">
                                      <w:marLeft w:val="0"/>
                                      <w:marRight w:val="0"/>
                                      <w:marTop w:val="0"/>
                                      <w:marBottom w:val="0"/>
                                      <w:divBdr>
                                        <w:top w:val="none" w:sz="0" w:space="0" w:color="auto"/>
                                        <w:left w:val="none" w:sz="0" w:space="0" w:color="auto"/>
                                        <w:bottom w:val="none" w:sz="0" w:space="0" w:color="auto"/>
                                        <w:right w:val="none" w:sz="0" w:space="0" w:color="auto"/>
                                      </w:divBdr>
                                    </w:div>
                                    <w:div w:id="66003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08598">
                              <w:marLeft w:val="0"/>
                              <w:marRight w:val="0"/>
                              <w:marTop w:val="0"/>
                              <w:marBottom w:val="0"/>
                              <w:divBdr>
                                <w:top w:val="none" w:sz="0" w:space="0" w:color="auto"/>
                                <w:left w:val="none" w:sz="0" w:space="0" w:color="auto"/>
                                <w:bottom w:val="none" w:sz="0" w:space="0" w:color="auto"/>
                                <w:right w:val="none" w:sz="0" w:space="0" w:color="auto"/>
                              </w:divBdr>
                              <w:divsChild>
                                <w:div w:id="1497763862">
                                  <w:marLeft w:val="0"/>
                                  <w:marRight w:val="0"/>
                                  <w:marTop w:val="0"/>
                                  <w:marBottom w:val="0"/>
                                  <w:divBdr>
                                    <w:top w:val="none" w:sz="0" w:space="0" w:color="auto"/>
                                    <w:left w:val="none" w:sz="0" w:space="0" w:color="auto"/>
                                    <w:bottom w:val="none" w:sz="0" w:space="0" w:color="auto"/>
                                    <w:right w:val="none" w:sz="0" w:space="0" w:color="auto"/>
                                  </w:divBdr>
                                  <w:divsChild>
                                    <w:div w:id="1336764414">
                                      <w:marLeft w:val="0"/>
                                      <w:marRight w:val="0"/>
                                      <w:marTop w:val="0"/>
                                      <w:marBottom w:val="0"/>
                                      <w:divBdr>
                                        <w:top w:val="none" w:sz="0" w:space="0" w:color="auto"/>
                                        <w:left w:val="none" w:sz="0" w:space="0" w:color="auto"/>
                                        <w:bottom w:val="none" w:sz="0" w:space="0" w:color="auto"/>
                                        <w:right w:val="none" w:sz="0" w:space="0" w:color="auto"/>
                                      </w:divBdr>
                                    </w:div>
                                    <w:div w:id="50890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33719">
                              <w:marLeft w:val="0"/>
                              <w:marRight w:val="0"/>
                              <w:marTop w:val="0"/>
                              <w:marBottom w:val="0"/>
                              <w:divBdr>
                                <w:top w:val="none" w:sz="0" w:space="0" w:color="auto"/>
                                <w:left w:val="none" w:sz="0" w:space="0" w:color="auto"/>
                                <w:bottom w:val="none" w:sz="0" w:space="0" w:color="auto"/>
                                <w:right w:val="none" w:sz="0" w:space="0" w:color="auto"/>
                              </w:divBdr>
                              <w:divsChild>
                                <w:div w:id="1695229700">
                                  <w:marLeft w:val="0"/>
                                  <w:marRight w:val="0"/>
                                  <w:marTop w:val="0"/>
                                  <w:marBottom w:val="0"/>
                                  <w:divBdr>
                                    <w:top w:val="none" w:sz="0" w:space="0" w:color="auto"/>
                                    <w:left w:val="none" w:sz="0" w:space="0" w:color="auto"/>
                                    <w:bottom w:val="none" w:sz="0" w:space="0" w:color="auto"/>
                                    <w:right w:val="none" w:sz="0" w:space="0" w:color="auto"/>
                                  </w:divBdr>
                                  <w:divsChild>
                                    <w:div w:id="271523890">
                                      <w:marLeft w:val="0"/>
                                      <w:marRight w:val="0"/>
                                      <w:marTop w:val="0"/>
                                      <w:marBottom w:val="0"/>
                                      <w:divBdr>
                                        <w:top w:val="none" w:sz="0" w:space="0" w:color="auto"/>
                                        <w:left w:val="none" w:sz="0" w:space="0" w:color="auto"/>
                                        <w:bottom w:val="none" w:sz="0" w:space="0" w:color="auto"/>
                                        <w:right w:val="none" w:sz="0" w:space="0" w:color="auto"/>
                                      </w:divBdr>
                                    </w:div>
                                    <w:div w:id="41019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83097">
                              <w:marLeft w:val="0"/>
                              <w:marRight w:val="0"/>
                              <w:marTop w:val="0"/>
                              <w:marBottom w:val="0"/>
                              <w:divBdr>
                                <w:top w:val="none" w:sz="0" w:space="0" w:color="auto"/>
                                <w:left w:val="none" w:sz="0" w:space="0" w:color="auto"/>
                                <w:bottom w:val="none" w:sz="0" w:space="0" w:color="auto"/>
                                <w:right w:val="none" w:sz="0" w:space="0" w:color="auto"/>
                              </w:divBdr>
                              <w:divsChild>
                                <w:div w:id="481965466">
                                  <w:marLeft w:val="0"/>
                                  <w:marRight w:val="0"/>
                                  <w:marTop w:val="0"/>
                                  <w:marBottom w:val="0"/>
                                  <w:divBdr>
                                    <w:top w:val="none" w:sz="0" w:space="0" w:color="auto"/>
                                    <w:left w:val="none" w:sz="0" w:space="0" w:color="auto"/>
                                    <w:bottom w:val="none" w:sz="0" w:space="0" w:color="auto"/>
                                    <w:right w:val="none" w:sz="0" w:space="0" w:color="auto"/>
                                  </w:divBdr>
                                  <w:divsChild>
                                    <w:div w:id="1523206659">
                                      <w:marLeft w:val="0"/>
                                      <w:marRight w:val="0"/>
                                      <w:marTop w:val="0"/>
                                      <w:marBottom w:val="0"/>
                                      <w:divBdr>
                                        <w:top w:val="none" w:sz="0" w:space="0" w:color="auto"/>
                                        <w:left w:val="none" w:sz="0" w:space="0" w:color="auto"/>
                                        <w:bottom w:val="none" w:sz="0" w:space="0" w:color="auto"/>
                                        <w:right w:val="none" w:sz="0" w:space="0" w:color="auto"/>
                                      </w:divBdr>
                                    </w:div>
                                    <w:div w:id="99492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962359">
                              <w:marLeft w:val="0"/>
                              <w:marRight w:val="0"/>
                              <w:marTop w:val="0"/>
                              <w:marBottom w:val="0"/>
                              <w:divBdr>
                                <w:top w:val="none" w:sz="0" w:space="0" w:color="auto"/>
                                <w:left w:val="none" w:sz="0" w:space="0" w:color="auto"/>
                                <w:bottom w:val="none" w:sz="0" w:space="0" w:color="auto"/>
                                <w:right w:val="none" w:sz="0" w:space="0" w:color="auto"/>
                              </w:divBdr>
                              <w:divsChild>
                                <w:div w:id="229967764">
                                  <w:marLeft w:val="0"/>
                                  <w:marRight w:val="0"/>
                                  <w:marTop w:val="0"/>
                                  <w:marBottom w:val="0"/>
                                  <w:divBdr>
                                    <w:top w:val="none" w:sz="0" w:space="0" w:color="auto"/>
                                    <w:left w:val="none" w:sz="0" w:space="0" w:color="auto"/>
                                    <w:bottom w:val="none" w:sz="0" w:space="0" w:color="auto"/>
                                    <w:right w:val="none" w:sz="0" w:space="0" w:color="auto"/>
                                  </w:divBdr>
                                  <w:divsChild>
                                    <w:div w:id="1491216988">
                                      <w:marLeft w:val="0"/>
                                      <w:marRight w:val="0"/>
                                      <w:marTop w:val="0"/>
                                      <w:marBottom w:val="0"/>
                                      <w:divBdr>
                                        <w:top w:val="none" w:sz="0" w:space="0" w:color="auto"/>
                                        <w:left w:val="none" w:sz="0" w:space="0" w:color="auto"/>
                                        <w:bottom w:val="none" w:sz="0" w:space="0" w:color="auto"/>
                                        <w:right w:val="none" w:sz="0" w:space="0" w:color="auto"/>
                                      </w:divBdr>
                                    </w:div>
                                    <w:div w:id="13298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73940">
                              <w:marLeft w:val="0"/>
                              <w:marRight w:val="0"/>
                              <w:marTop w:val="0"/>
                              <w:marBottom w:val="0"/>
                              <w:divBdr>
                                <w:top w:val="none" w:sz="0" w:space="0" w:color="auto"/>
                                <w:left w:val="none" w:sz="0" w:space="0" w:color="auto"/>
                                <w:bottom w:val="none" w:sz="0" w:space="0" w:color="auto"/>
                                <w:right w:val="none" w:sz="0" w:space="0" w:color="auto"/>
                              </w:divBdr>
                              <w:divsChild>
                                <w:div w:id="248463851">
                                  <w:marLeft w:val="0"/>
                                  <w:marRight w:val="0"/>
                                  <w:marTop w:val="0"/>
                                  <w:marBottom w:val="0"/>
                                  <w:divBdr>
                                    <w:top w:val="none" w:sz="0" w:space="0" w:color="auto"/>
                                    <w:left w:val="none" w:sz="0" w:space="0" w:color="auto"/>
                                    <w:bottom w:val="none" w:sz="0" w:space="0" w:color="auto"/>
                                    <w:right w:val="none" w:sz="0" w:space="0" w:color="auto"/>
                                  </w:divBdr>
                                  <w:divsChild>
                                    <w:div w:id="2138520947">
                                      <w:marLeft w:val="0"/>
                                      <w:marRight w:val="0"/>
                                      <w:marTop w:val="0"/>
                                      <w:marBottom w:val="0"/>
                                      <w:divBdr>
                                        <w:top w:val="none" w:sz="0" w:space="0" w:color="auto"/>
                                        <w:left w:val="none" w:sz="0" w:space="0" w:color="auto"/>
                                        <w:bottom w:val="none" w:sz="0" w:space="0" w:color="auto"/>
                                        <w:right w:val="none" w:sz="0" w:space="0" w:color="auto"/>
                                      </w:divBdr>
                                    </w:div>
                                    <w:div w:id="887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864763">
                              <w:marLeft w:val="0"/>
                              <w:marRight w:val="0"/>
                              <w:marTop w:val="0"/>
                              <w:marBottom w:val="0"/>
                              <w:divBdr>
                                <w:top w:val="none" w:sz="0" w:space="0" w:color="auto"/>
                                <w:left w:val="none" w:sz="0" w:space="0" w:color="auto"/>
                                <w:bottom w:val="none" w:sz="0" w:space="0" w:color="auto"/>
                                <w:right w:val="none" w:sz="0" w:space="0" w:color="auto"/>
                              </w:divBdr>
                              <w:divsChild>
                                <w:div w:id="1379010149">
                                  <w:marLeft w:val="0"/>
                                  <w:marRight w:val="0"/>
                                  <w:marTop w:val="0"/>
                                  <w:marBottom w:val="0"/>
                                  <w:divBdr>
                                    <w:top w:val="none" w:sz="0" w:space="0" w:color="auto"/>
                                    <w:left w:val="none" w:sz="0" w:space="0" w:color="auto"/>
                                    <w:bottom w:val="none" w:sz="0" w:space="0" w:color="auto"/>
                                    <w:right w:val="none" w:sz="0" w:space="0" w:color="auto"/>
                                  </w:divBdr>
                                  <w:divsChild>
                                    <w:div w:id="82603937">
                                      <w:marLeft w:val="0"/>
                                      <w:marRight w:val="0"/>
                                      <w:marTop w:val="0"/>
                                      <w:marBottom w:val="0"/>
                                      <w:divBdr>
                                        <w:top w:val="none" w:sz="0" w:space="0" w:color="auto"/>
                                        <w:left w:val="none" w:sz="0" w:space="0" w:color="auto"/>
                                        <w:bottom w:val="none" w:sz="0" w:space="0" w:color="auto"/>
                                        <w:right w:val="none" w:sz="0" w:space="0" w:color="auto"/>
                                      </w:divBdr>
                                    </w:div>
                                    <w:div w:id="89477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077099">
                              <w:marLeft w:val="0"/>
                              <w:marRight w:val="0"/>
                              <w:marTop w:val="0"/>
                              <w:marBottom w:val="0"/>
                              <w:divBdr>
                                <w:top w:val="none" w:sz="0" w:space="0" w:color="auto"/>
                                <w:left w:val="none" w:sz="0" w:space="0" w:color="auto"/>
                                <w:bottom w:val="none" w:sz="0" w:space="0" w:color="auto"/>
                                <w:right w:val="none" w:sz="0" w:space="0" w:color="auto"/>
                              </w:divBdr>
                              <w:divsChild>
                                <w:div w:id="1193228867">
                                  <w:marLeft w:val="0"/>
                                  <w:marRight w:val="0"/>
                                  <w:marTop w:val="0"/>
                                  <w:marBottom w:val="0"/>
                                  <w:divBdr>
                                    <w:top w:val="none" w:sz="0" w:space="0" w:color="auto"/>
                                    <w:left w:val="none" w:sz="0" w:space="0" w:color="auto"/>
                                    <w:bottom w:val="none" w:sz="0" w:space="0" w:color="auto"/>
                                    <w:right w:val="none" w:sz="0" w:space="0" w:color="auto"/>
                                  </w:divBdr>
                                  <w:divsChild>
                                    <w:div w:id="1905526236">
                                      <w:marLeft w:val="0"/>
                                      <w:marRight w:val="0"/>
                                      <w:marTop w:val="0"/>
                                      <w:marBottom w:val="0"/>
                                      <w:divBdr>
                                        <w:top w:val="none" w:sz="0" w:space="0" w:color="auto"/>
                                        <w:left w:val="none" w:sz="0" w:space="0" w:color="auto"/>
                                        <w:bottom w:val="none" w:sz="0" w:space="0" w:color="auto"/>
                                        <w:right w:val="none" w:sz="0" w:space="0" w:color="auto"/>
                                      </w:divBdr>
                                    </w:div>
                                    <w:div w:id="48374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462771">
                              <w:marLeft w:val="0"/>
                              <w:marRight w:val="0"/>
                              <w:marTop w:val="0"/>
                              <w:marBottom w:val="0"/>
                              <w:divBdr>
                                <w:top w:val="none" w:sz="0" w:space="0" w:color="auto"/>
                                <w:left w:val="none" w:sz="0" w:space="0" w:color="auto"/>
                                <w:bottom w:val="none" w:sz="0" w:space="0" w:color="auto"/>
                                <w:right w:val="none" w:sz="0" w:space="0" w:color="auto"/>
                              </w:divBdr>
                              <w:divsChild>
                                <w:div w:id="672533320">
                                  <w:marLeft w:val="0"/>
                                  <w:marRight w:val="0"/>
                                  <w:marTop w:val="0"/>
                                  <w:marBottom w:val="0"/>
                                  <w:divBdr>
                                    <w:top w:val="none" w:sz="0" w:space="0" w:color="auto"/>
                                    <w:left w:val="none" w:sz="0" w:space="0" w:color="auto"/>
                                    <w:bottom w:val="none" w:sz="0" w:space="0" w:color="auto"/>
                                    <w:right w:val="none" w:sz="0" w:space="0" w:color="auto"/>
                                  </w:divBdr>
                                  <w:divsChild>
                                    <w:div w:id="1300964286">
                                      <w:marLeft w:val="0"/>
                                      <w:marRight w:val="0"/>
                                      <w:marTop w:val="0"/>
                                      <w:marBottom w:val="0"/>
                                      <w:divBdr>
                                        <w:top w:val="none" w:sz="0" w:space="0" w:color="auto"/>
                                        <w:left w:val="none" w:sz="0" w:space="0" w:color="auto"/>
                                        <w:bottom w:val="none" w:sz="0" w:space="0" w:color="auto"/>
                                        <w:right w:val="none" w:sz="0" w:space="0" w:color="auto"/>
                                      </w:divBdr>
                                    </w:div>
                                    <w:div w:id="16577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3757">
                              <w:marLeft w:val="0"/>
                              <w:marRight w:val="0"/>
                              <w:marTop w:val="0"/>
                              <w:marBottom w:val="0"/>
                              <w:divBdr>
                                <w:top w:val="none" w:sz="0" w:space="0" w:color="auto"/>
                                <w:left w:val="none" w:sz="0" w:space="0" w:color="auto"/>
                                <w:bottom w:val="none" w:sz="0" w:space="0" w:color="auto"/>
                                <w:right w:val="none" w:sz="0" w:space="0" w:color="auto"/>
                              </w:divBdr>
                              <w:divsChild>
                                <w:div w:id="867372909">
                                  <w:marLeft w:val="0"/>
                                  <w:marRight w:val="0"/>
                                  <w:marTop w:val="0"/>
                                  <w:marBottom w:val="0"/>
                                  <w:divBdr>
                                    <w:top w:val="none" w:sz="0" w:space="0" w:color="auto"/>
                                    <w:left w:val="none" w:sz="0" w:space="0" w:color="auto"/>
                                    <w:bottom w:val="none" w:sz="0" w:space="0" w:color="auto"/>
                                    <w:right w:val="none" w:sz="0" w:space="0" w:color="auto"/>
                                  </w:divBdr>
                                  <w:divsChild>
                                    <w:div w:id="560755300">
                                      <w:marLeft w:val="0"/>
                                      <w:marRight w:val="0"/>
                                      <w:marTop w:val="0"/>
                                      <w:marBottom w:val="0"/>
                                      <w:divBdr>
                                        <w:top w:val="none" w:sz="0" w:space="0" w:color="auto"/>
                                        <w:left w:val="none" w:sz="0" w:space="0" w:color="auto"/>
                                        <w:bottom w:val="none" w:sz="0" w:space="0" w:color="auto"/>
                                        <w:right w:val="none" w:sz="0" w:space="0" w:color="auto"/>
                                      </w:divBdr>
                                    </w:div>
                                    <w:div w:id="49102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199075">
                              <w:marLeft w:val="0"/>
                              <w:marRight w:val="0"/>
                              <w:marTop w:val="0"/>
                              <w:marBottom w:val="0"/>
                              <w:divBdr>
                                <w:top w:val="none" w:sz="0" w:space="0" w:color="auto"/>
                                <w:left w:val="none" w:sz="0" w:space="0" w:color="auto"/>
                                <w:bottom w:val="none" w:sz="0" w:space="0" w:color="auto"/>
                                <w:right w:val="none" w:sz="0" w:space="0" w:color="auto"/>
                              </w:divBdr>
                              <w:divsChild>
                                <w:div w:id="1893536598">
                                  <w:marLeft w:val="0"/>
                                  <w:marRight w:val="0"/>
                                  <w:marTop w:val="0"/>
                                  <w:marBottom w:val="0"/>
                                  <w:divBdr>
                                    <w:top w:val="none" w:sz="0" w:space="0" w:color="auto"/>
                                    <w:left w:val="none" w:sz="0" w:space="0" w:color="auto"/>
                                    <w:bottom w:val="none" w:sz="0" w:space="0" w:color="auto"/>
                                    <w:right w:val="none" w:sz="0" w:space="0" w:color="auto"/>
                                  </w:divBdr>
                                  <w:divsChild>
                                    <w:div w:id="1766612701">
                                      <w:marLeft w:val="0"/>
                                      <w:marRight w:val="0"/>
                                      <w:marTop w:val="0"/>
                                      <w:marBottom w:val="0"/>
                                      <w:divBdr>
                                        <w:top w:val="none" w:sz="0" w:space="0" w:color="auto"/>
                                        <w:left w:val="none" w:sz="0" w:space="0" w:color="auto"/>
                                        <w:bottom w:val="none" w:sz="0" w:space="0" w:color="auto"/>
                                        <w:right w:val="none" w:sz="0" w:space="0" w:color="auto"/>
                                      </w:divBdr>
                                    </w:div>
                                    <w:div w:id="71867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58753">
                              <w:marLeft w:val="0"/>
                              <w:marRight w:val="0"/>
                              <w:marTop w:val="0"/>
                              <w:marBottom w:val="0"/>
                              <w:divBdr>
                                <w:top w:val="none" w:sz="0" w:space="0" w:color="auto"/>
                                <w:left w:val="none" w:sz="0" w:space="0" w:color="auto"/>
                                <w:bottom w:val="none" w:sz="0" w:space="0" w:color="auto"/>
                                <w:right w:val="none" w:sz="0" w:space="0" w:color="auto"/>
                              </w:divBdr>
                              <w:divsChild>
                                <w:div w:id="2058969485">
                                  <w:marLeft w:val="0"/>
                                  <w:marRight w:val="0"/>
                                  <w:marTop w:val="0"/>
                                  <w:marBottom w:val="0"/>
                                  <w:divBdr>
                                    <w:top w:val="none" w:sz="0" w:space="0" w:color="auto"/>
                                    <w:left w:val="none" w:sz="0" w:space="0" w:color="auto"/>
                                    <w:bottom w:val="none" w:sz="0" w:space="0" w:color="auto"/>
                                    <w:right w:val="none" w:sz="0" w:space="0" w:color="auto"/>
                                  </w:divBdr>
                                  <w:divsChild>
                                    <w:div w:id="560214012">
                                      <w:marLeft w:val="0"/>
                                      <w:marRight w:val="0"/>
                                      <w:marTop w:val="0"/>
                                      <w:marBottom w:val="0"/>
                                      <w:divBdr>
                                        <w:top w:val="none" w:sz="0" w:space="0" w:color="auto"/>
                                        <w:left w:val="none" w:sz="0" w:space="0" w:color="auto"/>
                                        <w:bottom w:val="none" w:sz="0" w:space="0" w:color="auto"/>
                                        <w:right w:val="none" w:sz="0" w:space="0" w:color="auto"/>
                                      </w:divBdr>
                                    </w:div>
                                    <w:div w:id="158888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198169">
                              <w:marLeft w:val="0"/>
                              <w:marRight w:val="0"/>
                              <w:marTop w:val="0"/>
                              <w:marBottom w:val="0"/>
                              <w:divBdr>
                                <w:top w:val="none" w:sz="0" w:space="0" w:color="auto"/>
                                <w:left w:val="none" w:sz="0" w:space="0" w:color="auto"/>
                                <w:bottom w:val="none" w:sz="0" w:space="0" w:color="auto"/>
                                <w:right w:val="none" w:sz="0" w:space="0" w:color="auto"/>
                              </w:divBdr>
                              <w:divsChild>
                                <w:div w:id="97870810">
                                  <w:marLeft w:val="0"/>
                                  <w:marRight w:val="0"/>
                                  <w:marTop w:val="0"/>
                                  <w:marBottom w:val="0"/>
                                  <w:divBdr>
                                    <w:top w:val="none" w:sz="0" w:space="0" w:color="auto"/>
                                    <w:left w:val="none" w:sz="0" w:space="0" w:color="auto"/>
                                    <w:bottom w:val="none" w:sz="0" w:space="0" w:color="auto"/>
                                    <w:right w:val="none" w:sz="0" w:space="0" w:color="auto"/>
                                  </w:divBdr>
                                  <w:divsChild>
                                    <w:div w:id="1984039857">
                                      <w:marLeft w:val="0"/>
                                      <w:marRight w:val="0"/>
                                      <w:marTop w:val="0"/>
                                      <w:marBottom w:val="0"/>
                                      <w:divBdr>
                                        <w:top w:val="none" w:sz="0" w:space="0" w:color="auto"/>
                                        <w:left w:val="none" w:sz="0" w:space="0" w:color="auto"/>
                                        <w:bottom w:val="none" w:sz="0" w:space="0" w:color="auto"/>
                                        <w:right w:val="none" w:sz="0" w:space="0" w:color="auto"/>
                                      </w:divBdr>
                                    </w:div>
                                    <w:div w:id="204551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361137">
                              <w:marLeft w:val="0"/>
                              <w:marRight w:val="0"/>
                              <w:marTop w:val="0"/>
                              <w:marBottom w:val="0"/>
                              <w:divBdr>
                                <w:top w:val="none" w:sz="0" w:space="0" w:color="auto"/>
                                <w:left w:val="none" w:sz="0" w:space="0" w:color="auto"/>
                                <w:bottom w:val="none" w:sz="0" w:space="0" w:color="auto"/>
                                <w:right w:val="none" w:sz="0" w:space="0" w:color="auto"/>
                              </w:divBdr>
                              <w:divsChild>
                                <w:div w:id="477961803">
                                  <w:marLeft w:val="0"/>
                                  <w:marRight w:val="0"/>
                                  <w:marTop w:val="0"/>
                                  <w:marBottom w:val="0"/>
                                  <w:divBdr>
                                    <w:top w:val="none" w:sz="0" w:space="0" w:color="auto"/>
                                    <w:left w:val="none" w:sz="0" w:space="0" w:color="auto"/>
                                    <w:bottom w:val="none" w:sz="0" w:space="0" w:color="auto"/>
                                    <w:right w:val="none" w:sz="0" w:space="0" w:color="auto"/>
                                  </w:divBdr>
                                  <w:divsChild>
                                    <w:div w:id="550968697">
                                      <w:marLeft w:val="0"/>
                                      <w:marRight w:val="0"/>
                                      <w:marTop w:val="0"/>
                                      <w:marBottom w:val="0"/>
                                      <w:divBdr>
                                        <w:top w:val="none" w:sz="0" w:space="0" w:color="auto"/>
                                        <w:left w:val="none" w:sz="0" w:space="0" w:color="auto"/>
                                        <w:bottom w:val="none" w:sz="0" w:space="0" w:color="auto"/>
                                        <w:right w:val="none" w:sz="0" w:space="0" w:color="auto"/>
                                      </w:divBdr>
                                    </w:div>
                                    <w:div w:id="153819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0112">
                              <w:marLeft w:val="0"/>
                              <w:marRight w:val="0"/>
                              <w:marTop w:val="0"/>
                              <w:marBottom w:val="0"/>
                              <w:divBdr>
                                <w:top w:val="none" w:sz="0" w:space="0" w:color="auto"/>
                                <w:left w:val="none" w:sz="0" w:space="0" w:color="auto"/>
                                <w:bottom w:val="none" w:sz="0" w:space="0" w:color="auto"/>
                                <w:right w:val="none" w:sz="0" w:space="0" w:color="auto"/>
                              </w:divBdr>
                              <w:divsChild>
                                <w:div w:id="1365053553">
                                  <w:marLeft w:val="0"/>
                                  <w:marRight w:val="0"/>
                                  <w:marTop w:val="0"/>
                                  <w:marBottom w:val="0"/>
                                  <w:divBdr>
                                    <w:top w:val="none" w:sz="0" w:space="0" w:color="auto"/>
                                    <w:left w:val="none" w:sz="0" w:space="0" w:color="auto"/>
                                    <w:bottom w:val="none" w:sz="0" w:space="0" w:color="auto"/>
                                    <w:right w:val="none" w:sz="0" w:space="0" w:color="auto"/>
                                  </w:divBdr>
                                  <w:divsChild>
                                    <w:div w:id="225728277">
                                      <w:marLeft w:val="0"/>
                                      <w:marRight w:val="0"/>
                                      <w:marTop w:val="0"/>
                                      <w:marBottom w:val="0"/>
                                      <w:divBdr>
                                        <w:top w:val="none" w:sz="0" w:space="0" w:color="auto"/>
                                        <w:left w:val="none" w:sz="0" w:space="0" w:color="auto"/>
                                        <w:bottom w:val="none" w:sz="0" w:space="0" w:color="auto"/>
                                        <w:right w:val="none" w:sz="0" w:space="0" w:color="auto"/>
                                      </w:divBdr>
                                    </w:div>
                                    <w:div w:id="18135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80446">
                              <w:marLeft w:val="0"/>
                              <w:marRight w:val="0"/>
                              <w:marTop w:val="0"/>
                              <w:marBottom w:val="0"/>
                              <w:divBdr>
                                <w:top w:val="none" w:sz="0" w:space="0" w:color="auto"/>
                                <w:left w:val="none" w:sz="0" w:space="0" w:color="auto"/>
                                <w:bottom w:val="none" w:sz="0" w:space="0" w:color="auto"/>
                                <w:right w:val="none" w:sz="0" w:space="0" w:color="auto"/>
                              </w:divBdr>
                              <w:divsChild>
                                <w:div w:id="1019233379">
                                  <w:marLeft w:val="0"/>
                                  <w:marRight w:val="0"/>
                                  <w:marTop w:val="0"/>
                                  <w:marBottom w:val="0"/>
                                  <w:divBdr>
                                    <w:top w:val="none" w:sz="0" w:space="0" w:color="auto"/>
                                    <w:left w:val="none" w:sz="0" w:space="0" w:color="auto"/>
                                    <w:bottom w:val="none" w:sz="0" w:space="0" w:color="auto"/>
                                    <w:right w:val="none" w:sz="0" w:space="0" w:color="auto"/>
                                  </w:divBdr>
                                  <w:divsChild>
                                    <w:div w:id="247233129">
                                      <w:marLeft w:val="0"/>
                                      <w:marRight w:val="0"/>
                                      <w:marTop w:val="0"/>
                                      <w:marBottom w:val="0"/>
                                      <w:divBdr>
                                        <w:top w:val="none" w:sz="0" w:space="0" w:color="auto"/>
                                        <w:left w:val="none" w:sz="0" w:space="0" w:color="auto"/>
                                        <w:bottom w:val="none" w:sz="0" w:space="0" w:color="auto"/>
                                        <w:right w:val="none" w:sz="0" w:space="0" w:color="auto"/>
                                      </w:divBdr>
                                    </w:div>
                                    <w:div w:id="92781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8626">
                              <w:marLeft w:val="0"/>
                              <w:marRight w:val="0"/>
                              <w:marTop w:val="0"/>
                              <w:marBottom w:val="0"/>
                              <w:divBdr>
                                <w:top w:val="none" w:sz="0" w:space="0" w:color="auto"/>
                                <w:left w:val="none" w:sz="0" w:space="0" w:color="auto"/>
                                <w:bottom w:val="none" w:sz="0" w:space="0" w:color="auto"/>
                                <w:right w:val="none" w:sz="0" w:space="0" w:color="auto"/>
                              </w:divBdr>
                              <w:divsChild>
                                <w:div w:id="2118866958">
                                  <w:marLeft w:val="0"/>
                                  <w:marRight w:val="0"/>
                                  <w:marTop w:val="0"/>
                                  <w:marBottom w:val="0"/>
                                  <w:divBdr>
                                    <w:top w:val="none" w:sz="0" w:space="0" w:color="auto"/>
                                    <w:left w:val="none" w:sz="0" w:space="0" w:color="auto"/>
                                    <w:bottom w:val="none" w:sz="0" w:space="0" w:color="auto"/>
                                    <w:right w:val="none" w:sz="0" w:space="0" w:color="auto"/>
                                  </w:divBdr>
                                  <w:divsChild>
                                    <w:div w:id="523330813">
                                      <w:marLeft w:val="0"/>
                                      <w:marRight w:val="0"/>
                                      <w:marTop w:val="0"/>
                                      <w:marBottom w:val="0"/>
                                      <w:divBdr>
                                        <w:top w:val="none" w:sz="0" w:space="0" w:color="auto"/>
                                        <w:left w:val="none" w:sz="0" w:space="0" w:color="auto"/>
                                        <w:bottom w:val="none" w:sz="0" w:space="0" w:color="auto"/>
                                        <w:right w:val="none" w:sz="0" w:space="0" w:color="auto"/>
                                      </w:divBdr>
                                    </w:div>
                                    <w:div w:id="135433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557585">
                              <w:marLeft w:val="0"/>
                              <w:marRight w:val="0"/>
                              <w:marTop w:val="0"/>
                              <w:marBottom w:val="0"/>
                              <w:divBdr>
                                <w:top w:val="none" w:sz="0" w:space="0" w:color="auto"/>
                                <w:left w:val="none" w:sz="0" w:space="0" w:color="auto"/>
                                <w:bottom w:val="none" w:sz="0" w:space="0" w:color="auto"/>
                                <w:right w:val="none" w:sz="0" w:space="0" w:color="auto"/>
                              </w:divBdr>
                              <w:divsChild>
                                <w:div w:id="160238916">
                                  <w:marLeft w:val="0"/>
                                  <w:marRight w:val="0"/>
                                  <w:marTop w:val="0"/>
                                  <w:marBottom w:val="0"/>
                                  <w:divBdr>
                                    <w:top w:val="none" w:sz="0" w:space="0" w:color="auto"/>
                                    <w:left w:val="none" w:sz="0" w:space="0" w:color="auto"/>
                                    <w:bottom w:val="none" w:sz="0" w:space="0" w:color="auto"/>
                                    <w:right w:val="none" w:sz="0" w:space="0" w:color="auto"/>
                                  </w:divBdr>
                                  <w:divsChild>
                                    <w:div w:id="2009939451">
                                      <w:marLeft w:val="0"/>
                                      <w:marRight w:val="0"/>
                                      <w:marTop w:val="0"/>
                                      <w:marBottom w:val="0"/>
                                      <w:divBdr>
                                        <w:top w:val="none" w:sz="0" w:space="0" w:color="auto"/>
                                        <w:left w:val="none" w:sz="0" w:space="0" w:color="auto"/>
                                        <w:bottom w:val="none" w:sz="0" w:space="0" w:color="auto"/>
                                        <w:right w:val="none" w:sz="0" w:space="0" w:color="auto"/>
                                      </w:divBdr>
                                    </w:div>
                                    <w:div w:id="51546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827676">
                              <w:marLeft w:val="0"/>
                              <w:marRight w:val="0"/>
                              <w:marTop w:val="0"/>
                              <w:marBottom w:val="0"/>
                              <w:divBdr>
                                <w:top w:val="none" w:sz="0" w:space="0" w:color="auto"/>
                                <w:left w:val="none" w:sz="0" w:space="0" w:color="auto"/>
                                <w:bottom w:val="none" w:sz="0" w:space="0" w:color="auto"/>
                                <w:right w:val="none" w:sz="0" w:space="0" w:color="auto"/>
                              </w:divBdr>
                              <w:divsChild>
                                <w:div w:id="19282490">
                                  <w:marLeft w:val="0"/>
                                  <w:marRight w:val="0"/>
                                  <w:marTop w:val="0"/>
                                  <w:marBottom w:val="0"/>
                                  <w:divBdr>
                                    <w:top w:val="none" w:sz="0" w:space="0" w:color="auto"/>
                                    <w:left w:val="none" w:sz="0" w:space="0" w:color="auto"/>
                                    <w:bottom w:val="none" w:sz="0" w:space="0" w:color="auto"/>
                                    <w:right w:val="none" w:sz="0" w:space="0" w:color="auto"/>
                                  </w:divBdr>
                                  <w:divsChild>
                                    <w:div w:id="1365448648">
                                      <w:marLeft w:val="0"/>
                                      <w:marRight w:val="0"/>
                                      <w:marTop w:val="0"/>
                                      <w:marBottom w:val="0"/>
                                      <w:divBdr>
                                        <w:top w:val="none" w:sz="0" w:space="0" w:color="auto"/>
                                        <w:left w:val="none" w:sz="0" w:space="0" w:color="auto"/>
                                        <w:bottom w:val="none" w:sz="0" w:space="0" w:color="auto"/>
                                        <w:right w:val="none" w:sz="0" w:space="0" w:color="auto"/>
                                      </w:divBdr>
                                    </w:div>
                                    <w:div w:id="145694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8281">
                              <w:marLeft w:val="0"/>
                              <w:marRight w:val="0"/>
                              <w:marTop w:val="0"/>
                              <w:marBottom w:val="0"/>
                              <w:divBdr>
                                <w:top w:val="none" w:sz="0" w:space="0" w:color="auto"/>
                                <w:left w:val="none" w:sz="0" w:space="0" w:color="auto"/>
                                <w:bottom w:val="none" w:sz="0" w:space="0" w:color="auto"/>
                                <w:right w:val="none" w:sz="0" w:space="0" w:color="auto"/>
                              </w:divBdr>
                              <w:divsChild>
                                <w:div w:id="1658219590">
                                  <w:marLeft w:val="0"/>
                                  <w:marRight w:val="0"/>
                                  <w:marTop w:val="0"/>
                                  <w:marBottom w:val="0"/>
                                  <w:divBdr>
                                    <w:top w:val="none" w:sz="0" w:space="0" w:color="auto"/>
                                    <w:left w:val="none" w:sz="0" w:space="0" w:color="auto"/>
                                    <w:bottom w:val="none" w:sz="0" w:space="0" w:color="auto"/>
                                    <w:right w:val="none" w:sz="0" w:space="0" w:color="auto"/>
                                  </w:divBdr>
                                  <w:divsChild>
                                    <w:div w:id="145710037">
                                      <w:marLeft w:val="0"/>
                                      <w:marRight w:val="0"/>
                                      <w:marTop w:val="0"/>
                                      <w:marBottom w:val="0"/>
                                      <w:divBdr>
                                        <w:top w:val="none" w:sz="0" w:space="0" w:color="auto"/>
                                        <w:left w:val="none" w:sz="0" w:space="0" w:color="auto"/>
                                        <w:bottom w:val="none" w:sz="0" w:space="0" w:color="auto"/>
                                        <w:right w:val="none" w:sz="0" w:space="0" w:color="auto"/>
                                      </w:divBdr>
                                    </w:div>
                                    <w:div w:id="57104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042032">
                              <w:marLeft w:val="0"/>
                              <w:marRight w:val="0"/>
                              <w:marTop w:val="0"/>
                              <w:marBottom w:val="0"/>
                              <w:divBdr>
                                <w:top w:val="none" w:sz="0" w:space="0" w:color="auto"/>
                                <w:left w:val="none" w:sz="0" w:space="0" w:color="auto"/>
                                <w:bottom w:val="none" w:sz="0" w:space="0" w:color="auto"/>
                                <w:right w:val="none" w:sz="0" w:space="0" w:color="auto"/>
                              </w:divBdr>
                              <w:divsChild>
                                <w:div w:id="202638278">
                                  <w:marLeft w:val="0"/>
                                  <w:marRight w:val="0"/>
                                  <w:marTop w:val="0"/>
                                  <w:marBottom w:val="0"/>
                                  <w:divBdr>
                                    <w:top w:val="none" w:sz="0" w:space="0" w:color="auto"/>
                                    <w:left w:val="none" w:sz="0" w:space="0" w:color="auto"/>
                                    <w:bottom w:val="none" w:sz="0" w:space="0" w:color="auto"/>
                                    <w:right w:val="none" w:sz="0" w:space="0" w:color="auto"/>
                                  </w:divBdr>
                                  <w:divsChild>
                                    <w:div w:id="1185826272">
                                      <w:marLeft w:val="0"/>
                                      <w:marRight w:val="0"/>
                                      <w:marTop w:val="0"/>
                                      <w:marBottom w:val="0"/>
                                      <w:divBdr>
                                        <w:top w:val="none" w:sz="0" w:space="0" w:color="auto"/>
                                        <w:left w:val="none" w:sz="0" w:space="0" w:color="auto"/>
                                        <w:bottom w:val="none" w:sz="0" w:space="0" w:color="auto"/>
                                        <w:right w:val="none" w:sz="0" w:space="0" w:color="auto"/>
                                      </w:divBdr>
                                    </w:div>
                                    <w:div w:id="97255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15147">
                              <w:marLeft w:val="0"/>
                              <w:marRight w:val="0"/>
                              <w:marTop w:val="0"/>
                              <w:marBottom w:val="0"/>
                              <w:divBdr>
                                <w:top w:val="none" w:sz="0" w:space="0" w:color="auto"/>
                                <w:left w:val="none" w:sz="0" w:space="0" w:color="auto"/>
                                <w:bottom w:val="none" w:sz="0" w:space="0" w:color="auto"/>
                                <w:right w:val="none" w:sz="0" w:space="0" w:color="auto"/>
                              </w:divBdr>
                              <w:divsChild>
                                <w:div w:id="1735658348">
                                  <w:marLeft w:val="0"/>
                                  <w:marRight w:val="0"/>
                                  <w:marTop w:val="0"/>
                                  <w:marBottom w:val="0"/>
                                  <w:divBdr>
                                    <w:top w:val="none" w:sz="0" w:space="0" w:color="auto"/>
                                    <w:left w:val="none" w:sz="0" w:space="0" w:color="auto"/>
                                    <w:bottom w:val="none" w:sz="0" w:space="0" w:color="auto"/>
                                    <w:right w:val="none" w:sz="0" w:space="0" w:color="auto"/>
                                  </w:divBdr>
                                  <w:divsChild>
                                    <w:div w:id="142357767">
                                      <w:marLeft w:val="0"/>
                                      <w:marRight w:val="0"/>
                                      <w:marTop w:val="0"/>
                                      <w:marBottom w:val="0"/>
                                      <w:divBdr>
                                        <w:top w:val="none" w:sz="0" w:space="0" w:color="auto"/>
                                        <w:left w:val="none" w:sz="0" w:space="0" w:color="auto"/>
                                        <w:bottom w:val="none" w:sz="0" w:space="0" w:color="auto"/>
                                        <w:right w:val="none" w:sz="0" w:space="0" w:color="auto"/>
                                      </w:divBdr>
                                    </w:div>
                                    <w:div w:id="4518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631213">
                              <w:marLeft w:val="0"/>
                              <w:marRight w:val="0"/>
                              <w:marTop w:val="0"/>
                              <w:marBottom w:val="0"/>
                              <w:divBdr>
                                <w:top w:val="none" w:sz="0" w:space="0" w:color="auto"/>
                                <w:left w:val="none" w:sz="0" w:space="0" w:color="auto"/>
                                <w:bottom w:val="none" w:sz="0" w:space="0" w:color="auto"/>
                                <w:right w:val="none" w:sz="0" w:space="0" w:color="auto"/>
                              </w:divBdr>
                              <w:divsChild>
                                <w:div w:id="474950698">
                                  <w:marLeft w:val="0"/>
                                  <w:marRight w:val="0"/>
                                  <w:marTop w:val="0"/>
                                  <w:marBottom w:val="0"/>
                                  <w:divBdr>
                                    <w:top w:val="none" w:sz="0" w:space="0" w:color="auto"/>
                                    <w:left w:val="none" w:sz="0" w:space="0" w:color="auto"/>
                                    <w:bottom w:val="none" w:sz="0" w:space="0" w:color="auto"/>
                                    <w:right w:val="none" w:sz="0" w:space="0" w:color="auto"/>
                                  </w:divBdr>
                                  <w:divsChild>
                                    <w:div w:id="1654523359">
                                      <w:marLeft w:val="0"/>
                                      <w:marRight w:val="0"/>
                                      <w:marTop w:val="0"/>
                                      <w:marBottom w:val="0"/>
                                      <w:divBdr>
                                        <w:top w:val="none" w:sz="0" w:space="0" w:color="auto"/>
                                        <w:left w:val="none" w:sz="0" w:space="0" w:color="auto"/>
                                        <w:bottom w:val="none" w:sz="0" w:space="0" w:color="auto"/>
                                        <w:right w:val="none" w:sz="0" w:space="0" w:color="auto"/>
                                      </w:divBdr>
                                    </w:div>
                                    <w:div w:id="162334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269291">
                              <w:marLeft w:val="0"/>
                              <w:marRight w:val="0"/>
                              <w:marTop w:val="0"/>
                              <w:marBottom w:val="0"/>
                              <w:divBdr>
                                <w:top w:val="none" w:sz="0" w:space="0" w:color="auto"/>
                                <w:left w:val="none" w:sz="0" w:space="0" w:color="auto"/>
                                <w:bottom w:val="none" w:sz="0" w:space="0" w:color="auto"/>
                                <w:right w:val="none" w:sz="0" w:space="0" w:color="auto"/>
                              </w:divBdr>
                              <w:divsChild>
                                <w:div w:id="187717277">
                                  <w:marLeft w:val="0"/>
                                  <w:marRight w:val="0"/>
                                  <w:marTop w:val="0"/>
                                  <w:marBottom w:val="0"/>
                                  <w:divBdr>
                                    <w:top w:val="none" w:sz="0" w:space="0" w:color="auto"/>
                                    <w:left w:val="none" w:sz="0" w:space="0" w:color="auto"/>
                                    <w:bottom w:val="none" w:sz="0" w:space="0" w:color="auto"/>
                                    <w:right w:val="none" w:sz="0" w:space="0" w:color="auto"/>
                                  </w:divBdr>
                                  <w:divsChild>
                                    <w:div w:id="928587110">
                                      <w:marLeft w:val="0"/>
                                      <w:marRight w:val="0"/>
                                      <w:marTop w:val="0"/>
                                      <w:marBottom w:val="0"/>
                                      <w:divBdr>
                                        <w:top w:val="none" w:sz="0" w:space="0" w:color="auto"/>
                                        <w:left w:val="none" w:sz="0" w:space="0" w:color="auto"/>
                                        <w:bottom w:val="none" w:sz="0" w:space="0" w:color="auto"/>
                                        <w:right w:val="none" w:sz="0" w:space="0" w:color="auto"/>
                                      </w:divBdr>
                                    </w:div>
                                    <w:div w:id="184605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03591">
                              <w:marLeft w:val="0"/>
                              <w:marRight w:val="0"/>
                              <w:marTop w:val="0"/>
                              <w:marBottom w:val="0"/>
                              <w:divBdr>
                                <w:top w:val="none" w:sz="0" w:space="0" w:color="auto"/>
                                <w:left w:val="none" w:sz="0" w:space="0" w:color="auto"/>
                                <w:bottom w:val="none" w:sz="0" w:space="0" w:color="auto"/>
                                <w:right w:val="none" w:sz="0" w:space="0" w:color="auto"/>
                              </w:divBdr>
                              <w:divsChild>
                                <w:div w:id="1030953948">
                                  <w:marLeft w:val="0"/>
                                  <w:marRight w:val="0"/>
                                  <w:marTop w:val="0"/>
                                  <w:marBottom w:val="0"/>
                                  <w:divBdr>
                                    <w:top w:val="none" w:sz="0" w:space="0" w:color="auto"/>
                                    <w:left w:val="none" w:sz="0" w:space="0" w:color="auto"/>
                                    <w:bottom w:val="none" w:sz="0" w:space="0" w:color="auto"/>
                                    <w:right w:val="none" w:sz="0" w:space="0" w:color="auto"/>
                                  </w:divBdr>
                                  <w:divsChild>
                                    <w:div w:id="402484971">
                                      <w:marLeft w:val="0"/>
                                      <w:marRight w:val="0"/>
                                      <w:marTop w:val="0"/>
                                      <w:marBottom w:val="0"/>
                                      <w:divBdr>
                                        <w:top w:val="none" w:sz="0" w:space="0" w:color="auto"/>
                                        <w:left w:val="none" w:sz="0" w:space="0" w:color="auto"/>
                                        <w:bottom w:val="none" w:sz="0" w:space="0" w:color="auto"/>
                                        <w:right w:val="none" w:sz="0" w:space="0" w:color="auto"/>
                                      </w:divBdr>
                                    </w:div>
                                    <w:div w:id="128491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146859">
                              <w:marLeft w:val="0"/>
                              <w:marRight w:val="0"/>
                              <w:marTop w:val="0"/>
                              <w:marBottom w:val="0"/>
                              <w:divBdr>
                                <w:top w:val="none" w:sz="0" w:space="0" w:color="auto"/>
                                <w:left w:val="none" w:sz="0" w:space="0" w:color="auto"/>
                                <w:bottom w:val="none" w:sz="0" w:space="0" w:color="auto"/>
                                <w:right w:val="none" w:sz="0" w:space="0" w:color="auto"/>
                              </w:divBdr>
                              <w:divsChild>
                                <w:div w:id="630408004">
                                  <w:marLeft w:val="0"/>
                                  <w:marRight w:val="0"/>
                                  <w:marTop w:val="0"/>
                                  <w:marBottom w:val="0"/>
                                  <w:divBdr>
                                    <w:top w:val="none" w:sz="0" w:space="0" w:color="auto"/>
                                    <w:left w:val="none" w:sz="0" w:space="0" w:color="auto"/>
                                    <w:bottom w:val="none" w:sz="0" w:space="0" w:color="auto"/>
                                    <w:right w:val="none" w:sz="0" w:space="0" w:color="auto"/>
                                  </w:divBdr>
                                  <w:divsChild>
                                    <w:div w:id="1335644757">
                                      <w:marLeft w:val="0"/>
                                      <w:marRight w:val="0"/>
                                      <w:marTop w:val="0"/>
                                      <w:marBottom w:val="0"/>
                                      <w:divBdr>
                                        <w:top w:val="none" w:sz="0" w:space="0" w:color="auto"/>
                                        <w:left w:val="none" w:sz="0" w:space="0" w:color="auto"/>
                                        <w:bottom w:val="none" w:sz="0" w:space="0" w:color="auto"/>
                                        <w:right w:val="none" w:sz="0" w:space="0" w:color="auto"/>
                                      </w:divBdr>
                                    </w:div>
                                    <w:div w:id="114420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43314">
                              <w:marLeft w:val="0"/>
                              <w:marRight w:val="0"/>
                              <w:marTop w:val="0"/>
                              <w:marBottom w:val="0"/>
                              <w:divBdr>
                                <w:top w:val="none" w:sz="0" w:space="0" w:color="auto"/>
                                <w:left w:val="none" w:sz="0" w:space="0" w:color="auto"/>
                                <w:bottom w:val="none" w:sz="0" w:space="0" w:color="auto"/>
                                <w:right w:val="none" w:sz="0" w:space="0" w:color="auto"/>
                              </w:divBdr>
                              <w:divsChild>
                                <w:div w:id="379594557">
                                  <w:marLeft w:val="0"/>
                                  <w:marRight w:val="0"/>
                                  <w:marTop w:val="0"/>
                                  <w:marBottom w:val="0"/>
                                  <w:divBdr>
                                    <w:top w:val="none" w:sz="0" w:space="0" w:color="auto"/>
                                    <w:left w:val="none" w:sz="0" w:space="0" w:color="auto"/>
                                    <w:bottom w:val="none" w:sz="0" w:space="0" w:color="auto"/>
                                    <w:right w:val="none" w:sz="0" w:space="0" w:color="auto"/>
                                  </w:divBdr>
                                  <w:divsChild>
                                    <w:div w:id="611087860">
                                      <w:marLeft w:val="0"/>
                                      <w:marRight w:val="0"/>
                                      <w:marTop w:val="0"/>
                                      <w:marBottom w:val="0"/>
                                      <w:divBdr>
                                        <w:top w:val="none" w:sz="0" w:space="0" w:color="auto"/>
                                        <w:left w:val="none" w:sz="0" w:space="0" w:color="auto"/>
                                        <w:bottom w:val="none" w:sz="0" w:space="0" w:color="auto"/>
                                        <w:right w:val="none" w:sz="0" w:space="0" w:color="auto"/>
                                      </w:divBdr>
                                    </w:div>
                                    <w:div w:id="4873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920823">
                              <w:marLeft w:val="0"/>
                              <w:marRight w:val="0"/>
                              <w:marTop w:val="0"/>
                              <w:marBottom w:val="0"/>
                              <w:divBdr>
                                <w:top w:val="none" w:sz="0" w:space="0" w:color="auto"/>
                                <w:left w:val="none" w:sz="0" w:space="0" w:color="auto"/>
                                <w:bottom w:val="none" w:sz="0" w:space="0" w:color="auto"/>
                                <w:right w:val="none" w:sz="0" w:space="0" w:color="auto"/>
                              </w:divBdr>
                              <w:divsChild>
                                <w:div w:id="52124850">
                                  <w:marLeft w:val="0"/>
                                  <w:marRight w:val="0"/>
                                  <w:marTop w:val="0"/>
                                  <w:marBottom w:val="0"/>
                                  <w:divBdr>
                                    <w:top w:val="none" w:sz="0" w:space="0" w:color="auto"/>
                                    <w:left w:val="none" w:sz="0" w:space="0" w:color="auto"/>
                                    <w:bottom w:val="none" w:sz="0" w:space="0" w:color="auto"/>
                                    <w:right w:val="none" w:sz="0" w:space="0" w:color="auto"/>
                                  </w:divBdr>
                                  <w:divsChild>
                                    <w:div w:id="640499358">
                                      <w:marLeft w:val="0"/>
                                      <w:marRight w:val="0"/>
                                      <w:marTop w:val="0"/>
                                      <w:marBottom w:val="0"/>
                                      <w:divBdr>
                                        <w:top w:val="none" w:sz="0" w:space="0" w:color="auto"/>
                                        <w:left w:val="none" w:sz="0" w:space="0" w:color="auto"/>
                                        <w:bottom w:val="none" w:sz="0" w:space="0" w:color="auto"/>
                                        <w:right w:val="none" w:sz="0" w:space="0" w:color="auto"/>
                                      </w:divBdr>
                                    </w:div>
                                    <w:div w:id="53898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84247">
                              <w:marLeft w:val="0"/>
                              <w:marRight w:val="0"/>
                              <w:marTop w:val="0"/>
                              <w:marBottom w:val="0"/>
                              <w:divBdr>
                                <w:top w:val="none" w:sz="0" w:space="0" w:color="auto"/>
                                <w:left w:val="none" w:sz="0" w:space="0" w:color="auto"/>
                                <w:bottom w:val="none" w:sz="0" w:space="0" w:color="auto"/>
                                <w:right w:val="none" w:sz="0" w:space="0" w:color="auto"/>
                              </w:divBdr>
                              <w:divsChild>
                                <w:div w:id="1702704750">
                                  <w:marLeft w:val="0"/>
                                  <w:marRight w:val="0"/>
                                  <w:marTop w:val="0"/>
                                  <w:marBottom w:val="0"/>
                                  <w:divBdr>
                                    <w:top w:val="none" w:sz="0" w:space="0" w:color="auto"/>
                                    <w:left w:val="none" w:sz="0" w:space="0" w:color="auto"/>
                                    <w:bottom w:val="none" w:sz="0" w:space="0" w:color="auto"/>
                                    <w:right w:val="none" w:sz="0" w:space="0" w:color="auto"/>
                                  </w:divBdr>
                                  <w:divsChild>
                                    <w:div w:id="1660571245">
                                      <w:marLeft w:val="0"/>
                                      <w:marRight w:val="0"/>
                                      <w:marTop w:val="0"/>
                                      <w:marBottom w:val="0"/>
                                      <w:divBdr>
                                        <w:top w:val="none" w:sz="0" w:space="0" w:color="auto"/>
                                        <w:left w:val="none" w:sz="0" w:space="0" w:color="auto"/>
                                        <w:bottom w:val="none" w:sz="0" w:space="0" w:color="auto"/>
                                        <w:right w:val="none" w:sz="0" w:space="0" w:color="auto"/>
                                      </w:divBdr>
                                    </w:div>
                                    <w:div w:id="131845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345360">
                              <w:marLeft w:val="0"/>
                              <w:marRight w:val="0"/>
                              <w:marTop w:val="0"/>
                              <w:marBottom w:val="0"/>
                              <w:divBdr>
                                <w:top w:val="none" w:sz="0" w:space="0" w:color="auto"/>
                                <w:left w:val="none" w:sz="0" w:space="0" w:color="auto"/>
                                <w:bottom w:val="none" w:sz="0" w:space="0" w:color="auto"/>
                                <w:right w:val="none" w:sz="0" w:space="0" w:color="auto"/>
                              </w:divBdr>
                              <w:divsChild>
                                <w:div w:id="1275600722">
                                  <w:marLeft w:val="0"/>
                                  <w:marRight w:val="0"/>
                                  <w:marTop w:val="0"/>
                                  <w:marBottom w:val="0"/>
                                  <w:divBdr>
                                    <w:top w:val="none" w:sz="0" w:space="0" w:color="auto"/>
                                    <w:left w:val="none" w:sz="0" w:space="0" w:color="auto"/>
                                    <w:bottom w:val="none" w:sz="0" w:space="0" w:color="auto"/>
                                    <w:right w:val="none" w:sz="0" w:space="0" w:color="auto"/>
                                  </w:divBdr>
                                  <w:divsChild>
                                    <w:div w:id="946346663">
                                      <w:marLeft w:val="0"/>
                                      <w:marRight w:val="0"/>
                                      <w:marTop w:val="0"/>
                                      <w:marBottom w:val="0"/>
                                      <w:divBdr>
                                        <w:top w:val="none" w:sz="0" w:space="0" w:color="auto"/>
                                        <w:left w:val="none" w:sz="0" w:space="0" w:color="auto"/>
                                        <w:bottom w:val="none" w:sz="0" w:space="0" w:color="auto"/>
                                        <w:right w:val="none" w:sz="0" w:space="0" w:color="auto"/>
                                      </w:divBdr>
                                    </w:div>
                                    <w:div w:id="133838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008353">
                          <w:marLeft w:val="0"/>
                          <w:marRight w:val="0"/>
                          <w:marTop w:val="0"/>
                          <w:marBottom w:val="0"/>
                          <w:divBdr>
                            <w:top w:val="none" w:sz="0" w:space="0" w:color="auto"/>
                            <w:left w:val="none" w:sz="0" w:space="0" w:color="auto"/>
                            <w:bottom w:val="none" w:sz="0" w:space="0" w:color="auto"/>
                            <w:right w:val="none" w:sz="0" w:space="0" w:color="auto"/>
                          </w:divBdr>
                          <w:divsChild>
                            <w:div w:id="165540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4412</Words>
  <Characters>24268</Characters>
  <Application>Microsoft Office Word</Application>
  <DocSecurity>0</DocSecurity>
  <Lines>202</Lines>
  <Paragraphs>57</Paragraphs>
  <ScaleCrop>false</ScaleCrop>
  <Company/>
  <LinksUpToDate>false</LinksUpToDate>
  <CharactersWithSpaces>28623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Garzon</dc:creator>
  <cp:keywords/>
  <dc:description/>
  <cp:lastModifiedBy>Santiago Garzon</cp:lastModifiedBy>
  <cp:revision>1</cp:revision>
  <dcterms:created xsi:type="dcterms:W3CDTF">2026-01-10T00:12:00Z</dcterms:created>
  <dcterms:modified xsi:type="dcterms:W3CDTF">2026-01-10T00:13:00Z</dcterms:modified>
</cp:coreProperties>
</file>