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b/>
          <w:bCs/>
          <w:color w:val="1F3864"/>
          <w:sz w:val="56"/>
          <w:szCs w:val="56"/>
        </w:rPr>
        <w:t>BATALJONSSYSTEM</w:t>
      </w:r>
    </w:p>
    <w:p>
      <w:pPr>
        <w:pStyle w:val="Normal"/>
        <w:spacing w:before="0" w:after="200"/>
        <w:jc w:val="center"/>
        <w:rPr/>
      </w:pPr>
      <w:r>
        <w:rPr>
          <w:color w:val="2E75B6"/>
          <w:sz w:val="28"/>
          <w:szCs w:val="28"/>
        </w:rPr>
        <w:t>Digital plattform för administration och logistik</w:t>
      </w:r>
    </w:p>
    <w:p>
      <w:pPr>
        <w:pStyle w:val="Normal"/>
        <w:spacing w:before="0" w:after="800"/>
        <w:jc w:val="center"/>
        <w:rPr/>
      </w:pPr>
      <w:r>
        <w:rPr>
          <w:color w:val="888888"/>
        </w:rPr>
        <w:t>Arkitekturdokument — Konceptfas 2026</w:t>
      </w:r>
    </w:p>
    <w:tbl>
      <w:tblPr>
        <w:tblW w:w="9026" w:type="dxa"/>
        <w:jc w:val="start"/>
        <w:tblInd w:w="0" w:type="dxa"/>
        <w:tblLayout w:type="fixed"/>
        <w:tblCellMar>
          <w:top w:w="300" w:type="dxa"/>
          <w:start w:w="400" w:type="dxa"/>
          <w:bottom w:w="300" w:type="dxa"/>
          <w:end w:w="400" w:type="dxa"/>
        </w:tblCellMar>
        <w:tblLook w:noHBand="0" w:noVBand="0" w:firstColumn="0" w:lastRow="0" w:lastColumn="0" w:firstRow="0" w:val="0000"/>
      </w:tblPr>
      <w:tblGrid>
        <w:gridCol w:w="9026"/>
      </w:tblGrid>
      <w:tr>
        <w:trPr/>
        <w:tc>
          <w:tcPr>
            <w:tcW w:w="9026" w:type="dxa"/>
            <w:tcBorders/>
            <w:shd w:color="auto" w:fill="D6E4F0" w:val="clea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bCs/>
                <w:color w:val="1F3864"/>
              </w:rPr>
              <w:t>Syfte</w:t>
            </w:r>
          </w:p>
          <w:p>
            <w:pPr>
              <w:pStyle w:val="Normal"/>
              <w:jc w:val="center"/>
              <w:rPr/>
            </w:pPr>
            <w:r>
              <w:rPr>
                <w:color w:val="333333"/>
              </w:rPr>
              <w:t>Detta dokument beskriver konceptarkitekturen för ett digitalt stödsystem för Försvarsmaktens bataljonsförband. Systemet syftar till att modernisera administration, närvaro- och körjournal-hantering samt logistik — med fokus på enkelhet, säkerhet och minimal förvaltning.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0" w:after="200"/>
        <w:rPr/>
      </w:pPr>
      <w:r>
        <w:rPr/>
        <w:t>1. Bakgrund och syfte</w:t>
      </w:r>
    </w:p>
    <w:p>
      <w:pPr>
        <w:pStyle w:val="Normal"/>
        <w:spacing w:before="80" w:after="120"/>
        <w:rPr/>
      </w:pPr>
      <w:r>
        <w:rPr/>
        <w:t>Dagens administration inom ett bataljonsförband är fragmenterad och hanteras i stor utsträckning manuellt — via e-post, papper och kalkylark. Det saknas ett enhetligt system för planering av utbildning och övningar, hantering av soldaternas utrustning samt attestering av tid och körmil.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20"/>
        <w:rPr/>
      </w:pPr>
      <w:r>
        <w:rPr/>
        <w:t>Bataljonssystem är ett konceptförslag för en webbaserad plattform som möjliggör: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/>
        <w:t>Enhetlig kalender- och närvaro-hantering från soldat till bataljonsnivå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Självservice för utrustning — beställning av ersättningspersedlar och förlustanmälan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Digital attestering av tid och körmil längs hela befälskedjan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Rollbaserad åtkomst anpassad till militär organisationsstruktur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4" w:color="2E75B6"/>
        </w:pBdr>
        <w:rPr/>
      </w:pPr>
      <w:r>
        <w:rPr/>
        <w:t>2. Organisationsstruktur och roller</w:t>
      </w:r>
    </w:p>
    <w:p>
      <w:pPr>
        <w:pStyle w:val="Normal"/>
        <w:spacing w:before="80" w:after="120"/>
        <w:rPr/>
      </w:pPr>
      <w:r>
        <w:rPr/>
        <w:t>Systemet speglar Försvarsmaktens hierarkiska organisation och tilldelar behörigheter i enlighet med denna.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-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2199"/>
        <w:gridCol w:w="2201"/>
        <w:gridCol w:w="4626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Nivå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Roll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Behörighet i systemet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Bataljon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BatCh, Stab (S1–S6)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Överblick hela bataljonen. Rapporter, statistik, budgetgodkännande.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Bataljon (log)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Kvartermästare (S4)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Godkänner förlustanmälningar, hanterar beställningar, ser utrustningsstatus för hela bataljonen.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Kompani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 xml:space="preserve">KompCh, </w:t>
            </w:r>
            <w:r>
              <w:rPr>
                <w:color w:val="000000"/>
                <w:sz w:val="20"/>
                <w:szCs w:val="20"/>
              </w:rPr>
              <w:t>Kvartermästare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Skapar aktiviteter, attesterar tid/körmil, ser kompaniets alla soldater och plutoner.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Pluton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PC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Ser sin pluton, kan skapa aktiviteter, förhandsgranskar tid/körmil innan KompCh-attest.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Tropp (opt.)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o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Som PlC men begränsat till sin tropp. Aktiveras per kompani vid behov.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Grupp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G</w:t>
            </w:r>
            <w:r>
              <w:rPr>
                <w:color w:val="000000"/>
                <w:sz w:val="20"/>
                <w:szCs w:val="20"/>
              </w:rPr>
              <w:t>r</w:t>
            </w:r>
            <w:r>
              <w:rPr>
                <w:color w:val="000000"/>
                <w:sz w:val="20"/>
                <w:szCs w:val="20"/>
              </w:rPr>
              <w:t>pC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Ser sin grupp. Kan bekräfta närvaro för gruppmedlemmar.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Individ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Soldat</w:t>
            </w:r>
          </w:p>
        </w:tc>
        <w:tc>
          <w:tcPr>
            <w:tcW w:w="46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Ser egen kalender, redovisar tid/körmil, hanterar sin utrustning.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4" w:color="2E75B6"/>
        </w:pBdr>
        <w:rPr/>
      </w:pPr>
      <w:r>
        <w:rPr/>
        <w:t>3. Funktioner</w:t>
      </w:r>
    </w:p>
    <w:p>
      <w:pPr>
        <w:pStyle w:val="Heading2"/>
        <w:rPr/>
      </w:pPr>
      <w:r>
        <w:rPr/>
        <w:t>3.1 Kalender och aktivitetshantering</w:t>
      </w:r>
    </w:p>
    <w:p>
      <w:pPr>
        <w:pStyle w:val="Normal"/>
        <w:spacing w:before="80" w:after="120"/>
        <w:rPr/>
      </w:pPr>
      <w:r>
        <w:rPr/>
        <w:t>Befäl på grupp- till bataljonsnivå kan skapa aktiviteter (övningar, utbildningar, möten). Soldater och berörda befäl får notifieringar och svarar ja/nej/kanske. Aktiviteter är synliga i en gemensam kalendervy filtrerad efter roll och organisationstillhörighet.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Kompanichef och högre skapar aktiviteter för hela enheter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Plutonchefer skapar aktiviteter för sin pluton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Soldater ser aktiviteter relevanta för sin grupp/pluton/kompani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Närvaro bekräftas av GpC eller PC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3.2 Tid- och körjournal med attestering</w:t>
      </w:r>
    </w:p>
    <w:p>
      <w:pPr>
        <w:pStyle w:val="Normal"/>
        <w:spacing w:before="80" w:after="120"/>
        <w:rPr/>
      </w:pPr>
      <w:r>
        <w:rPr/>
        <w:t>Efter genomförd aktivitet redovisar soldaten sin tid och eventuella körmil direkt i systemet. Attesteringsflödet följer befälskedjan:</w:t>
      </w:r>
    </w:p>
    <w:p>
      <w:pPr>
        <w:pStyle w:val="Normal"/>
        <w:spacing w:before="100" w:after="1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  <w:tblLook w:noHBand="0" w:noVBand="0" w:firstColumn="0" w:lastRow="0" w:lastColumn="0" w:firstRow="0" w:val="0000"/>
      </w:tblPr>
      <w:tblGrid>
        <w:gridCol w:w="1799"/>
        <w:gridCol w:w="601"/>
        <w:gridCol w:w="1799"/>
        <w:gridCol w:w="601"/>
        <w:gridCol w:w="1799"/>
        <w:gridCol w:w="601"/>
        <w:gridCol w:w="1826"/>
      </w:tblGrid>
      <w:tr>
        <w:trPr/>
        <w:tc>
          <w:tcPr>
            <w:tcW w:w="1799" w:type="dxa"/>
            <w:tcBorders/>
            <w:shd w:color="auto" w:fill="D6E4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Soldat redovisar</w:t>
            </w:r>
          </w:p>
        </w:tc>
        <w:tc>
          <w:tcPr>
            <w:tcW w:w="601" w:type="dxa"/>
            <w:tcBorders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1799" w:type="dxa"/>
            <w:tcBorders/>
            <w:shd w:color="auto" w:fill="D6E4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PC granskar</w:t>
            </w:r>
          </w:p>
        </w:tc>
        <w:tc>
          <w:tcPr>
            <w:tcW w:w="601" w:type="dxa"/>
            <w:tcBorders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1799" w:type="dxa"/>
            <w:tcBorders/>
            <w:shd w:color="auto" w:fill="D6E4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KompCh attesterar</w:t>
            </w:r>
          </w:p>
        </w:tc>
        <w:tc>
          <w:tcPr>
            <w:tcW w:w="601" w:type="dxa"/>
            <w:tcBorders/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1826" w:type="dxa"/>
            <w:tcBorders/>
            <w:shd w:color="auto" w:fill="D6E4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Stab/S1 exporterar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3.3 Utrustningshantering</w:t>
      </w:r>
    </w:p>
    <w:p>
      <w:pPr>
        <w:pStyle w:val="Normal"/>
        <w:spacing w:before="80" w:after="120"/>
        <w:rPr/>
      </w:pPr>
      <w:r>
        <w:rPr/>
        <w:t>Varje soldat har ett digitalt utrustningsregister som speglar tilldelade persedlar. Systemet stöder tre logistikflöden: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Beställning av ersättningspersedel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Soldaten identifierar trasig/förbrukad utrustning i sin lista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Väljer artikel och initierar beställning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Ny persedel skickas till angiven adress/enhet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Returpacksedel medföljer — soldaten returnerar defekt artikel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Utrustningsregistret uppdateras automatiskt vid bekräftad retur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Förlustanmälan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Soldaten initierar förlustanmälan med beskrivning och omständigheter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PC notifieras och lämnar yttrande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Kvartermästare (S4) granskar och godkänner eller avslår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Vid godkännande triggas automatisk beställning och registret uppdateras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Avslag returneras till soldaten med motivering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rPr/>
      </w:pPr>
      <w:r>
        <w:rPr/>
        <w:t>Inventering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PC och G</w:t>
      </w:r>
      <w:r>
        <w:rPr/>
        <w:t>r</w:t>
      </w:r>
      <w:r>
        <w:rPr/>
        <w:t>pC kan initiera inventering mot registret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Avvikelser flaggas och leder till antingen beställning eller förlustanmälan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4" w:color="2E75B6"/>
        </w:pBdr>
        <w:rPr/>
      </w:pPr>
      <w:r>
        <w:rPr/>
        <w:t>4. Teknisk arkitektur</w:t>
      </w:r>
    </w:p>
    <w:p>
      <w:pPr>
        <w:pStyle w:val="Heading2"/>
        <w:rPr/>
      </w:pPr>
      <w:r>
        <w:rPr/>
        <w:t>4.1 Designprinciper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Minimal förvaltning — SaaS-first, ingen egen serverdrift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Svensk datalagring — GDPR-kompatibelt, statlig/militär säkerhetsnivå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Online-only — förenklar arkitektur och säkerhetsmodell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Fristående system — inga integrationer mot PRIO eller legacy-system i fas 1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Skalbarhet — från kompani till bataljon utan omdesign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4.2 Komponentöversikt</w:t>
      </w:r>
    </w:p>
    <w:tbl>
      <w:tblPr>
        <w:tblW w:w="9026" w:type="dxa"/>
        <w:jc w:val="start"/>
        <w:tblInd w:w="-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2199"/>
        <w:gridCol w:w="2801"/>
        <w:gridCol w:w="4026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Lager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Teknik / Leverantör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Motivering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Autentisering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BankID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Etablerad standard i Sverige, hög tillit, stöds av alla mobiltelefoner.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React PWA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Plattformsoberoende — fungerar i webbläsaren på mobil och dator utan appbutik.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Backend / API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Node.js (REST/GraphQL)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Välbeprövat, stor kompetensbas, enkel drift.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Databas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PostgreSQL (managed)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Robust, ACID-kompatibel, stöds av svenska molnleverantörer.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Fillagring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S3-kompatibel objektlagring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Returpacksedlar, bilagor till förlustanmälningar.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Safespring / City Network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Svenska datacenters, ISO 27001, erfarenhet av statliga kunder.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Notifieringar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E-post + webb-push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Ingen app-installation krävs. SMS som komplement.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4.3 Säkerhetsarkitektur</w:t>
      </w:r>
    </w:p>
    <w:p>
      <w:pPr>
        <w:pStyle w:val="Normal"/>
        <w:spacing w:before="80" w:after="120"/>
        <w:rPr/>
      </w:pPr>
      <w:r>
        <w:rPr/>
        <w:t>Säkerhet är en förstaklassens krav och genomsyrar hela designen: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BankID som enda autentiseringsmetod — eliminerar lösenordsproblematik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Rollbaserad åtkomstkontroll (RBAC) — strikt hierarkisk, ingen data läcker uppåt/nedåt i org utan behörighet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All kommunikation krypterad med TLS 1.3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Data lagras uteslutande på svensk mark under svensk jurisdiktion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Audit log — alla åtgärder loggas med tidsstämpel och användare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Separation av miljöer — produktion, test och utveckling är strikt separerade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Penetrationstestning planeras inför driftsättning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GDPR-efterlevnad — databehandlingsavtal med samtliga underleverantörer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4.4 Dataflöde — exempel: Förlustanmälan</w:t>
      </w:r>
    </w:p>
    <w:tbl>
      <w:tblPr>
        <w:tblW w:w="9026" w:type="dxa"/>
        <w:jc w:val="start"/>
        <w:tblInd w:w="-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674"/>
        <w:gridCol w:w="2191"/>
        <w:gridCol w:w="6161"/>
      </w:tblGrid>
      <w:tr>
        <w:trPr>
          <w:tblHeader w:val="true"/>
        </w:trPr>
        <w:tc>
          <w:tcPr>
            <w:tcW w:w="6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Steg</w:t>
            </w:r>
          </w:p>
        </w:tc>
        <w:tc>
          <w:tcPr>
            <w:tcW w:w="21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Aktör</w:t>
            </w:r>
          </w:p>
        </w:tc>
        <w:tc>
          <w:tcPr>
            <w:tcW w:w="6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Händelse</w:t>
            </w:r>
          </w:p>
        </w:tc>
      </w:tr>
      <w:tr>
        <w:trPr/>
        <w:tc>
          <w:tcPr>
            <w:tcW w:w="6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Soldat</w:t>
            </w:r>
          </w:p>
        </w:tc>
        <w:tc>
          <w:tcPr>
            <w:tcW w:w="6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Initierar förlustanmälan i appen. Beskriver omständigheter och väljer artikel.</w:t>
            </w:r>
          </w:p>
        </w:tc>
      </w:tr>
      <w:tr>
        <w:trPr/>
        <w:tc>
          <w:tcPr>
            <w:tcW w:w="6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6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Notifierar PlC. Låser artikeln i utrustningsregistret (status: under utredning).</w:t>
            </w:r>
          </w:p>
        </w:tc>
      </w:tr>
      <w:tr>
        <w:trPr/>
        <w:tc>
          <w:tcPr>
            <w:tcW w:w="6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PC</w:t>
            </w:r>
          </w:p>
        </w:tc>
        <w:tc>
          <w:tcPr>
            <w:tcW w:w="6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Lämnar yttrande i systemet. Vidarebefordrar till S4.</w:t>
            </w:r>
          </w:p>
        </w:tc>
      </w:tr>
      <w:tr>
        <w:trPr/>
        <w:tc>
          <w:tcPr>
            <w:tcW w:w="6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 xml:space="preserve">Kvartermästare </w:t>
            </w:r>
            <w:r>
              <w:rPr>
                <w:color w:val="000000"/>
                <w:sz w:val="20"/>
                <w:szCs w:val="20"/>
              </w:rPr>
              <w:t>(S4)</w:t>
            </w:r>
          </w:p>
        </w:tc>
        <w:tc>
          <w:tcPr>
            <w:tcW w:w="6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Granskar underlag. Godkänner eller avslår med motivering.</w:t>
            </w:r>
          </w:p>
        </w:tc>
      </w:tr>
      <w:tr>
        <w:trPr/>
        <w:tc>
          <w:tcPr>
            <w:tcW w:w="6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5a</w:t>
            </w:r>
          </w:p>
        </w:tc>
        <w:tc>
          <w:tcPr>
            <w:tcW w:w="21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System (godkänt)</w:t>
            </w:r>
          </w:p>
        </w:tc>
        <w:tc>
          <w:tcPr>
            <w:tcW w:w="6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Triggar ersättningsbeställning. Uppdaterar register. Notifierar soldat.</w:t>
            </w:r>
          </w:p>
        </w:tc>
      </w:tr>
      <w:tr>
        <w:trPr/>
        <w:tc>
          <w:tcPr>
            <w:tcW w:w="67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5b</w:t>
            </w:r>
          </w:p>
        </w:tc>
        <w:tc>
          <w:tcPr>
            <w:tcW w:w="21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System (avslaget)</w:t>
            </w:r>
          </w:p>
        </w:tc>
        <w:tc>
          <w:tcPr>
            <w:tcW w:w="6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Returnerar ärendet till soldat med motivering. Registret återställs.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4" w:color="2E75B6"/>
        </w:pBdr>
        <w:rPr/>
      </w:pPr>
      <w:r>
        <w:rPr/>
        <w:t>5. Featurelista (MoSCoW)</w:t>
      </w:r>
    </w:p>
    <w:p>
      <w:pPr>
        <w:pStyle w:val="Heading2"/>
        <w:rPr/>
      </w:pPr>
      <w:r>
        <w:rPr/>
        <w:t>Must have — kärnfunktionalitet</w:t>
      </w:r>
    </w:p>
    <w:tbl>
      <w:tblPr>
        <w:tblW w:w="9026" w:type="dxa"/>
        <w:jc w:val="start"/>
        <w:tblInd w:w="-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4513"/>
        <w:gridCol w:w="4513"/>
      </w:tblGrid>
      <w:tr>
        <w:trPr>
          <w:tblHeader w:val="true"/>
        </w:trPr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Motivering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BankID-inloggning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Grundkrav säkerhet och identitet.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Rollbaserad organisationsstruktur (soldat→bataljon)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Speglar FM:s hierarki — krävs för all behörighetsstyrning.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Kalender — skapa och svara på aktiviteter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Kärnflödet för planering av utbildning och övningar.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Tid- och körjournal med attesteringskedja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Ersätter manuell hantering, säkrar underlag.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Individuellt utrustningsregister per soldat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Förutsättning för all logistikfunktionalitet.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Beställning av ersättningspersedel + returpacksedel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Direkt mervärde för soldaten.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Förlustanmälan med godkännandeflöde (S4)</w:t>
            </w:r>
          </w:p>
        </w:tc>
        <w:tc>
          <w:tcPr>
            <w:tcW w:w="45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Ersätter pappersbaserad process.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Should have — hög prioritet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Närvaro-bekräftelse per grupp (G</w:t>
      </w:r>
      <w:r>
        <w:rPr/>
        <w:t>r</w:t>
      </w:r>
      <w:r>
        <w:rPr/>
        <w:t>pC bekräftar sin grupp)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Notifieringar via e-post och webb-push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Exportfunktion — tid/körmil till CSV/PDF för S1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Inventering — PC kan initiera mot register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Mobiloptimerad vy (PWA, offline-läsning av kalender)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Could have — önskvärt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Trop</w:t>
      </w:r>
      <w:r>
        <w:rPr/>
        <w:t>p</w:t>
      </w:r>
      <w:r>
        <w:rPr/>
        <w:t>-nivå som konfigurerbar mellannivå per kompani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Dashboard för BatCh — aggregerad statistik över kompanier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Historik och sökfunktion för genomförda aktiviteter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Digitala signaturer på attesteringar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 xml:space="preserve">SMS-notifieringar </w:t>
      </w:r>
      <w:r>
        <w:rPr/>
        <w:t xml:space="preserve">om ny info i appen </w:t>
      </w:r>
      <w:r>
        <w:rPr/>
        <w:t>som komplement till e-post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rPr/>
      </w:pPr>
      <w:r>
        <w:rPr/>
        <w:t>Won't have (fas 1)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Integration mot PRIO, SIFUS eller andra FM-system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Offline-funktionalitet (kräver komplex synkronisering)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Eget beställningssystem mot leverantör — fas 1 genererar underlag för manuell beställning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NATO/STANAG-kompatibilitet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4" w:color="2E75B6"/>
        </w:pBdr>
        <w:rPr/>
      </w:pPr>
      <w:r>
        <w:rPr/>
        <w:t>6. Genomförandeplan</w:t>
      </w:r>
    </w:p>
    <w:tbl>
      <w:tblPr>
        <w:tblW w:w="9026" w:type="dxa"/>
        <w:jc w:val="start"/>
        <w:tblInd w:w="-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500"/>
        <w:gridCol w:w="2000"/>
        <w:gridCol w:w="5526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Tidshorisont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Innehåll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1 — PoC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1–2 månader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Klickbar prototyp med mockdata. Demonstrerar kärnflöden för FM-ledning.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2 — Pilot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3–6 månader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Fullt fungerande system för ett kompani. BankID, kalender, utrustning. Verklig data.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3 — Bataljon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6–12 månader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Utrullning till hela bataljonen. Säkerhetsgranskning. Användartester.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4 — Förvaltning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Löpande</w:t>
            </w:r>
          </w:p>
        </w:tc>
        <w:tc>
          <w:tcPr>
            <w:tcW w:w="5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Minimal förvaltning via SaaS-leverantörer. Vidareutveckling baserat på användarfeedback.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4" w:color="2E75B6"/>
        </w:pBdr>
        <w:rPr/>
      </w:pPr>
      <w:r>
        <w:rPr/>
        <w:t>7. Risker och hantering</w:t>
      </w:r>
    </w:p>
    <w:tbl>
      <w:tblPr>
        <w:tblW w:w="9026" w:type="dxa"/>
        <w:jc w:val="start"/>
        <w:tblInd w:w="-1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3000"/>
        <w:gridCol w:w="1500"/>
        <w:gridCol w:w="4526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Sannolikhet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Hantering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Sekretessklassning hindrar molnlagring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Medel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Välj Safespring (upphandlat av staten). Klassificera data — konceptet hanterar inte säkerhetsskyddsklassad info.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BankID-penetration låg bland reservister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Låg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BankID är standard i Sverige. Fallback: SITHS-kort i sen fas.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Användarmotstånd mot nytt system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Medel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F2F2F2" w:val="clear"/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Involvera GpC och soldater tidigt i pilotfasen. Enkelhet är designkrav.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Leverantörsberoende (SaaS)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Låg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Välj standardteknologi (PostgreSQL, S3). Exportfunktion för all data.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pBdr>
          <w:bottom w:val="single" w:sz="6" w:space="4" w:color="2E75B6"/>
        </w:pBdr>
        <w:rPr/>
      </w:pPr>
      <w:r>
        <w:rPr/>
        <w:t>8. Nästa steg</w:t>
      </w:r>
    </w:p>
    <w:p>
      <w:pPr>
        <w:pStyle w:val="Normal"/>
        <w:spacing w:before="80" w:after="120"/>
        <w:rPr/>
      </w:pPr>
      <w:r>
        <w:rPr/>
        <w:t>För att gå från koncept till proof-of-concept föreslås följande beslutsunderlag: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/>
          <w:bCs/>
        </w:rPr>
        <w:t>Beslut: Godkänn konceptet och mandat att genomföra PoC-fas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Resurser: Utse ansvarig officer och teknisk kontaktpunkt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Säkerhet: Inhämta preliminärt utlåtande från FM CSEC om dataklassificering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Leverantör: Kontakta Safespring för offert och avtalsunderlag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/>
        <w:t>PoC: Klickbar prototyp klar inom 4–6 veckor för demonstration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120"/>
        <w:rPr/>
      </w:pPr>
      <w:r>
        <w:rPr/>
        <w:t>Konceptet är avsiktligt avgränsat och fristående för att minimera teknisk och organisatorisk risk i etableringsfasen. Systemet kan vid behov integreras med befintliga FM-system i en senare fas när värdet är bevisat.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tabs>
        <w:tab w:val="clear" w:pos="1304"/>
        <w:tab w:val="right" w:pos="9026" w:leader="none"/>
      </w:tabs>
      <w:rPr/>
    </w:pPr>
    <w:r>
      <w:rPr>
        <w:color w:val="888888"/>
        <w:sz w:val="18"/>
        <w:szCs w:val="18"/>
      </w:rPr>
      <w:t>© Försvarsmakten — Konceptdokument 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Sida </w:t>
    </w:r>
    <w:r>
      <w:fldChar w:fldCharType="begin"/>
    </w:r>
    <w:r>
      <w:rPr>
        <w:color w:val="888888"/>
        <w:sz w:val="18"/>
        <w:szCs w:val="18"/>
      </w:rPr>
      <w:instrText xml:space="preserve">[object Object]</w:instrText>
    </w:r>
    <w:r>
      <w:rPr>
        <w:color w:val="888888"/>
        <w:sz w:val="18"/>
        <w:szCs w:val="18"/>
      </w:rPr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</w:r>
    <w:r/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tabs>
        <w:tab w:val="clear" w:pos="1304"/>
        <w:tab w:val="right" w:pos="9026" w:leader="none"/>
      </w:tabs>
      <w:rPr/>
    </w:pPr>
    <w:r>
      <w:rPr>
        <w:color w:val="888888"/>
        <w:sz w:val="18"/>
        <w:szCs w:val="18"/>
      </w:rPr>
      <w:t>© Försvarsmakten — Konceptdokument 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Sida </w:t>
    </w:r>
    <w:r>
      <w:fldChar w:fldCharType="begin"/>
    </w:r>
    <w:r>
      <w:rPr>
        <w:color w:val="888888"/>
        <w:sz w:val="18"/>
        <w:szCs w:val="18"/>
      </w:rPr>
      <w:instrText xml:space="preserve">[object Object]</w:instrText>
    </w:r>
    <w:r>
      <w:rPr>
        <w:color w:val="888888"/>
        <w:sz w:val="18"/>
        <w:szCs w:val="18"/>
      </w:rPr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</w:r>
    <w:r/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tabs>
        <w:tab w:val="clear" w:pos="1304"/>
        <w:tab w:val="right" w:pos="9026" w:leader="none"/>
      </w:tabs>
      <w:rPr/>
    </w:pPr>
    <w:r>
      <w:rPr>
        <w:b/>
        <w:bCs/>
        <w:color w:val="1F3864"/>
        <w:sz w:val="18"/>
        <w:szCs w:val="18"/>
      </w:rPr>
      <w:t>BATALJONSSYSTEM — ARKITEKTUR</w:t>
    </w:r>
    <w:r>
      <w:rPr>
        <w:sz w:val="18"/>
        <w:szCs w:val="18"/>
      </w:rPr>
      <w:tab/>
    </w:r>
    <w:r>
      <w:rPr>
        <w:color w:val="888888"/>
        <w:sz w:val="18"/>
        <w:szCs w:val="18"/>
      </w:rPr>
      <w:t>KONFIDENTIELLT KONCEPT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tabs>
        <w:tab w:val="clear" w:pos="1304"/>
        <w:tab w:val="right" w:pos="9026" w:leader="none"/>
      </w:tabs>
      <w:rPr/>
    </w:pPr>
    <w:r>
      <w:rPr>
        <w:b/>
        <w:bCs/>
        <w:color w:val="1F3864"/>
        <w:sz w:val="18"/>
        <w:szCs w:val="18"/>
      </w:rPr>
      <w:t>BATALJONSSYSTEM — ARKITEKTUR</w:t>
    </w:r>
    <w:r>
      <w:rPr>
        <w:sz w:val="18"/>
        <w:szCs w:val="18"/>
      </w:rPr>
      <w:tab/>
    </w:r>
    <w:r>
      <w:rPr>
        <w:color w:val="888888"/>
        <w:sz w:val="18"/>
        <w:szCs w:val="18"/>
      </w:rPr>
      <w:t>KONFIDENTIELLT KONCEPT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defaultTabStop w:val="1304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sv-S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sv-SE" w:eastAsia="sv-S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sv-SE" w:eastAsia="sv-SE" w:bidi="ar-SA"/>
    </w:rPr>
  </w:style>
  <w:style w:type="paragraph" w:styleId="Heading1">
    <w:name w:val="heading 1"/>
    <w:uiPriority w:val="9"/>
    <w:qFormat/>
    <w:pPr>
      <w:widowControl/>
      <w:bidi w:val="0"/>
      <w:spacing w:before="400" w:after="200"/>
      <w:jc w:val="start"/>
      <w:outlineLvl w:val="0"/>
    </w:pPr>
    <w:rPr>
      <w:rFonts w:ascii="Arial" w:hAnsi="Arial" w:eastAsia="Arial" w:cs="Arial"/>
      <w:b/>
      <w:bCs/>
      <w:color w:val="1F3864"/>
      <w:kern w:val="0"/>
      <w:sz w:val="32"/>
      <w:szCs w:val="32"/>
      <w:lang w:val="sv-SE" w:eastAsia="sv-SE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300" w:after="160"/>
      <w:jc w:val="start"/>
      <w:outlineLvl w:val="1"/>
    </w:pPr>
    <w:rPr>
      <w:rFonts w:ascii="Arial" w:hAnsi="Arial" w:eastAsia="Arial" w:cs="Arial"/>
      <w:b/>
      <w:bCs/>
      <w:color w:val="2E75B6"/>
      <w:kern w:val="0"/>
      <w:sz w:val="26"/>
      <w:szCs w:val="26"/>
      <w:lang w:val="sv-SE" w:eastAsia="sv-SE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200" w:after="120"/>
      <w:jc w:val="start"/>
      <w:outlineLvl w:val="2"/>
    </w:pPr>
    <w:rPr>
      <w:rFonts w:ascii="Arial" w:hAnsi="Arial" w:eastAsia="Arial" w:cs="Arial"/>
      <w:b/>
      <w:bCs/>
      <w:color w:val="404040"/>
      <w:kern w:val="0"/>
      <w:sz w:val="24"/>
      <w:szCs w:val="24"/>
      <w:lang w:val="sv-SE" w:eastAsia="sv-S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sv-SE" w:eastAsia="sv-S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sv-SE" w:eastAsia="sv-S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sv-SE" w:eastAsia="sv-S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tnotstecken">
    <w:name w:val="Fotnotsteck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tnotstextChar" w:customStyle="1">
    <w:name w:val="Fotnotstext Char"/>
    <w:uiPriority w:val="99"/>
    <w:semiHidden/>
    <w:unhideWhenUsed/>
    <w:qFormat/>
    <w:rPr>
      <w:sz w:val="20"/>
      <w:szCs w:val="20"/>
    </w:rPr>
  </w:style>
  <w:style w:type="character" w:styleId="Slutnotstecken">
    <w:name w:val="Slutnotsteck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lutnotstextChar" w:customStyle="1">
    <w:name w:val="Slutnotstext Char"/>
    <w:uiPriority w:val="99"/>
    <w:semiHidden/>
    <w:unhideWhenUsed/>
    <w:qFormat/>
    <w:rPr>
      <w:sz w:val="20"/>
      <w:szCs w:val="20"/>
    </w:rPr>
  </w:style>
  <w:style w:type="paragraph" w:styleId="Rubrik">
    <w:name w:val="Rubri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sv-SE" w:eastAsia="sv-SE" w:bidi="ar-SA"/>
    </w:rPr>
  </w:style>
  <w:style w:type="paragraph" w:styleId="Stark1" w:customStyle="1">
    <w:name w:val="Stark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sv-SE" w:eastAsia="sv-S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sv-SE" w:eastAsia="sv-SE" w:bidi="ar-SA"/>
    </w:rPr>
  </w:style>
  <w:style w:type="paragraph" w:styleId="FootnoteText">
    <w:name w:val="footnote text"/>
    <w:link w:val="Fotnots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sv-SE" w:eastAsia="sv-SE" w:bidi="ar-SA"/>
    </w:rPr>
  </w:style>
  <w:style w:type="paragraph" w:styleId="EndnoteText">
    <w:name w:val="endnote text"/>
    <w:link w:val="Slutnots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sv-SE" w:eastAsia="sv-SE" w:bidi="ar-SA"/>
    </w:rPr>
  </w:style>
  <w:style w:type="paragraph" w:styleId="Sidhuvudochsidfot">
    <w:name w:val="Sidhuvud och sidfot"/>
    <w:basedOn w:val="Normal"/>
    <w:qFormat/>
    <w:pPr/>
    <w:rPr/>
  </w:style>
  <w:style w:type="paragraph" w:styleId="Header">
    <w:name w:val="header"/>
    <w:basedOn w:val="Sidhuvudochsidfot"/>
    <w:pPr/>
    <w:rPr/>
  </w:style>
  <w:style w:type="paragraph" w:styleId="Footer">
    <w:name w:val="footer"/>
    <w:basedOn w:val="Sidhuvudochsidfot"/>
    <w:pPr/>
    <w:rPr/>
  </w:style>
  <w:style w:type="numbering" w:styleId="Ingenlista" w:default="1">
    <w:name w:val="Ingen lista"/>
    <w:uiPriority w:val="99"/>
    <w:semiHidden/>
    <w:unhideWhenUsed/>
    <w:qFormat/>
  </w:style>
  <w:style w:type="table" w:default="1" w:styleId="Normaltabel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e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LibreOffice/26.2.4.2$Linux_X86_64 LibreOffice_project/620$Build-2</Application>
  <AppVersion>15.0000</AppVersion>
  <Pages>7</Pages>
  <Words>1123</Words>
  <Characters>7909</Characters>
  <CharactersWithSpaces>8797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2026-06-26T04:00:00Z</dcterms:created>
  <dc:creator>Un-named</dc:creator>
  <dc:description/>
  <dc:language>sv-SE</dc:language>
  <cp:lastModifiedBy/>
  <dcterms:modified xsi:type="dcterms:W3CDTF">2026-06-26T06:05:04Z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