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F47920"/>
          <w:sz w:val="40"/>
          <w:szCs w:val="40"/>
        </w:rPr>
        <w:t xml:space="preserve">AS 1288 Glass Thickness Calculator</w:t>
      </w:r>
    </w:p>
    <w:p>
      <w:pPr>
        <w:spacing w:after="60"/>
      </w:pPr>
      <w:r>
        <w:rPr>
          <w:color w:val="595959"/>
          <w:sz w:val="28"/>
          <w:szCs w:val="28"/>
        </w:rPr>
        <w:t xml:space="preserve">Project Summary</w:t>
      </w:r>
    </w:p>
    <w:p>
      <w:pPr>
        <w:spacing w:after="40"/>
      </w:pPr>
      <w:r>
        <w:rPr>
          <w:b/>
          <w:bCs/>
          <w:sz w:val="22"/>
          <w:szCs w:val="22"/>
        </w:rPr>
        <w:t xml:space="preserve">Duce Timber Windows and Doors</w:t>
      </w:r>
    </w:p>
    <w:p>
      <w:pPr>
        <w:spacing w:after="40"/>
      </w:pPr>
      <w:r>
        <w:rPr>
          <w:color w:val="595959"/>
          <w:sz w:val="20"/>
          <w:szCs w:val="20"/>
        </w:rPr>
        <w:t xml:space="preserve">Version: V1.0 — Prototype (EXE built, ready for internal testing)</w:t>
      </w:r>
    </w:p>
    <w:p>
      <w:pPr>
        <w:spacing w:after="300"/>
      </w:pPr>
      <w:r>
        <w:rPr>
          <w:color w:val="595959"/>
          <w:sz w:val="20"/>
          <w:szCs w:val="20"/>
        </w:rPr>
        <w:t xml:space="preserve">Last Updated: June 2026</w:t>
      </w:r>
    </w:p>
    <w:p>
      <w:pPr>
        <w:pStyle w:val="Heading1"/>
      </w:pPr>
      <w:r>
        <w:t xml:space="preserve">1. Project Overview</w:t>
      </w:r>
    </w:p>
    <w:p>
      <w:pPr>
        <w:spacing w:after="160"/>
      </w:pPr>
      <w:r>
        <w:t xml:space="preserve">An internal desktop tool for determining minimum glass thickness and checking glass compliance under wind loads in accordance with AS 1288. Built from scratch for Duce Timber Windows and Doors. The tool covers wind load calculations only (AS 1288 Section 4). Full Human Impact considerations are out of scope for V1.0 — a beta Safety Glass Area Check is included as a partial, clearly-flagged preview of that future functionality.</w:t>
      </w:r>
    </w:p>
    <w:p>
      <w:pPr>
        <w:spacing w:after="160"/>
      </w:pPr>
      <w:r>
        <w:t xml:space="preserve">The tool runs as a Flask web application, packaged as a standalone Windows EXE for distribution to testers without requiring Python installation.</w:t>
      </w:r>
    </w:p>
    <w:p>
      <w:pPr>
        <w:pStyle w:val="Heading1"/>
      </w:pPr>
      <w:r>
        <w:t xml:space="preserve">2. Technical Stack</w:t>
      </w:r>
    </w:p>
    <w:p>
      <w:pPr>
        <w:pStyle w:val="ListParagraph"/>
        <w:numPr>
          <w:ilvl w:val="0"/>
          <w:numId w:val="2"/>
        </w:numPr>
        <w:spacing w:after="80"/>
      </w:pPr>
      <w:r>
        <w:t xml:space="preserve">Language: Python 3.14</w:t>
      </w:r>
    </w:p>
    <w:p>
      <w:pPr>
        <w:pStyle w:val="ListParagraph"/>
        <w:numPr>
          <w:ilvl w:val="0"/>
          <w:numId w:val="2"/>
        </w:numPr>
        <w:spacing w:after="80"/>
      </w:pPr>
      <w:r>
        <w:t xml:space="preserve">Core libraries: pandas, Flask</w:t>
      </w:r>
    </w:p>
    <w:p>
      <w:pPr>
        <w:pStyle w:val="ListParagraph"/>
        <w:numPr>
          <w:ilvl w:val="0"/>
          <w:numId w:val="2"/>
        </w:numPr>
        <w:spacing w:after="80"/>
      </w:pPr>
      <w:r>
        <w:t xml:space="preserve">Frontend: HTML / CSS / JavaScript (dark theme matching Duce branding)</w:t>
      </w:r>
    </w:p>
    <w:p>
      <w:pPr>
        <w:pStyle w:val="ListParagraph"/>
        <w:numPr>
          <w:ilvl w:val="0"/>
          <w:numId w:val="2"/>
        </w:numPr>
        <w:spacing w:after="80"/>
      </w:pPr>
      <w:r>
        <w:t xml:space="preserve">Packaging: PyInstaller (--onefile EXE with custom Duce icon)</w:t>
      </w:r>
    </w:p>
    <w:p>
      <w:pPr>
        <w:pStyle w:val="ListParagraph"/>
        <w:numPr>
          <w:ilvl w:val="0"/>
          <w:numId w:val="2"/>
        </w:numPr>
        <w:spacing w:after="80"/>
      </w:pPr>
      <w:r>
        <w:t xml:space="preserve">Future: cloud or VM hosting for wider rollout; full Human Impact engine (V2.0)</w:t>
      </w:r>
    </w:p>
    <w:p>
      <w:pPr>
        <w:pStyle w:val="Heading1"/>
      </w:pPr>
      <w:r>
        <w:t xml:space="preserve">3. Project Folder Structure</w:t>
      </w:r>
    </w:p>
    <w:p>
      <w:pPr>
        <w:spacing w:after="160"/>
      </w:pPr>
      <w:r>
        <w:rPr>
          <w:rFonts w:ascii="Consolas" w:cs="Consolas" w:eastAsia="Consolas" w:hAnsi="Consolas"/>
          <w:color w:val="333333"/>
          <w:sz w:val="20"/>
          <w:szCs w:val="20"/>
        </w:rPr>
        <w:t xml:space="preserve">duce_glass_calc/</w:t>
      </w:r>
    </w:p>
    <w:p>
      <w:pPr>
        <w:spacing w:after="160"/>
      </w:pPr>
      <w:r>
        <w:rPr>
          <w:rFonts w:ascii="Consolas" w:cs="Consolas" w:eastAsia="Consolas" w:hAnsi="Consolas"/>
          <w:color w:val="333333"/>
          <w:sz w:val="20"/>
          <w:szCs w:val="20"/>
        </w:rPr>
        <w:t xml:space="preserve">├── data/</w:t>
      </w:r>
    </w:p>
    <w:p>
      <w:pPr>
        <w:spacing w:after="160"/>
      </w:pPr>
      <w:r>
        <w:rPr>
          <w:rFonts w:ascii="Consolas" w:cs="Consolas" w:eastAsia="Consolas" w:hAnsi="Consolas"/>
          <w:color w:val="333333"/>
          <w:sz w:val="20"/>
          <w:szCs w:val="20"/>
        </w:rPr>
        <w:t xml:space="preserve">│   ├── Wind_Load_Check_Tables_Full.csv</w:t>
      </w:r>
    </w:p>
    <w:p>
      <w:pPr>
        <w:spacing w:after="160"/>
      </w:pPr>
      <w:r>
        <w:rPr>
          <w:rFonts w:ascii="Consolas" w:cs="Consolas" w:eastAsia="Consolas" w:hAnsi="Consolas"/>
          <w:color w:val="333333"/>
          <w:sz w:val="20"/>
          <w:szCs w:val="20"/>
        </w:rPr>
        <w:t xml:space="preserve">│   ├── N_C_Tables.csv</w:t>
      </w:r>
    </w:p>
    <w:p>
      <w:pPr>
        <w:spacing w:after="160"/>
      </w:pPr>
      <w:r>
        <w:rPr>
          <w:rFonts w:ascii="Consolas" w:cs="Consolas" w:eastAsia="Consolas" w:hAnsi="Consolas"/>
          <w:color w:val="333333"/>
          <w:sz w:val="20"/>
          <w:szCs w:val="20"/>
        </w:rPr>
        <w:t xml:space="preserve">│   └── Table_4_1_Minimum_Glass_Thickness.csv</w:t>
      </w:r>
    </w:p>
    <w:p>
      <w:pPr>
        <w:spacing w:after="160"/>
      </w:pPr>
      <w:r>
        <w:rPr>
          <w:rFonts w:ascii="Consolas" w:cs="Consolas" w:eastAsia="Consolas" w:hAnsi="Consolas"/>
          <w:color w:val="333333"/>
          <w:sz w:val="20"/>
          <w:szCs w:val="20"/>
        </w:rPr>
        <w:t xml:space="preserve">├── outputs/</w:t>
      </w:r>
    </w:p>
    <w:p>
      <w:pPr>
        <w:spacing w:after="160"/>
      </w:pPr>
      <w:r>
        <w:rPr>
          <w:rFonts w:ascii="Consolas" w:cs="Consolas" w:eastAsia="Consolas" w:hAnsi="Consolas"/>
          <w:color w:val="333333"/>
          <w:sz w:val="20"/>
          <w:szCs w:val="20"/>
        </w:rPr>
        <w:t xml:space="preserve">├── dist/</w:t>
      </w:r>
    </w:p>
    <w:p>
      <w:pPr>
        <w:spacing w:after="160"/>
      </w:pPr>
      <w:r>
        <w:rPr>
          <w:rFonts w:ascii="Consolas" w:cs="Consolas" w:eastAsia="Consolas" w:hAnsi="Consolas"/>
          <w:color w:val="333333"/>
          <w:sz w:val="20"/>
          <w:szCs w:val="20"/>
        </w:rPr>
        <w:t xml:space="preserve">│   └── AS1288_Calculator.exe   (standalone EXE for distribution)</w:t>
      </w:r>
    </w:p>
    <w:p>
      <w:pPr>
        <w:spacing w:after="160"/>
      </w:pPr>
      <w:r>
        <w:rPr>
          <w:rFonts w:ascii="Consolas" w:cs="Consolas" w:eastAsia="Consolas" w:hAnsi="Consolas"/>
          <w:color w:val="333333"/>
          <w:sz w:val="20"/>
          <w:szCs w:val="20"/>
        </w:rPr>
        <w:t xml:space="preserve">├── build/                       (PyInstaller working files, not distributed)</w:t>
      </w:r>
    </w:p>
    <w:p>
      <w:pPr>
        <w:spacing w:after="160"/>
      </w:pPr>
      <w:r>
        <w:rPr>
          <w:rFonts w:ascii="Consolas" w:cs="Consolas" w:eastAsia="Consolas" w:hAnsi="Consolas"/>
          <w:color w:val="333333"/>
          <w:sz w:val="20"/>
          <w:szCs w:val="20"/>
        </w:rPr>
        <w:t xml:space="preserve">├── src/</w:t>
      </w:r>
    </w:p>
    <w:p>
      <w:pPr>
        <w:spacing w:after="160"/>
      </w:pPr>
      <w:r>
        <w:rPr>
          <w:rFonts w:ascii="Consolas" w:cs="Consolas" w:eastAsia="Consolas" w:hAnsi="Consolas"/>
          <w:color w:val="333333"/>
          <w:sz w:val="20"/>
          <w:szCs w:val="20"/>
        </w:rPr>
        <w:t xml:space="preserve">│   ├── calculator.py            (core calculation engine)</w:t>
      </w:r>
    </w:p>
    <w:p>
      <w:pPr>
        <w:spacing w:after="160"/>
      </w:pPr>
      <w:r>
        <w:rPr>
          <w:rFonts w:ascii="Consolas" w:cs="Consolas" w:eastAsia="Consolas" w:hAnsi="Consolas"/>
          <w:color w:val="333333"/>
          <w:sz w:val="20"/>
          <w:szCs w:val="20"/>
        </w:rPr>
        <w:t xml:space="preserve">│   ├── app.py                   (Flask server + report builder)</w:t>
      </w:r>
    </w:p>
    <w:p>
      <w:pPr>
        <w:spacing w:after="160"/>
      </w:pPr>
      <w:r>
        <w:rPr>
          <w:rFonts w:ascii="Consolas" w:cs="Consolas" w:eastAsia="Consolas" w:hAnsi="Consolas"/>
          <w:color w:val="333333"/>
          <w:sz w:val="20"/>
          <w:szCs w:val="20"/>
        </w:rPr>
        <w:t xml:space="preserve">│   ├── launcher.py              (EXE entry point)</w:t>
      </w:r>
    </w:p>
    <w:p>
      <w:pPr>
        <w:spacing w:after="160"/>
      </w:pPr>
      <w:r>
        <w:rPr>
          <w:rFonts w:ascii="Consolas" w:cs="Consolas" w:eastAsia="Consolas" w:hAnsi="Consolas"/>
          <w:color w:val="333333"/>
          <w:sz w:val="20"/>
          <w:szCs w:val="20"/>
        </w:rPr>
        <w:t xml:space="preserve">│   ├── duce_icon.ico</w:t>
      </w:r>
    </w:p>
    <w:p>
      <w:pPr>
        <w:spacing w:after="160"/>
      </w:pPr>
      <w:r>
        <w:rPr>
          <w:rFonts w:ascii="Consolas" w:cs="Consolas" w:eastAsia="Consolas" w:hAnsi="Consolas"/>
          <w:color w:val="333333"/>
          <w:sz w:val="20"/>
          <w:szCs w:val="20"/>
        </w:rPr>
        <w:t xml:space="preserve">│   ├── test_runner.py           (19 validated test cases)</w:t>
      </w:r>
    </w:p>
    <w:p>
      <w:pPr>
        <w:spacing w:after="160"/>
      </w:pPr>
      <w:r>
        <w:rPr>
          <w:rFonts w:ascii="Consolas" w:cs="Consolas" w:eastAsia="Consolas" w:hAnsi="Consolas"/>
          <w:color w:val="333333"/>
          <w:sz w:val="20"/>
          <w:szCs w:val="20"/>
        </w:rPr>
        <w:t xml:space="preserve">│   ├── test_runner_2.py         (16 additional test cases)</w:t>
      </w:r>
    </w:p>
    <w:p>
      <w:pPr>
        <w:spacing w:after="160"/>
      </w:pPr>
      <w:r>
        <w:rPr>
          <w:rFonts w:ascii="Consolas" w:cs="Consolas" w:eastAsia="Consolas" w:hAnsi="Consolas"/>
          <w:color w:val="333333"/>
          <w:sz w:val="20"/>
          <w:szCs w:val="20"/>
        </w:rPr>
        <w:t xml:space="preserve">│   ├── static/  (style.css, duce_logo.png)</w:t>
      </w:r>
    </w:p>
    <w:p>
      <w:pPr>
        <w:spacing w:after="160"/>
      </w:pPr>
      <w:r>
        <w:rPr>
          <w:rFonts w:ascii="Consolas" w:cs="Consolas" w:eastAsia="Consolas" w:hAnsi="Consolas"/>
          <w:color w:val="333333"/>
          <w:sz w:val="20"/>
          <w:szCs w:val="20"/>
        </w:rPr>
        <w:t xml:space="preserve">│   └── templates/ (index.html)</w:t>
      </w:r>
    </w:p>
    <w:p>
      <w:pPr>
        <w:spacing w:after="160"/>
      </w:pPr>
      <w:r>
        <w:rPr>
          <w:rFonts w:ascii="Consolas" w:cs="Consolas" w:eastAsia="Consolas" w:hAnsi="Consolas"/>
          <w:color w:val="333333"/>
          <w:sz w:val="20"/>
          <w:szCs w:val="20"/>
        </w:rPr>
        <w:t xml:space="preserve">└── AS1288_Calculator.spec       (PyInstaller build spec)</w:t>
      </w:r>
    </w:p>
    <w:p>
      <w:pPr>
        <w:pStyle w:val="Heading1"/>
      </w:pPr>
      <w:r>
        <w:t xml:space="preserve">4. Data Files</w:t>
      </w:r>
    </w:p>
    <w:p>
      <w:pPr>
        <w:pStyle w:val="Heading2"/>
      </w:pPr>
      <w:r>
        <w:t xml:space="preserve">Wind_Load_Check_Tables_Full.csv</w:t>
      </w:r>
    </w:p>
    <w:p>
      <w:pPr>
        <w:spacing w:after="160"/>
      </w:pPr>
      <w:r>
        <w:t xml:space="preserve">315 rows. Contains ULS and SLS wind load coefficients (k1–k4) per AS 1288. Columns: Wind Load Type, Glass Type, Glass sub-type 1, Nominal Thickness (mm), Support Condition, AR, k1, k2, k3, k4.</w:t>
      </w:r>
    </w:p>
    <w:p>
      <w:pPr>
        <w:pStyle w:val="Heading2"/>
      </w:pPr>
      <w:r>
        <w:t xml:space="preserve">N_C_Tables.csv</w:t>
      </w:r>
    </w:p>
    <w:p>
      <w:pPr>
        <w:spacing w:after="160"/>
      </w:pPr>
      <w:r>
        <w:t xml:space="preserve">20 rows. Wind classification pressure lookup for AS 4055 (N1–N6, C1–C4, General / Corner).</w:t>
      </w:r>
    </w:p>
    <w:p>
      <w:pPr>
        <w:pStyle w:val="Heading2"/>
      </w:pPr>
      <w:r>
        <w:t xml:space="preserve">Table_4_1_Minimum_Glass_Thickness.csv</w:t>
      </w:r>
    </w:p>
    <w:p>
      <w:pPr>
        <w:spacing w:after="160"/>
      </w:pPr>
      <w:r>
        <w:t xml:space="preserve">18 rows. Converts actual measured thickness to nominal thickness per AS 1288 Table 4.1.</w:t>
      </w:r>
    </w:p>
    <w:p>
      <w:pPr>
        <w:pStyle w:val="Heading2"/>
      </w:pPr>
      <w:r>
        <w:t xml:space="preserve">Safety Glass Area Table (AS 1288 Table 5.1)</w:t>
      </w:r>
    </w:p>
    <w:p>
      <w:pPr>
        <w:spacing w:after="160"/>
      </w:pPr>
      <w:r>
        <w:t xml:space="preserve">Hardcoded in calculator.py. Two categories — Monolithic Toughened / Toughened Laminated, and Laminated Annealed / Heat-strengthened Laminated. 4-edge supported only.</w:t>
      </w:r>
    </w:p>
    <w:p>
      <w:pPr>
        <w:pStyle w:val="Heading1"/>
      </w:pPr>
      <w:r>
        <w:t xml:space="preserve">5. Engineering Logic Summary</w:t>
      </w:r>
    </w:p>
    <w:p>
      <w:pPr>
        <w:pStyle w:val="Heading2"/>
      </w:pPr>
      <w:r>
        <w:t xml:space="preserve">Calculation Modes</w:t>
      </w:r>
    </w:p>
    <w:p>
      <w:pPr>
        <w:pStyle w:val="ListParagraph"/>
        <w:numPr>
          <w:ilvl w:val="0"/>
          <w:numId w:val="2"/>
        </w:numPr>
        <w:spacing w:after="80"/>
      </w:pPr>
      <w:r>
        <w:t xml:space="preserve">Mode 1 — Minimum Thickness Finder: finds minimum compliant thickness for selected glass type(s) and glazing configuration.</w:t>
      </w:r>
    </w:p>
    <w:p>
      <w:pPr>
        <w:pStyle w:val="ListParagraph"/>
        <w:numPr>
          <w:ilvl w:val="0"/>
          <w:numId w:val="2"/>
        </w:numPr>
        <w:spacing w:after="80"/>
      </w:pPr>
      <w:r>
        <w:t xml:space="preserve">Mode 2 — Compliance Checker: checks whether a known actual glass thickness meets requirements; converts actual thickness to nominal per Table 4.1.</w:t>
      </w:r>
    </w:p>
    <w:p>
      <w:pPr>
        <w:pStyle w:val="Heading2"/>
      </w:pPr>
      <w:r>
        <w:t xml:space="preserve">Glass Types</w:t>
      </w:r>
    </w:p>
    <w:p>
      <w:pPr>
        <w:pStyle w:val="ListParagraph"/>
        <w:numPr>
          <w:ilvl w:val="0"/>
          <w:numId w:val="2"/>
        </w:numPr>
        <w:spacing w:after="80"/>
      </w:pPr>
      <w:r>
        <w:t xml:space="preserve">Monolithic Annealed — minimum nominal thickness 4mm (3mm removed entirely; no longer offered or accepted)</w:t>
      </w:r>
    </w:p>
    <w:p>
      <w:pPr>
        <w:pStyle w:val="ListParagraph"/>
        <w:numPr>
          <w:ilvl w:val="0"/>
          <w:numId w:val="2"/>
        </w:numPr>
        <w:spacing w:after="80"/>
      </w:pPr>
      <w:r>
        <w:t xml:space="preserve">Monolithic Toughened</w:t>
      </w:r>
    </w:p>
    <w:p>
      <w:pPr>
        <w:pStyle w:val="ListParagraph"/>
        <w:numPr>
          <w:ilvl w:val="0"/>
          <w:numId w:val="2"/>
        </w:numPr>
        <w:spacing w:after="80"/>
      </w:pPr>
      <w:r>
        <w:t xml:space="preserve">Monolithic Heat-strengthened</w:t>
      </w:r>
    </w:p>
    <w:p>
      <w:pPr>
        <w:pStyle w:val="ListParagraph"/>
        <w:numPr>
          <w:ilvl w:val="0"/>
          <w:numId w:val="2"/>
        </w:numPr>
        <w:spacing w:after="80"/>
      </w:pPr>
      <w:r>
        <w:t xml:space="preserve">Laminated Annealed</w:t>
      </w:r>
    </w:p>
    <w:p>
      <w:pPr>
        <w:pStyle w:val="ListParagraph"/>
        <w:numPr>
          <w:ilvl w:val="0"/>
          <w:numId w:val="2"/>
        </w:numPr>
        <w:spacing w:after="80"/>
      </w:pPr>
      <w:r>
        <w:t xml:space="preserve">Laminated Heat-strengthened — c1 = 1.6 (AS 1288 Clause 4.4.5); uses Laminated Annealed k-values with pressures divided by c1</w:t>
      </w:r>
    </w:p>
    <w:p>
      <w:pPr>
        <w:pStyle w:val="ListParagraph"/>
        <w:numPr>
          <w:ilvl w:val="0"/>
          <w:numId w:val="2"/>
        </w:numPr>
        <w:spacing w:after="80"/>
      </w:pPr>
      <w:r>
        <w:t xml:space="preserve">Laminated Toughened — c1 = 2.5, same method</w:t>
      </w:r>
    </w:p>
    <w:p>
      <w:pPr>
        <w:pStyle w:val="Heading2"/>
      </w:pPr>
      <w:r>
        <w:t xml:space="preserve">Glazing Configurations</w:t>
      </w:r>
    </w:p>
    <w:p>
      <w:pPr>
        <w:spacing w:after="160"/>
      </w:pPr>
      <w:r>
        <w:t xml:space="preserve">Single, IGU Double, IGU Triple.</w:t>
      </w:r>
    </w:p>
    <w:p>
      <w:pPr>
        <w:pStyle w:val="ListParagraph"/>
        <w:numPr>
          <w:ilvl w:val="0"/>
          <w:numId w:val="2"/>
        </w:numPr>
        <w:spacing w:after="80"/>
      </w:pPr>
      <w:r>
        <w:t xml:space="preserve">Mode 1: equal-thickness assumption. k_pane fixed constants — Single 1.0, Double 0.625, Triple 0.4167.</w:t>
      </w:r>
    </w:p>
    <w:p>
      <w:pPr>
        <w:pStyle w:val="ListParagraph"/>
        <w:numPr>
          <w:ilvl w:val="0"/>
          <w:numId w:val="2"/>
        </w:numPr>
        <w:spacing w:after="80"/>
      </w:pPr>
      <w:r>
        <w:t xml:space="preserve">Mode 2: actual per-pane thicknesses. k_pane = min(1.25 × t_pane³ / Σti³, 1.0), calculated individually per pane.</w:t>
      </w:r>
    </w:p>
    <w:p>
      <w:pPr>
        <w:pStyle w:val="Heading2"/>
      </w:pPr>
      <w:r>
        <w:t xml:space="preserve">Support Conditions</w:t>
      </w:r>
    </w:p>
    <w:p>
      <w:pPr>
        <w:spacing w:after="160"/>
      </w:pPr>
      <w:r>
        <w:t xml:space="preserve">4-edge (span = shortest dimension, AR rounded up to next table value) and 2-edge (span = user-confirmed dimension, AR = Independent).</w:t>
      </w:r>
    </w:p>
    <w:p>
      <w:pPr>
        <w:pStyle w:val="Heading2"/>
      </w:pPr>
      <w:r>
        <w:t xml:space="preserve">Aspect Ratio</w:t>
      </w:r>
    </w:p>
    <w:p>
      <w:pPr>
        <w:spacing w:after="160"/>
      </w:pPr>
      <w:r>
        <w:t xml:space="preserve">AR = longest ÷ shortest. AR ≥ 5.0 uses the AR=5 row — there is no out-of-scope rejection for high AR; AS 1288 caps at AR=5 regardless of how elongated the panel is.</w:t>
      </w:r>
    </w:p>
    <w:p>
      <w:pPr>
        <w:pStyle w:val="Heading2"/>
      </w:pPr>
      <w:r>
        <w:t xml:space="preserve">Wind Load Input</w:t>
      </w:r>
    </w:p>
    <w:p>
      <w:pPr>
        <w:spacing w:after="160"/>
      </w:pPr>
      <w:r>
        <w:t xml:space="preserve">Direct pressure (Pa, AS 1170.2) or N/C rating (AS 4055, N1–N6 / C1–C4, General / Corner).</w:t>
      </w:r>
    </w:p>
    <w:p>
      <w:pPr>
        <w:pStyle w:val="Heading2"/>
      </w:pPr>
      <w:r>
        <w:t xml:space="preserve">Safety Glass Area Check (Beta)</w:t>
      </w:r>
    </w:p>
    <w:p>
      <w:pPr>
        <w:spacing w:after="160"/>
      </w:pPr>
      <w:r>
        <w:t xml:space="preserve">User-declared toggle — the tool does not assess whether safety glass is required. 4-edge only in this version. Eligible types: Monolithic Toughened, Laminated Annealed, Laminated Heat-strengthened, Laminated Toughened. Monolithic Annealed and Monolithic Heat-strengthened are ineligible and excluded from selection when the toggle is on. Sequence: ULS → SLS → Safety Glass Area Check (from governing wind-load thickness upward). Final minimum = highest of all three. Persistent disclaimer shown when toggle is on, including reference to AS 1288 Section 5 for other governing human impact requirements.</w:t>
      </w:r>
    </w:p>
    <w:p>
      <w:pPr>
        <w:spacing w:after="160"/>
      </w:pPr>
      <w:r>
        <w:rPr>
          <w:b/>
          <w:bCs/>
        </w:rPr>
        <w:t xml:space="preserve">Known limitation flagged for V2.0: </w:t>
      </w:r>
    </w:p>
    <w:p>
      <w:pPr>
        <w:spacing w:after="160"/>
      </w:pPr>
      <w:r>
        <w:t xml:space="preserve">AS 1288 Clause 5.22 (Insulating Glass Units) specifies that for IGUs with human impact possible from both sides, both panes must meet safety glass requirements and the Table 5.1 area limits may be multiplied by 1.5; for one-side-accessible situations, only the accessible pane needs to comply at the standard (non-multiplied) limit. This is not yet implemented — the current beta check applies standard Table 5.1 limits uniformly and does not differentiate by IGU access scenario.</w:t>
      </w:r>
    </w:p>
    <w:p>
      <w:pPr>
        <w:pStyle w:val="Heading2"/>
      </w:pPr>
      <w:r>
        <w:t xml:space="preserve">Results &amp; Reporting</w:t>
      </w:r>
    </w:p>
    <w:p>
      <w:pPr>
        <w:spacing w:after="160"/>
      </w:pPr>
      <w:r>
        <w:t xml:space="preserve">On-screen results use a black-green (PASS) / black-red (FAIL) card theme with the final governing thickness or next-compliant-thickness recommendation in a prominent footer. The downloadable TXT report shows full stepwise calculation detail — every thickness tested, k-values, formula substitution, B values, and (for Mode 2 failures) the full trace of the search for the next compliant thickness across all active checks.</w:t>
      </w:r>
    </w:p>
    <w:p>
      <w:pPr>
        <w:pStyle w:val="Heading1"/>
      </w:pPr>
      <w:r>
        <w:t xml:space="preserve">6. Validation</w:t>
      </w:r>
    </w:p>
    <w:p>
      <w:pPr>
        <w:spacing w:after="160"/>
      </w:pPr>
      <w:r>
        <w:t xml:space="preserve">Two automated test suites, run via test_runner.py (19 cases) and test_runner_2.py (16 cases) — 35 cases total, all passing. Coverage includes both modes, all six glass types, all glazing configurations, both support conditions, both wind input methods, AR edge cases, k_pane / c1 combinations, the Safety Glass Area Check (pass / fail / ineligible / extrapolate), and Mode 2 fail / next-compliant-thickness scenarios.</w:t>
      </w:r>
    </w:p>
    <w:p>
      <w:pPr>
        <w:pStyle w:val="Heading1"/>
      </w:pPr>
      <w:r>
        <w:t xml:space="preserve">7. Distribution — Current State</w:t>
      </w:r>
    </w:p>
    <w:p>
      <w:pPr>
        <w:spacing w:after="160"/>
      </w:pPr>
      <w:r>
        <w:t xml:space="preserve">Packaged as a single-file Windows EXE (AS1288_Calculator.exe) via PyInstaller, including a custom Duce icon. Data tables are preloaded once at startup (not re-read per calculation) for performance. The EXE bundles Python, Flask, pandas, the HTML / CSS frontend, and all CSV data — recipients need only Windows and a browser, no installation required. Suitable for distributing to a small internal test group via email or shared drive.</w:t>
      </w:r>
    </w:p>
    <w:p>
      <w:pPr>
        <w:spacing w:after="160"/>
      </w:pPr>
      <w:r>
        <w:rPr>
          <w:b/>
          <w:bCs/>
        </w:rPr>
        <w:t xml:space="preserve">Known consideration: </w:t>
      </w:r>
    </w:p>
    <w:p>
      <w:pPr>
        <w:spacing w:after="160"/>
      </w:pPr>
      <w:r>
        <w:t xml:space="preserve">unsigned EXE may trigger antivirus / Windows Defender warnings on first run — expected and not an indication of a fault.</w:t>
      </w:r>
    </w:p>
    <w:p>
      <w:pPr>
        <w:pStyle w:val="Heading1"/>
      </w:pPr>
      <w:r>
        <w:t xml:space="preserve">8. Pending / Next Steps</w:t>
      </w:r>
    </w:p>
    <w:p>
      <w:pPr>
        <w:pStyle w:val="ListParagraph"/>
        <w:numPr>
          <w:ilvl w:val="0"/>
          <w:numId w:val="2"/>
        </w:numPr>
        <w:spacing w:after="80"/>
      </w:pPr>
      <w:r>
        <w:t xml:space="preserve">Distribute EXE to internal test group and collect feedback</w:t>
      </w:r>
    </w:p>
    <w:p>
      <w:pPr>
        <w:pStyle w:val="ListParagraph"/>
        <w:numPr>
          <w:ilvl w:val="0"/>
          <w:numId w:val="2"/>
        </w:numPr>
        <w:spacing w:after="80"/>
      </w:pPr>
      <w:r>
        <w:t xml:space="preserve">Move to cloud or VM hosting (Duce's existing RDP-accessible VM was identified as a candidate) for wider, network-independent access once EXE testing is complete</w:t>
      </w:r>
    </w:p>
    <w:p>
      <w:pPr>
        <w:pStyle w:val="ListParagraph"/>
        <w:numPr>
          <w:ilvl w:val="0"/>
          <w:numId w:val="2"/>
        </w:numPr>
        <w:spacing w:after="80"/>
      </w:pPr>
      <w:r>
        <w:t xml:space="preserve">Consider Excel add-in only as a later integration layer on top of the existing Flask API — not a replacement for the current architecture</w:t>
      </w:r>
    </w:p>
    <w:p>
      <w:pPr>
        <w:pStyle w:val="ListParagraph"/>
        <w:numPr>
          <w:ilvl w:val="0"/>
          <w:numId w:val="2"/>
        </w:numPr>
        <w:spacing w:after="80"/>
      </w:pPr>
      <w:r>
        <w:t xml:space="preserve">V2.0: full Human Impact engine (replacing the beta Safety Glass Area Check), including Clause 5.22 IGU factor, running as a parallel engine with combined UI output</w:t>
      </w:r>
    </w:p>
    <w:p>
      <w:pPr>
        <w:pStyle w:val="Heading1"/>
      </w:pPr>
      <w:r>
        <w:t xml:space="preserve">9. How to Resume This Project in a New Conversation</w:t>
      </w:r>
    </w:p>
    <w:p>
      <w:pPr>
        <w:spacing w:after="160"/>
      </w:pPr>
      <w:r>
        <w:t xml:space="preserve">Paste this document at the start of a new conversation with:</w:t>
      </w:r>
    </w:p>
    <w:p>
      <w:pPr>
        <w:spacing w:after="200"/>
        <w:ind w:left="360"/>
      </w:pPr>
      <w:r>
        <w:rPr>
          <w:i/>
          <w:iCs/>
          <w:color w:val="595959"/>
        </w:rPr>
        <w:t xml:space="preserve">“I am continuing development of the AS 1288 Glass Thickness Calculator for Duce Timber Windows and Doors. The attached document summarises the project state. Phase 1 (calculation engine) and the Flask GUI/EXE build are complete and validated. Here is where we left off: [brief description].”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47920" w:sz="6" w:space="4"/>
      </w:pBdr>
      <w:spacing w:after="200" w:before="360"/>
      <w:outlineLvl w:val="0"/>
    </w:pPr>
    <w:rPr>
      <w:rFonts w:ascii="Arial" w:cs="Arial" w:eastAsia="Arial" w:hAnsi="Arial"/>
      <w:b/>
      <w:bCs/>
      <w:color w:val="F4792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2026-06-19T03:56:32.727Z</dcterms:created>
  <dcterms:modified xsi:type="dcterms:W3CDTF">2026-06-19T03:56:32.727Z</dcterms:modified>
</cp:coreProperties>
</file>

<file path=docProps/custom.xml><?xml version="1.0" encoding="utf-8"?>
<Properties xmlns="http://schemas.openxmlformats.org/officeDocument/2006/custom-properties" xmlns:vt="http://schemas.openxmlformats.org/officeDocument/2006/docPropsVTypes"/>
</file>