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9.png" ContentType="image/png"/>
  <Override PartName="/word/media/rId25.png" ContentType="image/png"/>
  <Override PartName="/word/media/rId36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Pricing FN FS9548: Agency and Private-Label MBS Valuation</w:t>
      </w:r>
    </w:p>
    <w:p>
      <w:pPr>
        <w:pStyle w:val="Subtitle"/>
      </w:pPr>
      <w:r>
        <w:t xml:space="preserve">Fixed Income Securities (QFGB-8931), Final Project, Spring 2026 (revised edition)</w:t>
      </w:r>
    </w:p>
    <w:p>
      <w:pPr>
        <w:pStyle w:val="Author"/>
      </w:pPr>
      <w:r>
        <w:t xml:space="preserve">James Huang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FN FS9548 Mtge (CUSIP 3140XRTE5), Fannie Mae UMBS conventional 15-year pool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Valuation date:</w:t>
      </w:r>
      <w:r>
        <w:t xml:space="preserve"> </w:t>
      </w:r>
      <w:r>
        <w:t xml:space="preserve">30 April 2026 (Bloomberg BVAL, NY 4pm bid)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discrete monthly Monte Carlo, 10,000 interest-rate paths, implemented in Python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notebooks/</w:t>
      </w:r>
      <w:r>
        <w:t xml:space="preserve">) with a formula-by-formula Excel walk-through of one path (</w:t>
      </w:r>
      <w:r>
        <w:rPr>
          <w:rStyle w:val="VerbatimChar"/>
        </w:rPr>
        <w:t xml:space="preserve">excel/</w:t>
      </w:r>
      <w:r>
        <w:t xml:space="preserve">)</w:t>
      </w:r>
    </w:p>
    <w:bookmarkStart w:id="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FN FS9548 is valued under two guarantee assumptions. In</w:t>
      </w:r>
      <w:r>
        <w:t xml:space="preserve"> </w:t>
      </w:r>
      <w:r>
        <w:rPr>
          <w:b/>
          <w:bCs/>
        </w:rPr>
        <w:t xml:space="preserve">Part I</w:t>
      </w:r>
      <w:r>
        <w:t xml:space="preserve"> </w:t>
      </w:r>
      <w:r>
        <w:t xml:space="preserve">the U.S. government guarantees timely payment</w:t>
      </w:r>
      <w:r>
        <w:t xml:space="preserve"> </w:t>
      </w:r>
      <w:r>
        <w:t xml:space="preserve">of principal and interest, so the only risks are interest-rate and prepayment risk. In</w:t>
      </w:r>
      <w:r>
        <w:t xml:space="preserve"> </w:t>
      </w:r>
      <w:r>
        <w:rPr>
          <w:b/>
          <w:bCs/>
        </w:rPr>
        <w:t xml:space="preserve">Part II</w:t>
      </w:r>
      <w:r>
        <w:t xml:space="preserve"> </w:t>
      </w:r>
      <w:r>
        <w:t xml:space="preserve">the guarantor</w:t>
      </w:r>
      <w:r>
        <w:t xml:space="preserve"> </w:t>
      </w:r>
      <w:r>
        <w:t xml:space="preserve">is a private financial institution rated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by S&amp;P, so the cash flows also carry the guarantor’s credit risk.</w:t>
      </w:r>
    </w:p>
    <w:p>
      <w:pPr>
        <w:pStyle w:val="BodyText"/>
      </w:pPr>
      <w:r>
        <w:t xml:space="preserve">The model simulates 10,000 monthly one-month Treasury rate paths. Their drift is calibrated so that the paths</w:t>
      </w:r>
      <w:r>
        <w:t xml:space="preserve"> </w:t>
      </w:r>
      <w:r>
        <w:t xml:space="preserve">reprice the 30 April 2026 Treasury zero curve exactly, and their volatility (25.2 bp per month) comes from ten</w:t>
      </w:r>
      <w:r>
        <w:t xml:space="preserve"> </w:t>
      </w:r>
      <w:r>
        <w:t xml:space="preserve">years of month-end 10-year Treasury yields. Prepayments follow Bloomberg’s projected</w:t>
      </w:r>
      <w:r>
        <w:t xml:space="preserve"> </w:t>
      </w:r>
      <w:r>
        <w:rPr>
          <w:b/>
          <w:bCs/>
        </w:rPr>
        <w:t xml:space="preserve">178 PSA</w:t>
      </w:r>
      <w:r>
        <w:t xml:space="preserve">, adjusted on each</w:t>
      </w:r>
      <w:r>
        <w:t xml:space="preserve"> </w:t>
      </w:r>
      <w:r>
        <w:t xml:space="preserve">path for the simulated change in rates. Each path’s cash flows are discounted with that path’s own cumulative</w:t>
      </w:r>
      <w:r>
        <w:t xml:space="preserve"> </w:t>
      </w:r>
      <w:r>
        <w:t xml:space="preserve">discount factors on the actual payment dates, and the security’s value is the average across paths.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 I: agency</w:t>
            </w:r>
          </w:p>
        </w:tc>
        <w:tc>
          <w:tcPr/>
          <w:p>
            <w:pPr>
              <w:pStyle w:val="Compact"/>
            </w:pPr>
            <w:r>
              <w:t xml:space="preserve">Part II: private label 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value, clean, per 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98.198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98.090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Monte Carlo standard error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BVAL bid, clean</w:t>
            </w:r>
          </w:p>
        </w:tc>
        <w:tc>
          <w:tcPr/>
          <w:p>
            <w:pPr>
              <w:pStyle w:val="Compact"/>
            </w:pPr>
            <w:r>
              <w:t xml:space="preserve">97.738</w:t>
            </w:r>
          </w:p>
        </w:tc>
        <w:tc>
          <w:tcPr/>
          <w:p>
            <w:pPr>
              <w:pStyle w:val="Compact"/>
            </w:pPr>
            <w:r>
              <w:t xml:space="preserve">97.738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− market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+0.460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+0.352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OAS implied by the bid</w:t>
            </w:r>
          </w:p>
        </w:tc>
        <w:tc>
          <w:tcPr/>
          <w:p>
            <w:pPr>
              <w:pStyle w:val="Compact"/>
            </w:pPr>
            <w:r>
              <w:t xml:space="preserve">25.7 bp</w:t>
            </w:r>
          </w:p>
        </w:tc>
        <w:tc>
          <w:tcPr/>
          <w:p>
            <w:pPr>
              <w:pStyle w:val="Compact"/>
            </w:pPr>
            <w:r>
              <w:t xml:space="preserve">19.7 bp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Part I.</w:t>
      </w:r>
      <w:r>
        <w:t xml:space="preserve"> </w:t>
      </w:r>
      <w:r>
        <w:t xml:space="preserve">At a zero spread to Treasuries the model value is 0.46 points above the BVAL bid. Put differently, the</w:t>
      </w:r>
      <w:r>
        <w:t xml:space="preserve"> </w:t>
      </w:r>
      <w:r>
        <w:t xml:space="preserve">market price implies an</w:t>
      </w:r>
      <w:r>
        <w:t xml:space="preserve"> </w:t>
      </w:r>
      <w:r>
        <w:rPr>
          <w:b/>
          <w:bCs/>
        </w:rPr>
        <w:t xml:space="preserve">option-adjusted spread of about 26 bp</w:t>
      </w:r>
      <w:r>
        <w:t xml:space="preserve">, against</w:t>
      </w:r>
      <w:r>
        <w:t xml:space="preserve"> </w:t>
      </w:r>
      <w:r>
        <w:rPr>
          <w:b/>
          <w:bCs/>
        </w:rPr>
        <w:t xml:space="preserve">17.9 bp</w:t>
      </w:r>
      <w:r>
        <w:t xml:space="preserve"> </w:t>
      </w:r>
      <w:r>
        <w:t xml:space="preserve">on Bloomberg’s own model</w:t>
      </w:r>
      <w:r>
        <w:t xml:space="preserve"> </w:t>
      </w:r>
      <w:r>
        <w:t xml:space="preserve">(BAM TOAS). A positive OAS is normal for agency MBS, so the security is</w:t>
      </w:r>
      <w:r>
        <w:t xml:space="preserve"> </w:t>
      </w:r>
      <w:r>
        <w:rPr>
          <w:b/>
          <w:bCs/>
        </w:rPr>
        <w:t xml:space="preserve">fairly priced to slightly cheap</w:t>
      </w:r>
      <w:r>
        <w:t xml:space="preserve">, not</w:t>
      </w:r>
      <w:r>
        <w:t xml:space="preserve"> </w:t>
      </w:r>
      <w:r>
        <w:t xml:space="preserve">mispriced. That conclusion is not certain. Across 100–300 PSA the OAS ranges from 18 bp to 39 bp, so the verdict</w:t>
      </w:r>
      <w:r>
        <w:t xml:space="preserve"> </w:t>
      </w:r>
      <w:r>
        <w:t xml:space="preserve">depends mainly on the prepayment assumption. Simulation noise is no longer a factor.</w:t>
      </w:r>
    </w:p>
    <w:p>
      <w:pPr>
        <w:pStyle w:val="BodyText"/>
      </w:pPr>
      <w:r>
        <w:rPr>
          <w:b/>
          <w:bCs/>
        </w:rPr>
        <w:t xml:space="preserve">Part II.</w:t>
      </w:r>
      <w:r>
        <w:t xml:space="preserve"> </w:t>
      </w:r>
      <w:r>
        <w:t xml:space="preserve">With a 0.10% annual default probability and 40% recovery for the A-rated guarantor, the expected</w:t>
      </w:r>
      <w:r>
        <w:t xml:space="preserve"> </w:t>
      </w:r>
      <w:r>
        <w:t xml:space="preserve">cash-flow adjustment lowers the value by</w:t>
      </w:r>
      <w:r>
        <w:t xml:space="preserve"> </w:t>
      </w:r>
      <w:r>
        <w:rPr>
          <w:b/>
          <w:bCs/>
        </w:rPr>
        <w:t xml:space="preserve">0.11 points</w:t>
      </w:r>
      <w:r>
        <w:t xml:space="preserve"> </w:t>
      </w:r>
      <w:r>
        <w:t xml:space="preserve">(about 6 bp of spread). The private-label value</w:t>
      </w:r>
      <w:r>
        <w:t xml:space="preserve"> </w:t>
      </w:r>
      <w:r>
        <w:t xml:space="preserve">stays above today’s agency price unless the guarantor’s annual PD exceeds about</w:t>
      </w:r>
      <w:r>
        <w:t xml:space="preserve"> </w:t>
      </w:r>
      <w:r>
        <w:rPr>
          <w:b/>
          <w:bCs/>
        </w:rPr>
        <w:t xml:space="preserve">0.43%</w:t>
      </w:r>
      <w:r>
        <w:t xml:space="preserve">. Default</w:t>
      </w:r>
      <w:r>
        <w:t xml:space="preserve"> </w:t>
      </w:r>
      <w:r>
        <w:t xml:space="preserve">probabilities implied by market credit spreads for A-rated financials typically exceed that level, so the credit</w:t>
      </w:r>
      <w:r>
        <w:t xml:space="preserve"> </w:t>
      </w:r>
      <w:r>
        <w:t xml:space="preserve">adjustment shown here is a lower bound.</w:t>
      </w:r>
    </w:p>
    <w:p>
      <w:pPr>
        <w:pStyle w:val="BodyText"/>
      </w:pPr>
      <w:r>
        <w:rPr>
          <w:b/>
          <w:bCs/>
        </w:rPr>
        <w:t xml:space="preserve">Revision note.</w:t>
      </w:r>
      <w:r>
        <w:t xml:space="preserve"> </w:t>
      </w:r>
      <w:r>
        <w:t xml:space="preserve">This edition corrects the submitted report. The submitted model concluded the security was</w:t>
      </w:r>
      <w:r>
        <w:t xml:space="preserve"> </w:t>
      </w:r>
      <w:r>
        <w:rPr>
          <w:i/>
          <w:iCs/>
        </w:rPr>
        <w:t xml:space="preserve">rich</w:t>
      </w:r>
      <w:r>
        <w:t xml:space="preserve"> </w:t>
      </w:r>
      <w:r>
        <w:t xml:space="preserve">(model 97.49 vs. market 97.74). That conclusion came mainly from discounting at the 10-year Treasury yield</w:t>
      </w:r>
      <w:r>
        <w:t xml:space="preserve"> </w:t>
      </w:r>
      <w:r>
        <w:t xml:space="preserve">instead of the Treasury curve over the pool’s 1.9-year average life, and from using only 100 random paths.</w:t>
      </w:r>
      <w:r>
        <w:t xml:space="preserve"> </w:t>
      </w:r>
      <w:r>
        <w:t xml:space="preserve">The bridge in Section 5 reconciles the two results step by step.</w:t>
      </w:r>
    </w:p>
    <w:bookmarkEnd w:id="9"/>
    <w:bookmarkStart w:id="10" w:name="security-description-and-data"/>
    <w:p>
      <w:pPr>
        <w:pStyle w:val="Heading1"/>
      </w:pPr>
      <w:r>
        <w:t xml:space="preserve">1. Security Description and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Use in 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Pass-through coupon</w:t>
            </w:r>
          </w:p>
        </w:tc>
        <w:tc>
          <w:tcPr/>
          <w:p>
            <w:pPr>
              <w:pStyle w:val="Compact"/>
            </w:pPr>
            <w:r>
              <w:t xml:space="preserve">3.000%</w:t>
            </w:r>
          </w:p>
        </w:tc>
        <w:tc>
          <w:tcPr/>
          <w:p>
            <w:pPr>
              <w:pStyle w:val="Compact"/>
            </w:pPr>
            <w:r>
              <w:t xml:space="preserve">Investor interest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</w:t>
            </w:r>
          </w:p>
        </w:tc>
        <w:tc>
          <w:tcPr/>
          <w:p>
            <w:pPr>
              <w:pStyle w:val="Compact"/>
            </w:pPr>
            <w:r>
              <w:t xml:space="preserve">3.448%</w:t>
            </w:r>
          </w:p>
        </w:tc>
        <w:tc>
          <w:tcPr/>
          <w:p>
            <w:pPr>
              <w:pStyle w:val="Compact"/>
            </w:pPr>
            <w:r>
              <w:t xml:space="preserve">Borrowers’ scheduled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WAM (WARM) / WALA</w:t>
            </w:r>
          </w:p>
        </w:tc>
        <w:tc>
          <w:tcPr/>
          <w:p>
            <w:pPr>
              <w:pStyle w:val="Compact"/>
            </w:pPr>
            <w:r>
              <w:t xml:space="preserve">52 / 125 months</w:t>
            </w:r>
          </w:p>
        </w:tc>
        <w:tc>
          <w:tcPr/>
          <w:p>
            <w:pPr>
              <w:pStyle w:val="Compact"/>
            </w:pPr>
            <w:r>
              <w:t xml:space="preserve">Projection horizon / PSA seasoning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/ current balance</w:t>
            </w:r>
          </w:p>
        </w:tc>
        <w:tc>
          <w:tcPr/>
          <w:p>
            <w:pPr>
              <w:pStyle w:val="Compact"/>
            </w:pPr>
            <w:r>
              <w:t xml:space="preserve">$5,238,307 / $2,986,518</w:t>
            </w:r>
          </w:p>
        </w:tc>
        <w:tc>
          <w:tcPr/>
          <w:p>
            <w:pPr>
              <w:pStyle w:val="Compact"/>
            </w:pPr>
            <w:r>
              <w:t xml:space="preserve">Factor 0.57013048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delay</w:t>
            </w:r>
          </w:p>
        </w:tc>
        <w:tc>
          <w:tcPr/>
          <w:p>
            <w:pPr>
              <w:pStyle w:val="Compact"/>
            </w:pPr>
            <w:r>
              <w:t xml:space="preserve">54 days (paid on the 25th of the following month)</w:t>
            </w:r>
          </w:p>
        </w:tc>
        <w:tc>
          <w:tcPr/>
          <w:p>
            <w:pPr>
              <w:pStyle w:val="Compact"/>
            </w:pPr>
            <w:r>
              <w:t xml:space="preserve">Payment-date discounting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Bloomberg projected prepayment</w:t>
            </w:r>
          </w:p>
        </w:tc>
        <w:tc>
          <w:tcPr/>
          <w:p>
            <w:pPr>
              <w:pStyle w:val="Compact"/>
            </w:pPr>
            <w:r>
              <w:t xml:space="preserve">178 PSA (10.68% CPR)</w:t>
            </w:r>
          </w:p>
        </w:tc>
        <w:tc>
          <w:tcPr/>
          <w:p>
            <w:pPr>
              <w:pStyle w:val="Compact"/>
            </w:pPr>
            <w:r>
              <w:t xml:space="preserve">Base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Realised speeds</w:t>
            </w:r>
          </w:p>
        </w:tc>
        <w:tc>
          <w:tcPr/>
          <w:p>
            <w:pPr>
              <w:pStyle w:val="Compact"/>
            </w:pPr>
            <w:r>
              <w:t xml:space="preserve">1m 27.0%, 3m 20.1%, 6m 17.1%, 1y 15.5% CPR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BVAL price</w:t>
            </w:r>
          </w:p>
        </w:tc>
        <w:tc>
          <w:tcPr/>
          <w:p>
            <w:pPr>
              <w:pStyle w:val="Compact"/>
            </w:pPr>
            <w:r>
              <w:t xml:space="preserve">97-23⅝ bid / 97-25⅝ ask</w:t>
            </w:r>
          </w:p>
        </w:tc>
        <w:tc>
          <w:tcPr/>
          <w:p>
            <w:pPr>
              <w:pStyle w:val="Compact"/>
            </w:pPr>
            <w:r>
              <w:t xml:space="preserve">97.73828 (clean)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BVAL yield / WAL / I-spread</w:t>
            </w:r>
          </w:p>
        </w:tc>
        <w:tc>
          <w:tcPr/>
          <w:p>
            <w:pPr>
              <w:pStyle w:val="Compact"/>
            </w:pPr>
            <w:r>
              <w:t xml:space="preserve">4.184% / 1.9 yrs / 31 bp</w:t>
            </w:r>
          </w:p>
        </w:tc>
        <w:tc>
          <w:tcPr/>
          <w:p>
            <w:pPr>
              <w:pStyle w:val="Compact"/>
            </w:pPr>
            <w:r>
              <w:t xml:space="preserve">Cross-check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Bloomberg BAM TOAS</w:t>
            </w:r>
          </w:p>
        </w:tc>
        <w:tc>
          <w:tcPr/>
          <w:p>
            <w:pPr>
              <w:pStyle w:val="Compact"/>
            </w:pPr>
            <w:r>
              <w:t xml:space="preserve">17.9 bp</w:t>
            </w:r>
          </w:p>
        </w:tc>
        <w:tc>
          <w:tcPr/>
          <w:p>
            <w:pPr>
              <w:pStyle w:val="Compact"/>
            </w:pPr>
            <w:r>
              <w:t xml:space="preserve">Benchmark for the OAS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Treasury actives curve</w:t>
            </w:r>
          </w:p>
        </w:tc>
        <w:tc>
          <w:tcPr/>
          <w:p>
            <w:pPr>
              <w:pStyle w:val="Compact"/>
            </w:pPr>
            <w:r>
              <w:t xml:space="preserve">3m 3.655%, 6m 3.673%, 1y 3.704%, 2y 3.883%, 5y 4.021%, 10y 4.387%</w:t>
            </w:r>
          </w:p>
        </w:tc>
        <w:tc>
          <w:tcPr/>
          <w:p>
            <w:pPr>
              <w:pStyle w:val="Compact"/>
            </w:pPr>
            <w:r>
              <w:t xml:space="preserve">Zero curve</w:t>
            </w:r>
          </w:p>
        </w:tc>
      </w:tr>
    </w:tbl>
    <w:p>
      <w:pPr>
        <w:pStyle w:val="BodyText"/>
      </w:pPr>
      <w:r>
        <w:t xml:space="preserve">The BVAL bid of 97-23⅝ converts to</w:t>
      </w:r>
      <w:r>
        <w:t xml:space="preserve"> </w:t>
      </w:r>
      <m:oMath>
        <m:r>
          <m:t>97</m:t>
        </m:r>
        <m:r>
          <m:rPr>
            <m:sty m:val="p"/>
          </m:rPr>
          <m:t>+</m:t>
        </m:r>
        <m:r>
          <m:t>23.625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97.73828</m:t>
        </m:r>
      </m:oMath>
      <w:r>
        <w:t xml:space="preserve">. BVAL prices are clean. Settlement on 30 April</w:t>
      </w:r>
      <w:r>
        <w:t xml:space="preserve"> </w:t>
      </w:r>
      <w:r>
        <w:t xml:space="preserve">carries 29 days (30/360) of accrued interest,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×</m:t>
        </m:r>
        <m:r>
          <m:t>29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0.2417</m:t>
        </m:r>
      </m:oMath>
      <w:r>
        <w:t xml:space="preserve">. The model value of</w:t>
      </w:r>
      <w:r>
        <w:t xml:space="preserve"> </w:t>
      </w:r>
      <w:r>
        <w:t xml:space="preserve">the cash flows is therefore a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price, and accrued interest is subtracted before comparing with the quote.</w:t>
      </w:r>
      <w:r>
        <w:t xml:space="preserve"> </w:t>
      </w:r>
      <w:r>
        <w:t xml:space="preserve">The pool is a Fannie Mae Super pool issued in October 2024 from 2015-vintage 15-year loans. The</w:t>
      </w:r>
      <w:r>
        <w:t xml:space="preserve"> </w:t>
      </w:r>
      <w:r>
        <w:t xml:space="preserve">“original WAM”</w:t>
      </w:r>
      <w:r>
        <w:t xml:space="preserve"> </w:t>
      </w:r>
      <w:r>
        <w:t xml:space="preserve">of</w:t>
      </w:r>
      <w:r>
        <w:t xml:space="preserve"> </w:t>
      </w:r>
      <w:r>
        <w:t xml:space="preserve">64 months on the screen refers to the Super pool at issue, not to the underlying loans.</w:t>
      </w:r>
    </w:p>
    <w:bookmarkEnd w:id="10"/>
    <w:bookmarkStart w:id="24" w:name="part-i-methodology-agency-mbs"/>
    <w:p>
      <w:pPr>
        <w:pStyle w:val="Heading1"/>
      </w:pPr>
      <w:r>
        <w:t xml:space="preserve">2. Part I Methodology: Agency MBS</w:t>
      </w:r>
    </w:p>
    <w:bookmarkStart w:id="17" w:name="interest-rate-paths-step-1"/>
    <w:p>
      <w:pPr>
        <w:pStyle w:val="Heading2"/>
      </w:pPr>
      <w:r>
        <w:t xml:space="preserve">2.1 Interest-rate paths (Step 1)</w:t>
      </w:r>
    </w:p>
    <w:p>
      <w:pPr>
        <w:pStyle w:val="FirstParagraph"/>
      </w:pPr>
      <w:r>
        <w:rPr>
          <w:b/>
          <w:bCs/>
        </w:rPr>
        <w:t xml:space="preserve">Volatility.</w:t>
      </w:r>
      <w:r>
        <w:t xml:space="preserve"> </w:t>
      </w:r>
      <w:r>
        <w:t xml:space="preserve">Month-end GT10 yields from May 2016 to April 2026 give 119 monthly changes. Their sample standard</w:t>
      </w:r>
      <w:r>
        <w:t xml:space="preserve"> </w:t>
      </w:r>
      <w:r>
        <w:t xml:space="preserve">deviation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o</m:t>
              </m:r>
              <m:r>
                <m:t>n</m:t>
              </m:r>
              <m:r>
                <m:t>t</m:t>
              </m:r>
              <m:r>
                <m:t>h</m:t>
              </m:r>
              <m:r>
                <m:t>l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stdev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0.2521</m:t>
          </m:r>
          <m:r>
            <m:rPr>
              <m:sty m:val="p"/>
            </m:rPr>
            <m:t>%</m:t>
          </m:r>
          <m:r>
            <m:t> </m:t>
          </m:r>
          <m:r>
            <m:rPr>
              <m:sty m:val="p"/>
            </m:rPr>
            <m:t>(</m:t>
          </m:r>
          <m:r>
            <m:t>25.2</m:t>
          </m:r>
          <m:r>
            <m:rPr>
              <m:nor/>
              <m:sty m:val="p"/>
            </m:rPr>
            <m:t> bp, or </m:t>
          </m:r>
          <m:r>
            <m:t>87</m:t>
          </m:r>
          <m:r>
            <m:rPr>
              <m:nor/>
              <m:sty m:val="p"/>
            </m:rPr>
            <m:t> bp annualised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5 May 2026 print in the raw Bloomberg export is excluded because it falls after the valuation date and is</w:t>
      </w:r>
      <w:r>
        <w:t xml:space="preserve"> </w:t>
      </w:r>
      <w:r>
        <w:t xml:space="preserve">not a month-end.</w:t>
      </w:r>
    </w:p>
    <w:p>
      <w:pPr>
        <w:pStyle w:val="BodyText"/>
      </w:pPr>
      <w:r>
        <w:rPr>
          <w:b/>
          <w:bCs/>
        </w:rPr>
        <w:t xml:space="preserve">Treasury zero curve.</w:t>
      </w:r>
      <w:r>
        <w:t xml:space="preserve"> </w:t>
      </w:r>
      <w:r>
        <w:t xml:space="preserve">Bills (3m, 6m, 1y) are treated as zero-coupon yields. From 1.5 to 5 years, par yields are</w:t>
      </w:r>
      <w:r>
        <w:t xml:space="preserve"> </w:t>
      </w:r>
      <w:r>
        <w:t xml:space="preserve">linearly interpolated and discount factors are bootstrapped from the par-bond condition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f>
          <m:fPr>
            <m:type m:val="lin"/>
          </m:fPr>
          <m:num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&lt;</m:t>
            </m:r>
            <m:r>
              <m:t>n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t>P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 Monthly discount factors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come from</w:t>
      </w:r>
      <w:r>
        <w:t xml:space="preserve"> </w:t>
      </w:r>
      <w:r>
        <w:t xml:space="preserve">linear interpolation of continuously compounded zero rates.</w:t>
      </w:r>
    </w:p>
    <w:p>
      <w:pPr>
        <w:pStyle w:val="CaptionedFigure"/>
      </w:pPr>
      <w:r>
        <w:drawing>
          <wp:inline>
            <wp:extent cx="5334000" cy="3277809"/>
            <wp:effectExtent b="0" l="0" r="0" t="0"/>
            <wp:docPr descr="Treasury par yields and the bootstrapped zero curve" title="" id="12" name="Picture"/>
            <a:graphic>
              <a:graphicData uri="http://schemas.openxmlformats.org/drawingml/2006/picture">
                <pic:pic>
                  <pic:nvPicPr>
                    <pic:cNvPr descr="../outputs/figures/02_treasury_curv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7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Treasury par yields and the bootstrapped zero curve</w:t>
      </w:r>
    </w:p>
    <w:p>
      <w:pPr>
        <w:pStyle w:val="BodyText"/>
      </w:pPr>
      <w:r>
        <w:rPr>
          <w:b/>
          <w:bCs/>
        </w:rPr>
        <w:t xml:space="preserve">Short-rate model.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annualised one-month rate from month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σ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,</m:t>
          </m:r>
          <m:r>
            <m:t> </m:t>
          </m:r>
          <m:r>
            <m:t>ε</m:t>
          </m:r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starting rate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one-month rate implied by the zero curve. Each drift term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solved month</w:t>
      </w:r>
      <w:r>
        <w:t xml:space="preserve"> </w:t>
      </w:r>
      <w:r>
        <w:t xml:space="preserve">by month so that the average simulated discount factor equals the Treasury discount factor,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nary>
              <m:naryPr>
                <m:chr m:val="∏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k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</m:e>
        </m:nary>
        <m:r>
          <m:t>1</m:t>
        </m:r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j</m:t>
            </m:r>
          </m:sub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/</m:t>
        </m:r>
        <m:r>
          <m:t>12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 The maximum calibration error is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.</w:t>
      </w:r>
      <w:r>
        <w:t xml:space="preserve"> </w:t>
      </w:r>
      <w:r>
        <w:t xml:space="preserve">Without this calibration, a driftless random walk prices even a Treasury strip incorrectly. With it, the model is</w:t>
      </w:r>
      <w:r>
        <w:t xml:space="preserve"> </w:t>
      </w:r>
      <w:r>
        <w:t xml:space="preserve">arbitrage-free against Treasuries, which is the adjustment Fabozzi describes for Monte Carlo MBS models. The</w:t>
      </w:r>
      <w:r>
        <w:t xml:space="preserve"> </w:t>
      </w:r>
      <w:r>
        <w:t xml:space="preserve">simulation uses 10,000 paths (5,000 antithetic pairs) with a fixed random seed, and the same paths are used for</w:t>
      </w:r>
      <w:r>
        <w:t xml:space="preserve"> </w:t>
      </w:r>
      <w:r>
        <w:t xml:space="preserve">every scenario.</w:t>
      </w:r>
    </w:p>
    <w:p>
      <w:pPr>
        <w:pStyle w:val="CaptionedFigure"/>
      </w:pPr>
      <w:r>
        <w:drawing>
          <wp:inline>
            <wp:extent cx="5334000" cy="3393225"/>
            <wp:effectExtent b="0" l="0" r="0" t="0"/>
            <wp:docPr descr="Simulated short-rate paths" title="" id="15" name="Picture"/>
            <a:graphic>
              <a:graphicData uri="http://schemas.openxmlformats.org/drawingml/2006/picture">
                <pic:pic>
                  <pic:nvPicPr>
                    <pic:cNvPr descr="../outputs/figures/03_rate_path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Simulated short-rate paths</w:t>
      </w:r>
    </w:p>
    <w:bookmarkEnd w:id="17"/>
    <w:bookmarkStart w:id="18" w:name="prepayment-model-step-2"/>
    <w:p>
      <w:pPr>
        <w:pStyle w:val="Heading2"/>
      </w:pPr>
      <w:r>
        <w:t xml:space="preserve">2.2 Prepayment model (Step 2)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PSA benchmark</w:t>
      </w:r>
      <w:r>
        <w:t xml:space="preserve"> </w:t>
      </w:r>
      <w:r>
        <w:t xml:space="preserve">sets</w:t>
      </w:r>
      <w:r>
        <w:t xml:space="preserve"> </w:t>
      </w:r>
      <m:oMath>
        <m:r>
          <m:t>C</m:t>
        </m:r>
        <m:r>
          <m:t>P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%</m:t>
        </m:r>
        <m:r>
          <m:rPr>
            <m:sty m:val="p"/>
          </m:rPr>
          <m:t>×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a</m:t>
        </m:r>
        <m:r>
          <m:t>g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at 100 PSA, and the monthly rate is</w:t>
      </w:r>
      <w:r>
        <w:t xml:space="preserve"> </w:t>
      </w:r>
      <m:oMath>
        <m:r>
          <m:t>S</m:t>
        </m:r>
        <m:r>
          <m:t>M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C</m:t>
        </m:r>
        <m:r>
          <m:t>P</m:t>
        </m:r>
        <m:sSub>
          <m:e>
            <m:r>
              <m:t>R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12</m:t>
            </m:r>
          </m:sup>
        </m:sSup>
      </m:oMath>
      <w:r>
        <w:t xml:space="preserve">. At a WALA of 125 months the pool is fully seasoned, so 178 PSA gives a</w:t>
      </w:r>
      <w:r>
        <w:t xml:space="preserve"> </w:t>
      </w:r>
      <m:oMath>
        <m:r>
          <m:t>10.68</m:t>
        </m:r>
        <m:r>
          <m:rPr>
            <m:sty m:val="p"/>
          </m:rPr>
          <m:t>%</m:t>
        </m:r>
      </m:oMath>
      <w:r>
        <w:t xml:space="preserve"> </w:t>
      </w:r>
      <w:r>
        <w:t xml:space="preserve">CPR and an SMM of</w:t>
      </w:r>
      <w:r>
        <w:t xml:space="preserve"> </w:t>
      </w:r>
      <m:oMath>
        <m:r>
          <m:t>0.9368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178 PSA.</w:t>
      </w:r>
      <w:r>
        <w:t xml:space="preserve"> </w:t>
      </w:r>
      <w:r>
        <w:t xml:space="preserve">It is Bloomberg’s forward projection for this pool. Realised speeds have been faster (258 PSA over</w:t>
      </w:r>
      <w:r>
        <w:t xml:space="preserve"> </w:t>
      </w:r>
      <w:r>
        <w:t xml:space="preserve">the past year). The pool’s 3.45% WAC, however, is far below current mortgage rates, so refinancing is uneconomic</w:t>
      </w:r>
      <w:r>
        <w:t xml:space="preserve"> </w:t>
      </w:r>
      <w:r>
        <w:t xml:space="preserve">and prepayments come mainly from housing turnover. A forward projection below recent realised speeds is</w:t>
      </w:r>
      <w:r>
        <w:t xml:space="preserve"> </w:t>
      </w:r>
      <w:r>
        <w:t xml:space="preserve">therefore reasonable, and 258 PSA is included as a sensitivity.</w:t>
      </w:r>
    </w:p>
    <w:p>
      <w:pPr>
        <w:pStyle w:val="BodyText"/>
      </w:pPr>
      <w:r>
        <w:rPr>
          <w:b/>
          <w:bCs/>
        </w:rPr>
        <w:t xml:space="preserve">Refinancing overlay.</w:t>
      </w:r>
      <w:r>
        <w:t xml:space="preserve"> </w:t>
      </w:r>
      <w:r>
        <w:t xml:space="preserve">A pure PSA model gives the same cash flows on every path. With Treasury-calibrated paths</w:t>
      </w:r>
      <w:r>
        <w:t xml:space="preserve"> </w:t>
      </w:r>
      <w:r>
        <w:t xml:space="preserve">the Monte Carlo value then collapses to simple discounting on the zero curve, and the prepayment option is</w:t>
      </w:r>
      <w:r>
        <w:t xml:space="preserve"> </w:t>
      </w:r>
      <w:r>
        <w:t xml:space="preserve">worth nothing. The assignment asks for cash flows</w:t>
      </w:r>
      <w:r>
        <w:t xml:space="preserve"> </w:t>
      </w:r>
      <w:r>
        <w:rPr>
          <w:i/>
          <w:iCs/>
        </w:rPr>
        <w:t xml:space="preserve">along each path</w:t>
      </w:r>
      <w:r>
        <w:t xml:space="preserve">, so the speed in month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responds to the</w:t>
      </w:r>
      <w:r>
        <w:t xml:space="preserve"> </w:t>
      </w:r>
      <w:r>
        <w:t xml:space="preserve">simulated change in long rates,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σ</m:t>
        </m:r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S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178</m:t>
          </m:r>
          <m:r>
            <m:rPr>
              <m:sty m:val="p"/>
            </m:rPr>
            <m:t>%</m:t>
          </m:r>
          <m:r>
            <m:rPr>
              <m:sty m:val="p"/>
            </m:rPr>
            <m:t>×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1.75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0.75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1</m:t>
                  </m:r>
                  <m:r>
                    <m:rPr>
                      <m:sty m:val="p"/>
                    </m:rPr>
                    <m:t>%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=</m:t>
          </m:r>
          <m:r>
            <m:t>0.20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100 bp rally raises the speed to about 214 PSA, and a 100 bp sell-off slows it to about 142 PSA (lock-in).</w:t>
      </w:r>
      <w:r>
        <w:t xml:space="preserve"> </w:t>
      </w:r>
      <w:r>
        <w:t xml:space="preserve">The response is deliberately modest because even a 150 bp rally leaves this pool out of the money.</w:t>
      </w:r>
    </w:p>
    <w:bookmarkEnd w:id="18"/>
    <w:bookmarkStart w:id="22" w:name="monthly-cash-flows-step-3"/>
    <w:p>
      <w:pPr>
        <w:pStyle w:val="Heading2"/>
      </w:pPr>
      <w:r>
        <w:t xml:space="preserve">2.3 Monthly cash flows (Step 3)</w:t>
      </w:r>
    </w:p>
    <w:p>
      <w:pPr>
        <w:pStyle w:val="FirstParagraph"/>
      </w:pPr>
      <w:r>
        <w:t xml:space="preserve">For each path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month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52</m:t>
        </m:r>
      </m:oMath>
      <w:r>
        <w:t xml:space="preserve">, with beginning balance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remaining term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53</m:t>
        </m:r>
        <m:r>
          <m:rPr>
            <m:sty m:val="p"/>
          </m:rPr>
          <m:t>−</m:t>
        </m:r>
        <m:r>
          <m:t>t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payment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t>M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f>
                <m:fPr>
                  <m:type m:val="bar"/>
                </m:fPr>
                <m:num>
                  <m:r>
                    <m:t>W</m:t>
                  </m:r>
                  <m:r>
                    <m:t>A</m:t>
                  </m:r>
                  <m:r>
                    <m:t>C</m:t>
                  </m:r>
                  <m:r>
                    <m:rPr>
                      <m:sty m:val="p"/>
                    </m:rPr>
                    <m:t>/</m:t>
                  </m:r>
                  <m:r>
                    <m:t>12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W</m:t>
                  </m:r>
                  <m:r>
                    <m:t>A</m:t>
                  </m:r>
                  <m:r>
                    <m:t>C</m:t>
                  </m:r>
                  <m:r>
                    <m:rPr>
                      <m:sty m:val="p"/>
                    </m:rPr>
                    <m:t>/</m:t>
                  </m:r>
                  <m:r>
                    <m:t>12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sup>
                  </m:sSup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t xml:space="preserve">Investor interest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t>3.00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/</m:t>
              </m:r>
              <m:r>
                <m:t>12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Scheduled principal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t>M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t>W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12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Prepayment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t>M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scheduled principal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Cash flow to investor</w:t>
            </w:r>
          </w:p>
        </w:tc>
        <w:tc>
          <w:tcPr/>
          <w:p>
            <w:pPr>
              <w:pStyle w:val="Compact"/>
            </w:pPr>
            <w:r>
              <w:t xml:space="preserve">investor interest + scheduled principal + prepayment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Ending balance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scheduled principal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prepayment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</w:tbl>
    <w:p>
      <w:pPr>
        <w:pStyle w:val="BodyText"/>
      </w:pPr>
      <w:r>
        <w:t xml:space="preserve">The 0.448% gap between the WAC and the coupon is the servicing and guarantee fee, retained before cash reaches</w:t>
      </w:r>
      <w:r>
        <w:t xml:space="preserve"> </w:t>
      </w:r>
      <w:r>
        <w:t xml:space="preserve">investors. The Excel workbook rebuilds path 1 with these formulas. Its price matches the Python price exactly.</w:t>
      </w:r>
    </w:p>
    <w:p>
      <w:pPr>
        <w:pStyle w:val="CaptionedFigure"/>
      </w:pPr>
      <w:r>
        <w:drawing>
          <wp:inline>
            <wp:extent cx="5334000" cy="3346097"/>
            <wp:effectExtent b="0" l="0" r="0" t="0"/>
            <wp:docPr descr="Average monthly investor cash flow by component" title="" id="20" name="Picture"/>
            <a:graphic>
              <a:graphicData uri="http://schemas.openxmlformats.org/drawingml/2006/picture">
                <pic:pic>
                  <pic:nvPicPr>
                    <pic:cNvPr descr="../outputs/figures/04_cash_flow_compositi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Average monthly investor cash flow by component</w:t>
      </w:r>
    </w:p>
    <w:bookmarkEnd w:id="22"/>
    <w:bookmarkStart w:id="23" w:name="discounting-and-valuation-step-4"/>
    <w:p>
      <w:pPr>
        <w:pStyle w:val="Heading2"/>
      </w:pPr>
      <w:r>
        <w:t xml:space="preserve">2.4 Discounting and valuation (Step 4)</w:t>
      </w:r>
    </w:p>
    <w:p>
      <w:pPr>
        <w:pStyle w:val="FirstParagraph"/>
      </w:pPr>
      <w:r>
        <w:t xml:space="preserve">Each path is discounted with</w:t>
      </w:r>
      <w:r>
        <w:t xml:space="preserve"> </w:t>
      </w:r>
      <w:r>
        <w:rPr>
          <w:b/>
          <w:bCs/>
        </w:rPr>
        <w:t xml:space="preserve">its own cumulative</w:t>
      </w:r>
      <w:r>
        <w:t xml:space="preserve"> </w:t>
      </w:r>
      <w:r>
        <w:t xml:space="preserve">short-rate discount factors, evaluated on the actual payment</w:t>
      </w:r>
      <w:r>
        <w:t xml:space="preserve"> </w:t>
      </w:r>
      <w:r>
        <w:t xml:space="preserve">date: the 25th of the month after the accrual month, or</w:t>
      </w:r>
      <w:r>
        <w:t xml:space="preserve"> </w:t>
      </w:r>
      <m:oMath>
        <m:r>
          <m:t>25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of a month after the end of month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Sup>
            <m:e>
              <m:r>
                <m:t>F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r>
                    <m:t>12</m:t>
                  </m:r>
                </m:den>
              </m:f>
            </m:e>
          </m:nary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num>
                    <m:den>
                      <m:r>
                        <m:t>12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  <m:r>
                <m:rPr>
                  <m:sty m:val="p"/>
                </m:rPr>
                <m:t>/</m:t>
              </m:r>
              <m:r>
                <m:t>30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P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52</m:t>
              </m:r>
            </m:sup>
            <m:e>
              <m:r>
                <m:t>C</m:t>
              </m:r>
            </m:e>
          </m:nary>
          <m:sSubSup>
            <m:e>
              <m:r>
                <m:t>F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t> </m:t>
          </m:r>
          <m:r>
            <m:t>D</m:t>
          </m:r>
          <m:sSubSup>
            <m:e>
              <m:r>
                <m:t>F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sSup>
            <m:e>
              <m:r>
                <m:t>V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Value per 100 is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r>
          <m:t>100</m:t>
        </m:r>
      </m:oMath>
      <w:r>
        <w:t xml:space="preserve"> </w:t>
      </w:r>
      <w:r>
        <w:t xml:space="preserve">(a full price). The clean price is that minus 0.2417 of accrued interest.</w:t>
      </w:r>
    </w:p>
    <w:bookmarkEnd w:id="23"/>
    <w:bookmarkEnd w:id="24"/>
    <w:bookmarkStart w:id="28" w:name="part-i-results"/>
    <w:p>
      <w:pPr>
        <w:pStyle w:val="Heading1"/>
      </w:pPr>
      <w:r>
        <w:t xml:space="preserve">3. Part I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value, full / clean</w:t>
            </w:r>
          </w:p>
        </w:tc>
        <w:tc>
          <w:tcPr/>
          <w:p>
            <w:pPr>
              <w:pStyle w:val="Compact"/>
            </w:pPr>
            <w:r>
              <w:t xml:space="preserve">98.4397 /</w:t>
            </w:r>
            <w:r>
              <w:t xml:space="preserve"> </w:t>
            </w:r>
            <w:r>
              <w:rPr>
                <w:b/>
                <w:bCs/>
              </w:rPr>
              <w:t xml:space="preserve">98.1980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error (95% interval)</w:t>
            </w:r>
          </w:p>
        </w:tc>
        <w:tc>
          <w:tcPr/>
          <w:p>
            <w:pPr>
              <w:pStyle w:val="Compact"/>
            </w:pPr>
            <w:r>
              <w:t xml:space="preserve">0.0003 (98.1975 – 98.1985)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BVAL bid / mid</w:t>
            </w:r>
          </w:p>
        </w:tc>
        <w:tc>
          <w:tcPr/>
          <w:p>
            <w:pPr>
              <w:pStyle w:val="Compact"/>
            </w:pPr>
            <w:r>
              <w:t xml:space="preserve">97.7383 / 97.7695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− bid / model − mid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+0.4597</w:t>
            </w:r>
            <w:r>
              <w:t xml:space="preserve"> </w:t>
            </w:r>
            <w:r>
              <w:t xml:space="preserve">/ +0.4285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OAS at bid / at mid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25.7 bp</w:t>
            </w:r>
            <w:r>
              <w:t xml:space="preserve"> </w:t>
            </w:r>
            <w:r>
              <w:t xml:space="preserve">/ 23.9 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Bloomberg BAM TOAS</w:t>
            </w:r>
          </w:p>
        </w:tc>
        <w:tc>
          <w:tcPr/>
          <w:p>
            <w:pPr>
              <w:pStyle w:val="Compact"/>
            </w:pPr>
            <w:r>
              <w:t xml:space="preserve">17.9 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duration / convexity (±25 bp)</w:t>
            </w:r>
          </w:p>
        </w:tc>
        <w:tc>
          <w:tcPr/>
          <w:p>
            <w:pPr>
              <w:pStyle w:val="Compact"/>
            </w:pPr>
            <w:r>
              <w:t xml:space="preserve">1.79 years / +5.5</w:t>
            </w:r>
          </w:p>
        </w:tc>
      </w:tr>
    </w:tbl>
    <w:p>
      <w:pPr>
        <w:pStyle w:val="CaptionedFigure"/>
      </w:pPr>
      <w:r>
        <w:drawing>
          <wp:inline>
            <wp:extent cx="5334000" cy="3300260"/>
            <wp:effectExtent b="0" l="0" r="0" t="0"/>
            <wp:docPr descr="Distribution of single-path values" title="" id="26" name="Picture"/>
            <a:graphic>
              <a:graphicData uri="http://schemas.openxmlformats.org/drawingml/2006/picture">
                <pic:pic>
                  <pic:nvPicPr>
                    <pic:cNvPr descr="../outputs/figures/05_path_value_distribut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single-path values</w:t>
      </w:r>
    </w:p>
    <w:p>
      <w:pPr>
        <w:pStyle w:val="BodyText"/>
      </w:pPr>
      <w:r>
        <w:rPr>
          <w:b/>
          <w:bCs/>
        </w:rPr>
        <w:t xml:space="preserve">Sensitivity.</w:t>
      </w:r>
      <w:r>
        <w:t xml:space="preserve"> </w:t>
      </w:r>
      <w:r>
        <w:t xml:space="preserve">All rows use the same 10,000 paths (common random numbers), so differences reflect only the</w:t>
      </w:r>
      <w:r>
        <w:t xml:space="preserve"> </w:t>
      </w:r>
      <w:r>
        <w:t xml:space="preserve">assumption that changed: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Prepayment speed</w:t>
            </w:r>
          </w:p>
        </w:tc>
        <w:tc>
          <w:tcPr/>
          <w:p>
            <w:pPr>
              <w:pStyle w:val="Compact"/>
            </w:pPr>
            <w:r>
              <w:t xml:space="preserve">Clean value</w:t>
            </w:r>
          </w:p>
        </w:tc>
        <w:tc>
          <w:tcPr/>
          <w:p>
            <w:pPr>
              <w:pStyle w:val="Compact"/>
            </w:pPr>
            <w:r>
              <w:t xml:space="preserve">Model − bid</w:t>
            </w:r>
          </w:p>
        </w:tc>
        <w:tc>
          <w:tcPr/>
          <w:p>
            <w:pPr>
              <w:pStyle w:val="Compact"/>
            </w:pPr>
            <w:r>
              <w:t xml:space="preserve">OAS at bid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PSA</w:t>
            </w:r>
          </w:p>
        </w:tc>
        <w:tc>
          <w:tcPr/>
          <w:p>
            <w:pPr>
              <w:pStyle w:val="Compact"/>
            </w:pPr>
            <w:r>
              <w:t xml:space="preserve">98.087</w:t>
            </w:r>
          </w:p>
        </w:tc>
        <w:tc>
          <w:tcPr/>
          <w:p>
            <w:pPr>
              <w:pStyle w:val="Compact"/>
            </w:pPr>
            <w:r>
              <w:t xml:space="preserve">+0.348</w:t>
            </w:r>
          </w:p>
        </w:tc>
        <w:tc>
          <w:tcPr/>
          <w:p>
            <w:pPr>
              <w:pStyle w:val="Compact"/>
            </w:pPr>
            <w:r>
              <w:t xml:space="preserve">18.2 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 PSA</w:t>
            </w:r>
          </w:p>
        </w:tc>
        <w:tc>
          <w:tcPr/>
          <w:p>
            <w:pPr>
              <w:pStyle w:val="Compact"/>
            </w:pPr>
            <w:r>
              <w:t xml:space="preserve">98.159</w:t>
            </w:r>
          </w:p>
        </w:tc>
        <w:tc>
          <w:tcPr/>
          <w:p>
            <w:pPr>
              <w:pStyle w:val="Compact"/>
            </w:pPr>
            <w:r>
              <w:t xml:space="preserve">+0.420</w:t>
            </w:r>
          </w:p>
        </w:tc>
        <w:tc>
          <w:tcPr/>
          <w:p>
            <w:pPr>
              <w:pStyle w:val="Compact"/>
            </w:pPr>
            <w:r>
              <w:t xml:space="preserve">22.9 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178 PSA (base)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98.198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+0.460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25.7 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PSA</w:t>
            </w:r>
          </w:p>
        </w:tc>
        <w:tc>
          <w:tcPr/>
          <w:p>
            <w:pPr>
              <w:pStyle w:val="Compact"/>
            </w:pPr>
            <w:r>
              <w:t xml:space="preserve">98.229</w:t>
            </w:r>
          </w:p>
        </w:tc>
        <w:tc>
          <w:tcPr/>
          <w:p>
            <w:pPr>
              <w:pStyle w:val="Compact"/>
            </w:pPr>
            <w:r>
              <w:t xml:space="preserve">+0.490</w:t>
            </w:r>
          </w:p>
        </w:tc>
        <w:tc>
          <w:tcPr/>
          <w:p>
            <w:pPr>
              <w:pStyle w:val="Compact"/>
            </w:pPr>
            <w:r>
              <w:t xml:space="preserve">27.9 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258 PSA (1-year realised)</w:t>
            </w:r>
          </w:p>
        </w:tc>
        <w:tc>
          <w:tcPr/>
          <w:p>
            <w:pPr>
              <w:pStyle w:val="Compact"/>
            </w:pPr>
            <w:r>
              <w:t xml:space="preserve">98.307</w:t>
            </w:r>
          </w:p>
        </w:tc>
        <w:tc>
          <w:tcPr/>
          <w:p>
            <w:pPr>
              <w:pStyle w:val="Compact"/>
            </w:pPr>
            <w:r>
              <w:t xml:space="preserve">+0.569</w:t>
            </w:r>
          </w:p>
        </w:tc>
        <w:tc>
          <w:tcPr/>
          <w:p>
            <w:pPr>
              <w:pStyle w:val="Compact"/>
            </w:pPr>
            <w:r>
              <w:t xml:space="preserve">34.1 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 PSA</w:t>
            </w:r>
          </w:p>
        </w:tc>
        <w:tc>
          <w:tcPr/>
          <w:p>
            <w:pPr>
              <w:pStyle w:val="Compact"/>
            </w:pPr>
            <w:r>
              <w:t xml:space="preserve">98.362</w:t>
            </w:r>
          </w:p>
        </w:tc>
        <w:tc>
          <w:tcPr/>
          <w:p>
            <w:pPr>
              <w:pStyle w:val="Compact"/>
            </w:pPr>
            <w:r>
              <w:t xml:space="preserve">+0.624</w:t>
            </w:r>
          </w:p>
        </w:tc>
        <w:tc>
          <w:tcPr/>
          <w:p>
            <w:pPr>
              <w:pStyle w:val="Compact"/>
            </w:pPr>
            <w:r>
              <w:t xml:space="preserve">38.8 bp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Other assumption</w:t>
            </w:r>
          </w:p>
        </w:tc>
        <w:tc>
          <w:tcPr/>
          <w:p>
            <w:pPr>
              <w:pStyle w:val="Compact"/>
            </w:pPr>
            <w:r>
              <w:t xml:space="preserve">Clean value</w:t>
            </w:r>
          </w:p>
        </w:tc>
        <w:tc>
          <w:tcPr/>
          <w:p>
            <w:pPr>
              <w:pStyle w:val="Compact"/>
            </w:pPr>
            <w:r>
              <w:t xml:space="preserve">OAS at bid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 = 0 (pure PSA, no option)</w:t>
            </w:r>
          </w:p>
        </w:tc>
        <w:tc>
          <w:tcPr/>
          <w:p>
            <w:pPr>
              <w:pStyle w:val="Compact"/>
            </w:pPr>
            <w:r>
              <w:t xml:space="preserve">98.231</w:t>
            </w:r>
          </w:p>
        </w:tc>
        <w:tc>
          <w:tcPr/>
          <w:p>
            <w:pPr>
              <w:pStyle w:val="Compact"/>
            </w:pPr>
            <w:r>
              <w:t xml:space="preserve">27.5 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 = 0.4</w:t>
            </w:r>
          </w:p>
        </w:tc>
        <w:tc>
          <w:tcPr/>
          <w:p>
            <w:pPr>
              <w:pStyle w:val="Compact"/>
            </w:pPr>
            <w:r>
              <w:t xml:space="preserve">98.188</w:t>
            </w:r>
          </w:p>
        </w:tc>
        <w:tc>
          <w:tcPr/>
          <w:p>
            <w:pPr>
              <w:pStyle w:val="Compact"/>
            </w:pPr>
            <w:r>
              <w:t xml:space="preserve">25.2 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Volatility × 0.5 / × 1.5</w:t>
            </w:r>
          </w:p>
        </w:tc>
        <w:tc>
          <w:tcPr/>
          <w:p>
            <w:pPr>
              <w:pStyle w:val="Compact"/>
            </w:pPr>
            <w:r>
              <w:t xml:space="preserve">98.221 / 98.169</w:t>
            </w:r>
          </w:p>
        </w:tc>
        <w:tc>
          <w:tcPr/>
          <w:p>
            <w:pPr>
              <w:pStyle w:val="Compact"/>
            </w:pPr>
            <w:r>
              <w:t xml:space="preserve">26.9 / 24.1 bp</w:t>
            </w:r>
          </w:p>
        </w:tc>
      </w:tr>
    </w:tbl>
    <w:p>
      <w:pPr>
        <w:pStyle w:val="BodyText"/>
      </w:pPr>
      <w:r>
        <w:t xml:space="preserve">The value rises monotonically with the prepayment speed. That is expected for a discount security (price below</w:t>
      </w:r>
      <w:r>
        <w:t xml:space="preserve"> </w:t>
      </w:r>
      <w:r>
        <w:t xml:space="preserve">par): faster prepayments return principal at par sooner. The refinancing option costs about 3 cents (98.231 vs.</w:t>
      </w:r>
      <w:r>
        <w:t xml:space="preserve"> </w:t>
      </w:r>
      <w:r>
        <w:t xml:space="preserve">98.198), and a higher volatility lowers the value, which is consistent with the investor being short a</w:t>
      </w:r>
      <w:r>
        <w:t xml:space="preserve"> </w:t>
      </w:r>
      <w:r>
        <w:t xml:space="preserve">prepayment option. Both effects are small because the pool is deeply out of the money.</w:t>
      </w:r>
    </w:p>
    <w:p>
      <w:pPr>
        <w:pStyle w:val="BodyText"/>
      </w:pPr>
      <w:r>
        <w:rPr>
          <w:b/>
          <w:bCs/>
        </w:rPr>
        <w:t xml:space="preserve">Is the security fairly priced? Are we sure?</w:t>
      </w:r>
      <w:r>
        <w:t xml:space="preserve"> </w:t>
      </w:r>
      <w:r>
        <w:t xml:space="preserve">At a zero spread to Treasuries the model value exceeds the market</w:t>
      </w:r>
      <w:r>
        <w:t xml:space="preserve"> </w:t>
      </w:r>
      <w:r>
        <w:t xml:space="preserve">price by 0.46 points, so the security is</w:t>
      </w:r>
      <w:r>
        <w:t xml:space="preserve"> </w:t>
      </w:r>
      <w:r>
        <w:rPr>
          <w:i/>
          <w:iCs/>
        </w:rPr>
        <w:t xml:space="preserve">cheap relative to Treasuries</w:t>
      </w:r>
      <w:r>
        <w:t xml:space="preserve">. That is normal for agency MBS. The spread</w:t>
      </w:r>
      <w:r>
        <w:t xml:space="preserve"> </w:t>
      </w:r>
      <w:r>
        <w:t xml:space="preserve">compensates investors for liquidity, model risk and prepayment uncertainty, so the right comparison is the OAS</w:t>
      </w:r>
      <w:r>
        <w:t xml:space="preserve"> </w:t>
      </w:r>
      <w:r>
        <w:t xml:space="preserve">against what similar pools earn. The market-implied OAS of about 26 bp is roughly 8 bp wider than Bloomberg’s</w:t>
      </w:r>
      <w:r>
        <w:t xml:space="preserve"> </w:t>
      </w:r>
      <w:r>
        <w:t xml:space="preserve">own estimate, which points to</w:t>
      </w:r>
      <w:r>
        <w:t xml:space="preserve"> </w:t>
      </w:r>
      <w:r>
        <w:rPr>
          <w:b/>
          <w:bCs/>
        </w:rPr>
        <w:t xml:space="preserve">fair to slightly cheap</w:t>
      </w:r>
      <w:r>
        <w:t xml:space="preserve">. We cannot be sure. The OAS spans 18–39 bp across</w:t>
      </w:r>
      <w:r>
        <w:t xml:space="preserve"> </w:t>
      </w:r>
      <w:r>
        <w:t xml:space="preserve">plausible prepayment speeds, Bloomberg’s model differs from ours in its prepayment function and curve, and</w:t>
      </w:r>
      <w:r>
        <w:t xml:space="preserve"> </w:t>
      </w:r>
      <w:r>
        <w:t xml:space="preserve">β and the volatility are assumptions. Simulation error, by contrast, is now negligible (standard error 0.0003).</w:t>
      </w:r>
    </w:p>
    <w:bookmarkEnd w:id="28"/>
    <w:bookmarkStart w:id="35" w:name="part-ii-private-label-mbs"/>
    <w:p>
      <w:pPr>
        <w:pStyle w:val="Heading1"/>
      </w:pPr>
      <w:r>
        <w:t xml:space="preserve">4. Part II: Private-Label MBS</w:t>
      </w:r>
    </w:p>
    <w:bookmarkStart w:id="29" w:name="credit-inputs"/>
    <w:p>
      <w:pPr>
        <w:pStyle w:val="Heading2"/>
      </w:pPr>
      <w:r>
        <w:t xml:space="preserve">4.1 Credit inputs</w:t>
      </w:r>
    </w:p>
    <w:p>
      <w:pPr>
        <w:pStyle w:val="FirstParagraph"/>
      </w:pPr>
      <w:r>
        <w:t xml:space="preserve">The guarantor is a hypothetical A-rated financial institution. Its credit inputs: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Annual PD: 0.10%.</w:t>
      </w:r>
      <w:r>
        <w:t xml:space="preserve"> </w:t>
      </w:r>
      <w:r>
        <w:t xml:space="preserve">S&amp;P’s long-run studies show</w:t>
      </w:r>
      <w:r>
        <w:t xml:space="preserve"> </w:t>
      </w:r>
      <w:r>
        <w:t xml:space="preserve">‘A’</w:t>
      </w:r>
      <w:r>
        <w:t xml:space="preserve"> </w:t>
      </w:r>
      <w:r>
        <w:t xml:space="preserve">issuers defaulting at roughly 0.05% over one year and</w:t>
      </w:r>
      <w:r>
        <w:t xml:space="preserve"> </w:t>
      </w:r>
      <w:r>
        <w:t xml:space="preserve">about 0.4–0.5% cumulatively over five years. That is about 0.1% per year over this pool’s 52-month life.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Recovery: 40%.</w:t>
      </w:r>
      <w:r>
        <w:t xml:space="preserve"> </w:t>
      </w:r>
      <w:r>
        <w:t xml:space="preserve">This is the standard senior unsecured assumption.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Hazard: constant</w:t>
      </w:r>
      <w:r>
        <w:t xml:space="preserve">, so survival is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/</m:t>
            </m:r>
            <m:r>
              <m:t>12</m:t>
            </m:r>
          </m:sup>
        </m:sSup>
      </m:oMath>
      <w:r>
        <w:t xml:space="preserve">. The monthly PD is</w:t>
      </w:r>
      <w:r>
        <w:t xml:space="preserve"> </w:t>
      </w:r>
      <m:oMath>
        <m:r>
          <m:t>0.008337</m:t>
        </m:r>
        <m:r>
          <m:rPr>
            <m:sty m:val="p"/>
          </m:rPr>
          <m:t>%</m:t>
        </m:r>
      </m:oMath>
      <w:r>
        <w:t xml:space="preserve">, and the cumulative</w:t>
      </w:r>
      <w:r>
        <w:t xml:space="preserve"> </w:t>
      </w:r>
      <w:r>
        <w:t xml:space="preserve">PD over 52 months is</w:t>
      </w:r>
      <w:r>
        <w:t xml:space="preserve"> </w:t>
      </w:r>
      <m:oMath>
        <m:r>
          <m:t>0.433</m:t>
        </m:r>
        <m:r>
          <m:rPr>
            <m:sty m:val="p"/>
          </m:rPr>
          <m:t>%</m:t>
        </m:r>
      </m:oMath>
      <w:r>
        <w:t xml:space="preserve">.</w:t>
      </w:r>
    </w:p>
    <w:bookmarkEnd w:id="29"/>
    <w:bookmarkStart w:id="30" w:name="expected-cash-flows"/>
    <w:p>
      <w:pPr>
        <w:pStyle w:val="Heading2"/>
      </w:pPr>
      <w:r>
        <w:t xml:space="preserve">4.2 Expected cash flows</w:t>
      </w:r>
    </w:p>
    <w:p>
      <w:pPr>
        <w:pStyle w:val="FirstParagraph"/>
      </w:pPr>
      <w:r>
        <w:t xml:space="preserve">If the guarantor survives month</w:t>
      </w:r>
      <w:r>
        <w:t xml:space="preserve"> </w:t>
      </w:r>
      <m:oMath>
        <m:r>
          <m:t>t</m:t>
        </m:r>
      </m:oMath>
      <w:r>
        <w:t xml:space="preserve">, the investor receives the promised cash flow. If it defaults during month</w:t>
      </w:r>
      <w:r>
        <w:t xml:space="preserve"> </w:t>
      </w:r>
      <m:oMath>
        <m:r>
          <m:t>t</m:t>
        </m:r>
      </m:oMath>
      <w:r>
        <w:t xml:space="preserve">, the investor recovers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times the outstanding principal claim and nothing afterwards: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C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t> </m:t>
          </m:r>
          <m:r>
            <m:t>C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R</m:t>
          </m:r>
          <m:r>
            <m:t> </m:t>
          </m:r>
          <m:sSub>
            <m:e>
              <m:r>
                <m:t>B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expected cash flows on each path are discounted with the same path discount factors as in Part I.</w:t>
      </w:r>
      <w:r>
        <w:t xml:space="preserve"> </w:t>
      </w:r>
      <w:r>
        <w:rPr>
          <w:i/>
          <w:iCs/>
        </w:rPr>
        <w:t xml:space="preserve">Correction:</w:t>
      </w:r>
      <w:r>
        <w:t xml:space="preserve"> </w:t>
      </w:r>
      <w:r>
        <w:t xml:space="preserve">the submitted model used</w:t>
      </w:r>
      <w:r>
        <w:t xml:space="preserve"> </w:t>
      </w:r>
      <m:oMath>
        <m:r>
          <m:t>C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R</m:t>
        </m:r>
        <m:r>
          <m:t> </m:t>
        </m:r>
        <m:sSub>
          <m:e>
            <m:r>
              <m:t>q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 which applies recovery to a single month’s cash flow</w:t>
      </w:r>
      <w:r>
        <w:t xml:space="preserve"> </w:t>
      </w:r>
      <w:r>
        <w:t xml:space="preserve">instead of to the outstanding balance. It also valued Part II on a different random draw from Part I, which is</w:t>
      </w:r>
      <w:r>
        <w:t xml:space="preserve"> </w:t>
      </w:r>
      <w:r>
        <w:t xml:space="preserve">why its private-label price (97.5371) came out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its agency price. Here both parts use identical paths, so</w:t>
      </w:r>
      <w:r>
        <w:t xml:space="preserve"> </w:t>
      </w:r>
      <w:r>
        <w:t xml:space="preserve">the private-label value is always below the agency value.</w:t>
      </w:r>
    </w:p>
    <w:bookmarkEnd w:id="30"/>
    <w:bookmarkStart w:id="34" w:name="results"/>
    <w:p>
      <w:pPr>
        <w:pStyle w:val="Heading2"/>
      </w:pPr>
      <w:r>
        <w:t xml:space="preserve">4.3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Private-label value, clean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98.0899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 value, clean</w:t>
            </w:r>
          </w:p>
        </w:tc>
        <w:tc>
          <w:tcPr/>
          <w:p>
            <w:pPr>
              <w:pStyle w:val="Compact"/>
            </w:pPr>
            <w:r>
              <w:t xml:space="preserve">98.1980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discount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0.108 points</w:t>
            </w:r>
            <w:r>
              <w:t xml:space="preserve"> </w:t>
            </w:r>
            <w:r>
              <w:t xml:space="preserve">(≈ 6.0 bp of spread)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Private-label value − BVAL bid</w:t>
            </w:r>
          </w:p>
        </w:tc>
        <w:tc>
          <w:tcPr/>
          <w:p>
            <w:pPr>
              <w:pStyle w:val="Compact"/>
            </w:pPr>
            <w:r>
              <w:t xml:space="preserve">+0.352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OAS at the BVAL bid</w:t>
            </w:r>
          </w:p>
        </w:tc>
        <w:tc>
          <w:tcPr/>
          <w:p>
            <w:pPr>
              <w:pStyle w:val="Compact"/>
            </w:pPr>
            <w:r>
              <w:t xml:space="preserve">19.7 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Break-even annual PD (value = BVAL bid)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0.43%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Annual PD</w:t>
            </w:r>
          </w:p>
        </w:tc>
        <w:tc>
          <w:tcPr/>
          <w:p>
            <w:pPr>
              <w:pStyle w:val="Compact"/>
            </w:pPr>
            <w:r>
              <w:t xml:space="preserve">R = 25%</w:t>
            </w:r>
          </w:p>
        </w:tc>
        <w:tc>
          <w:tcPr/>
          <w:p>
            <w:pPr>
              <w:pStyle w:val="Compact"/>
            </w:pPr>
            <w:r>
              <w:t xml:space="preserve">R = 40%</w:t>
            </w:r>
          </w:p>
        </w:tc>
        <w:tc>
          <w:tcPr/>
          <w:p>
            <w:pPr>
              <w:pStyle w:val="Compact"/>
            </w:pPr>
            <w:r>
              <w:t xml:space="preserve">R = 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0.05%</w:t>
            </w:r>
          </w:p>
        </w:tc>
        <w:tc>
          <w:tcPr/>
          <w:p>
            <w:pPr>
              <w:pStyle w:val="Compact"/>
            </w:pPr>
            <w:r>
              <w:t xml:space="preserve">98.130</w:t>
            </w:r>
          </w:p>
        </w:tc>
        <w:tc>
          <w:tcPr/>
          <w:p>
            <w:pPr>
              <w:pStyle w:val="Compact"/>
            </w:pPr>
            <w:r>
              <w:t xml:space="preserve">98.144</w:t>
            </w:r>
          </w:p>
        </w:tc>
        <w:tc>
          <w:tcPr/>
          <w:p>
            <w:pPr>
              <w:pStyle w:val="Compact"/>
            </w:pPr>
            <w:r>
              <w:t xml:space="preserve">98.162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0.10%</w:t>
            </w:r>
          </w:p>
        </w:tc>
        <w:tc>
          <w:tcPr/>
          <w:p>
            <w:pPr>
              <w:pStyle w:val="Compact"/>
            </w:pPr>
            <w:r>
              <w:t xml:space="preserve">98.062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98.090</w:t>
            </w:r>
          </w:p>
        </w:tc>
        <w:tc>
          <w:tcPr/>
          <w:p>
            <w:pPr>
              <w:pStyle w:val="Compact"/>
            </w:pPr>
            <w:r>
              <w:t xml:space="preserve">98.127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0.25%</w:t>
            </w:r>
          </w:p>
        </w:tc>
        <w:tc>
          <w:tcPr/>
          <w:p>
            <w:pPr>
              <w:pStyle w:val="Compact"/>
            </w:pPr>
            <w:r>
              <w:t xml:space="preserve">97.859</w:t>
            </w:r>
          </w:p>
        </w:tc>
        <w:tc>
          <w:tcPr/>
          <w:p>
            <w:pPr>
              <w:pStyle w:val="Compact"/>
            </w:pPr>
            <w:r>
              <w:t xml:space="preserve">97.928</w:t>
            </w:r>
          </w:p>
        </w:tc>
        <w:tc>
          <w:tcPr/>
          <w:p>
            <w:pPr>
              <w:pStyle w:val="Compact"/>
            </w:pPr>
            <w:r>
              <w:t xml:space="preserve">98.020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0.50%</w:t>
            </w:r>
          </w:p>
        </w:tc>
        <w:tc>
          <w:tcPr/>
          <w:p>
            <w:pPr>
              <w:pStyle w:val="Compact"/>
            </w:pPr>
            <w:r>
              <w:t xml:space="preserve">97.522</w:t>
            </w:r>
          </w:p>
        </w:tc>
        <w:tc>
          <w:tcPr/>
          <w:p>
            <w:pPr>
              <w:pStyle w:val="Compact"/>
            </w:pPr>
            <w:r>
              <w:t xml:space="preserve">97.659</w:t>
            </w:r>
          </w:p>
        </w:tc>
        <w:tc>
          <w:tcPr/>
          <w:p>
            <w:pPr>
              <w:pStyle w:val="Compact"/>
            </w:pPr>
            <w:r>
              <w:t xml:space="preserve">97.842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1.00%</w:t>
            </w:r>
          </w:p>
        </w:tc>
        <w:tc>
          <w:tcPr/>
          <w:p>
            <w:pPr>
              <w:pStyle w:val="Compact"/>
            </w:pPr>
            <w:r>
              <w:t xml:space="preserve">96.851</w:t>
            </w:r>
          </w:p>
        </w:tc>
        <w:tc>
          <w:tcPr/>
          <w:p>
            <w:pPr>
              <w:pStyle w:val="Compact"/>
            </w:pPr>
            <w:r>
              <w:t xml:space="preserve">97.125</w:t>
            </w:r>
          </w:p>
        </w:tc>
        <w:tc>
          <w:tcPr/>
          <w:p>
            <w:pPr>
              <w:pStyle w:val="Compact"/>
            </w:pPr>
            <w:r>
              <w:t xml:space="preserve">97.489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2.00%</w:t>
            </w:r>
          </w:p>
        </w:tc>
        <w:tc>
          <w:tcPr/>
          <w:p>
            <w:pPr>
              <w:pStyle w:val="Compact"/>
            </w:pPr>
            <w:r>
              <w:t xml:space="preserve">95.527</w:t>
            </w:r>
          </w:p>
        </w:tc>
        <w:tc>
          <w:tcPr/>
          <w:p>
            <w:pPr>
              <w:pStyle w:val="Compact"/>
            </w:pPr>
            <w:r>
              <w:t xml:space="preserve">96.069</w:t>
            </w:r>
          </w:p>
        </w:tc>
        <w:tc>
          <w:tcPr/>
          <w:p>
            <w:pPr>
              <w:pStyle w:val="Compact"/>
            </w:pPr>
            <w:r>
              <w:t xml:space="preserve">96.791</w:t>
            </w:r>
          </w:p>
        </w:tc>
      </w:tr>
    </w:tbl>
    <w:p>
      <w:pPr>
        <w:pStyle w:val="CaptionedFigure"/>
      </w:pPr>
      <w:r>
        <w:drawing>
          <wp:inline>
            <wp:extent cx="5334000" cy="3277809"/>
            <wp:effectExtent b="0" l="0" r="0" t="0"/>
            <wp:docPr descr="Private-label value against guarantor default probability" title="" id="32" name="Picture"/>
            <a:graphic>
              <a:graphicData uri="http://schemas.openxmlformats.org/drawingml/2006/picture">
                <pic:pic>
                  <pic:nvPicPr>
                    <pic:cNvPr descr="../outputs/figures/07_private_label_pd_sensitivity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7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Private-label value against guarantor default probability</w:t>
      </w:r>
    </w:p>
    <w:p>
      <w:pPr>
        <w:pStyle w:val="BodyText"/>
      </w:pPr>
      <w:r>
        <w:rPr>
          <w:b/>
          <w:bCs/>
        </w:rPr>
        <w:t xml:space="preserve">Comment.</w:t>
      </w:r>
      <w:r>
        <w:t xml:space="preserve"> </w:t>
      </w:r>
      <w:r>
        <w:t xml:space="preserve">Using historical A-rated default rates, the credit adjustment is small: about 0.11 points. Two</w:t>
      </w:r>
      <w:r>
        <w:t xml:space="preserve"> </w:t>
      </w:r>
      <w:r>
        <w:t xml:space="preserve">things keep it small. The pool’s remaining life is short (WAL 1.9 years), and 40% of the outstanding claim is</w:t>
      </w:r>
      <w:r>
        <w:t xml:space="preserve"> </w:t>
      </w:r>
      <w:r>
        <w:t xml:space="preserve">recovered on default. On these assumptions a private-label version would still value above the agency’s market</w:t>
      </w:r>
      <w:r>
        <w:t xml:space="preserve"> </w:t>
      </w:r>
      <w:r>
        <w:t xml:space="preserve">price. The conclusion is, however, very sensitive to the default probability. A PD of 0.43% a year or more is</w:t>
      </w:r>
      <w:r>
        <w:t xml:space="preserve"> </w:t>
      </w:r>
      <w:r>
        <w:t xml:space="preserve">enough to push the value below 97.74. Market-implied PDs for A-rated financials, backed out from CDS or bond</w:t>
      </w:r>
      <w:r>
        <w:t xml:space="preserve"> </w:t>
      </w:r>
      <w:r>
        <w:t xml:space="preserve">spreads, are usually well above that, because spreads also price default risk premia and illiquidity. The</w:t>
      </w:r>
      <w:r>
        <w:t xml:space="preserve"> </w:t>
      </w:r>
      <w:r>
        <w:t xml:space="preserve">expected cash-flow approach also ignores</w:t>
      </w:r>
      <w:r>
        <w:t xml:space="preserve"> </w:t>
      </w:r>
      <w:r>
        <w:rPr>
          <w:b/>
          <w:bCs/>
        </w:rPr>
        <w:t xml:space="preserve">wrong-way risk</w:t>
      </w:r>
      <w:r>
        <w:t xml:space="preserve">: a mortgage guarantor is most likely to fail in a</w:t>
      </w:r>
      <w:r>
        <w:t xml:space="preserve"> </w:t>
      </w:r>
      <w:r>
        <w:t xml:space="preserve">housing downturn, which is exactly when its guarantee is needed. On a risk-neutral basis a private-label version</w:t>
      </w:r>
      <w:r>
        <w:t xml:space="preserve"> </w:t>
      </w:r>
      <w:r>
        <w:t xml:space="preserve">of this pool should therefore trade at a discount to the agency pool of at least several tenths of a point.</w:t>
      </w:r>
    </w:p>
    <w:bookmarkEnd w:id="34"/>
    <w:bookmarkEnd w:id="35"/>
    <w:bookmarkStart w:id="39" w:name="reconciliation-with-the-submitted-model"/>
    <w:p>
      <w:pPr>
        <w:pStyle w:val="Heading1"/>
      </w:pPr>
      <w:r>
        <w:t xml:space="preserve">5. Reconciliation with the Submitted Model</w:t>
      </w:r>
    </w:p>
    <w:p>
      <w:pPr>
        <w:pStyle w:val="FirstParagraph"/>
      </w:pPr>
      <w:r>
        <w:t xml:space="preserve">The submitted Excel model reported 97.49 (rich). Starting from that method run with 10,000 paths, the bridge</w:t>
      </w:r>
      <w:r>
        <w:t xml:space="preserve"> </w:t>
      </w:r>
      <w:r>
        <w:t xml:space="preserve">below changes one element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Value per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 method: 10-year-yield random walk from 4.387%,</w:t>
            </w:r>
            <w:r>
              <w:t xml:space="preserve"> </w:t>
            </w: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r>
                <m:t>12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97.511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path-wise cumulative discount factors</w:t>
            </w:r>
          </w:p>
        </w:tc>
        <w:tc>
          <w:tcPr/>
          <w:p>
            <w:pPr>
              <w:pStyle w:val="Compact"/>
            </w:pPr>
            <w:r>
              <w:t xml:space="preserve">97.488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short-rate paths calibrated to the Treasury zero curve</w:t>
            </w:r>
          </w:p>
        </w:tc>
        <w:tc>
          <w:tcPr/>
          <w:p>
            <w:pPr>
              <w:pStyle w:val="Compact"/>
            </w:pPr>
            <w:r>
              <w:t xml:space="preserve">98.419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actual payment dates (25th of following month)</w:t>
            </w:r>
          </w:p>
        </w:tc>
        <w:tc>
          <w:tcPr/>
          <w:p>
            <w:pPr>
              <w:pStyle w:val="Compact"/>
            </w:pPr>
            <w:r>
              <w:t xml:space="preserve">98.473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 accrued interest (clean compared with clean)</w:t>
            </w:r>
          </w:p>
        </w:tc>
        <w:tc>
          <w:tcPr/>
          <w:p>
            <w:pPr>
              <w:pStyle w:val="Compact"/>
            </w:pPr>
            <w:r>
              <w:t xml:space="preserve">98.231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refinancing overlay (path-dependent cash flows) =</w:t>
            </w:r>
            <w:r>
              <w:t xml:space="preserve"> </w:t>
            </w:r>
            <w:r>
              <w:rPr>
                <w:b/>
                <w:bCs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98.198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discount curve</w:t>
      </w:r>
      <w:r>
        <w:t xml:space="preserve"> </w:t>
      </w:r>
      <w:r>
        <w:t xml:space="preserve">drives the change. The submitted model discounted every cash flow at rates drifting</w:t>
      </w:r>
      <w:r>
        <w:t xml:space="preserve"> </w:t>
      </w:r>
      <w:r>
        <w:t xml:space="preserve">around the 10-year yield (4.39%). A security with a 1.9-year average life should be discounted on the 0–4 year</w:t>
      </w:r>
      <w:r>
        <w:t xml:space="preserve"> </w:t>
      </w:r>
      <w:r>
        <w:t xml:space="preserve">part of the curve (3.6–4.0%), and that alone moves the value by about +0.9. Separately,</w:t>
      </w:r>
      <w:r>
        <w:t xml:space="preserve"> </w:t>
      </w:r>
      <w:r>
        <w:rPr>
          <w:b/>
          <w:bCs/>
        </w:rPr>
        <w:t xml:space="preserve">100 random paths are</w:t>
      </w:r>
      <w:r>
        <w:rPr>
          <w:b/>
          <w:bCs/>
        </w:rPr>
        <w:t xml:space="preserve"> </w:t>
      </w:r>
      <w:r>
        <w:rPr>
          <w:b/>
          <w:bCs/>
        </w:rPr>
        <w:t xml:space="preserve">far too few</w:t>
      </w:r>
      <w:r>
        <w:t xml:space="preserve">. Rerunning the submitted method with 20 different seeds gives values from 97.08 to 98.04</w:t>
      </w:r>
      <w:r>
        <w:t xml:space="preserve"> </w:t>
      </w:r>
      <w:r>
        <w:t xml:space="preserve">(standard deviation 0.27). That is why the submitted sensitivity table alternated between</w:t>
      </w:r>
      <w:r>
        <w:t xml:space="preserve"> </w:t>
      </w:r>
      <w:r>
        <w:t xml:space="preserve">“rich”</w:t>
      </w:r>
      <w:r>
        <w:t xml:space="preserve"> </w:t>
      </w:r>
      <w:r>
        <w:t xml:space="preserve">and</w:t>
      </w:r>
      <w:r>
        <w:t xml:space="preserve"> </w:t>
      </w:r>
      <w:r>
        <w:t xml:space="preserve">“cheap”</w:t>
      </w:r>
      <w:r>
        <w:t xml:space="preserve"> </w:t>
      </w:r>
      <w:r>
        <w:t xml:space="preserve">from one PSA speed to the next, and why the submitted report quoted several inconsistent prices</w:t>
      </w:r>
      <w:r>
        <w:t xml:space="preserve"> </w:t>
      </w:r>
      <w:r>
        <w:t xml:space="preserve">(97.5371, 97.4949). It also used</w:t>
      </w:r>
      <w:r>
        <w:t xml:space="preserve"> </w:t>
      </w:r>
      <w:r>
        <w:rPr>
          <w:rStyle w:val="VerbatimChar"/>
        </w:rPr>
        <w:t xml:space="preserve">RAND()</w:t>
      </w:r>
      <w:r>
        <w:t xml:space="preserve">, so the workbook changed on every recalculation.</w:t>
      </w:r>
    </w:p>
    <w:p>
      <w:pPr>
        <w:pStyle w:val="CaptionedFigure"/>
      </w:pPr>
      <w:r>
        <w:drawing>
          <wp:inline>
            <wp:extent cx="5334000" cy="3297968"/>
            <wp:effectExtent b="0" l="0" r="0" t="0"/>
            <wp:docPr descr="Monte Carlo convergence" title="" id="37" name="Picture"/>
            <a:graphic>
              <a:graphicData uri="http://schemas.openxmlformats.org/drawingml/2006/picture">
                <pic:pic>
                  <pic:nvPicPr>
                    <pic:cNvPr descr="../outputs/figures/06_convergenc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Monte Carlo convergence</w:t>
      </w:r>
    </w:p>
    <w:bookmarkEnd w:id="39"/>
    <w:bookmarkStart w:id="40" w:name="limitations"/>
    <w:p>
      <w:pPr>
        <w:pStyle w:val="Heading1"/>
      </w:pPr>
      <w:r>
        <w:t xml:space="preserve">6. Limitations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One-factor rate model.</w:t>
      </w:r>
      <w:r>
        <w:t xml:space="preserve"> </w:t>
      </w:r>
      <w:r>
        <w:t xml:space="preserve">One-month rate shocks also stand in for changes in mortgage rates, so the yield</w:t>
      </w:r>
      <w:r>
        <w:t xml:space="preserve"> </w:t>
      </w:r>
      <w:r>
        <w:t xml:space="preserve">curve moves in parallel. Linear interpolation of zero rates gives a forward curve with small steps at the 1y</w:t>
      </w:r>
      <w:r>
        <w:t xml:space="preserve"> </w:t>
      </w:r>
      <w:r>
        <w:t xml:space="preserve">and 2y knots.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Volatility.</w:t>
      </w:r>
      <w:r>
        <w:t xml:space="preserve"> </w:t>
      </w:r>
      <w:r>
        <w:t xml:space="preserve">The volatility is historical, from the 10-year yield, rather than implied from swaptions or</w:t>
      </w:r>
      <w:r>
        <w:t xml:space="preserve"> </w:t>
      </w:r>
      <w:r>
        <w:t xml:space="preserve">caps.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Prepayments.</w:t>
      </w:r>
      <w:r>
        <w:t xml:space="preserve"> </w:t>
      </w:r>
      <w:r>
        <w:t xml:space="preserve">The prepayment function (PSA plus a linear refinancing overlay) is simple next to dealer models</w:t>
      </w:r>
      <w:r>
        <w:t xml:space="preserve"> </w:t>
      </w:r>
      <w:r>
        <w:t xml:space="preserve">with burnout, seasonality, turnover and credit effects. β is a judgement, not a calibration.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Credit inputs.</w:t>
      </w:r>
      <w:r>
        <w:t xml:space="preserve"> </w:t>
      </w:r>
      <w:r>
        <w:t xml:space="preserve">The Part II credit inputs are illustrative because the guarantor is hypothetical. A real</w:t>
      </w:r>
      <w:r>
        <w:t xml:space="preserve"> </w:t>
      </w:r>
      <w:r>
        <w:t xml:space="preserve">analysis would calibrate the PD to the guarantor’s CDS curve and model the correlation between guarantor</w:t>
      </w:r>
      <w:r>
        <w:t xml:space="preserve"> </w:t>
      </w:r>
      <w:r>
        <w:t xml:space="preserve">default and mortgage losses.</w:t>
      </w:r>
    </w:p>
    <w:bookmarkEnd w:id="40"/>
    <w:bookmarkStart w:id="41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As an agency MBS, FN FS9548 is worth</w:t>
      </w:r>
      <w:r>
        <w:t xml:space="preserve"> </w:t>
      </w:r>
      <w:r>
        <w:rPr>
          <w:b/>
          <w:bCs/>
        </w:rPr>
        <w:t xml:space="preserve">98.20</w:t>
      </w:r>
      <w:r>
        <w:t xml:space="preserve"> </w:t>
      </w:r>
      <w:r>
        <w:t xml:space="preserve">(clean) on a zero-spread Treasury basis, 0.46 points above its</w:t>
      </w:r>
      <w:r>
        <w:t xml:space="preserve"> </w:t>
      </w:r>
      <w:r>
        <w:t xml:space="preserve">BVAL bid of 97.74. The market price implies an OAS of about</w:t>
      </w:r>
      <w:r>
        <w:t xml:space="preserve"> </w:t>
      </w:r>
      <w:r>
        <w:rPr>
          <w:b/>
          <w:bCs/>
        </w:rPr>
        <w:t xml:space="preserve">26 bp</w:t>
      </w:r>
      <w:r>
        <w:t xml:space="preserve">, close to but slightly above Bloomberg’s</w:t>
      </w:r>
      <w:r>
        <w:t xml:space="preserve"> </w:t>
      </w:r>
      <w:r>
        <w:t xml:space="preserve">17.9 bp, so the pool looks</w:t>
      </w:r>
      <w:r>
        <w:t xml:space="preserve"> </w:t>
      </w:r>
      <w:r>
        <w:rPr>
          <w:b/>
          <w:bCs/>
        </w:rPr>
        <w:t xml:space="preserve">fairly priced to slightly cheap</w:t>
      </w:r>
      <w:r>
        <w:t xml:space="preserve">. The judgement depends mainly on the prepayment</w:t>
      </w:r>
      <w:r>
        <w:t xml:space="preserve"> </w:t>
      </w:r>
      <w:r>
        <w:t xml:space="preserve">assumption. With an A-rated private guarantor and historical default rates, the value falls by only 0.11 points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98.09</w:t>
      </w:r>
      <w:r>
        <w:t xml:space="preserve">. With market-implied default rates above about 0.43% a year, it would fall below today’s agency</w:t>
      </w:r>
      <w:r>
        <w:t xml:space="preserve"> </w:t>
      </w:r>
      <w:r>
        <w:t xml:space="preserve">price, and wrong-way risk argues for a larger discount still.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Every number in this report is produced by the notebooks in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(seed 2026).</w:t>
      </w:r>
      <w:r>
        <w:t xml:space="preserve"> </w:t>
      </w:r>
      <w:r>
        <w:t xml:space="preserve">The Excel workbook</w:t>
      </w:r>
      <w:r>
        <w:t xml:space="preserve"> </w:t>
      </w:r>
      <w:r>
        <w:rPr>
          <w:rStyle w:val="VerbatimChar"/>
        </w:rPr>
        <w:t xml:space="preserve">excel/FN_FS9548_MBS_Pricing_Model.xlsx</w:t>
      </w:r>
      <w:r>
        <w:t xml:space="preserve"> </w:t>
      </w:r>
      <w:r>
        <w:t xml:space="preserve">shows one path with live formulas, and a check cell</w:t>
      </w:r>
      <w:r>
        <w:t xml:space="preserve"> </w:t>
      </w:r>
      <w:r>
        <w:t xml:space="preserve">confirms that it matches Python exactly.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36" Target="media/rId36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FN FS9548: Agency and Private-Label MBS Valuation</dc:title>
  <dc:creator>James Huang</dc:creator>
  <cp:keywords/>
  <dcterms:created xsi:type="dcterms:W3CDTF">2026-10-23T19:07:00Z</dcterms:created>
  <dcterms:modified xsi:type="dcterms:W3CDTF">2026-10-23T19:07:00Z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Fixed Income Securities (QFGB-8931), Final Project, Spring 2026 (revised edition)</vt:lpwstr>
  </property>
</Properties>
</file>