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3A7E" w14:textId="77777777" w:rsidR="00A977C2" w:rsidRPr="00A977C2" w:rsidRDefault="00A977C2" w:rsidP="00CB3A4F">
      <w:pPr>
        <w:spacing w:after="0" w:line="360" w:lineRule="auto"/>
        <w:outlineLvl w:val="2"/>
        <w:rPr>
          <w:rFonts w:ascii="Times New Roman" w:eastAsia="Times New Roman" w:hAnsi="Times New Roman" w:cs="Times New Roman"/>
          <w:b/>
          <w:bCs/>
          <w:kern w:val="0"/>
          <w14:ligatures w14:val="none"/>
        </w:rPr>
      </w:pPr>
      <w:r w:rsidRPr="00A977C2">
        <w:rPr>
          <w:rFonts w:ascii="Times New Roman" w:eastAsia="Times New Roman" w:hAnsi="Times New Roman" w:cs="Times New Roman"/>
          <w:b/>
          <w:bCs/>
          <w:kern w:val="0"/>
          <w14:ligatures w14:val="none"/>
        </w:rPr>
        <w:t>Project Plan: Variational Inference for GARCH-Family Models</w:t>
      </w:r>
    </w:p>
    <w:p w14:paraId="2A45CDFD" w14:textId="77777777" w:rsidR="00A977C2" w:rsidRPr="00A977C2" w:rsidRDefault="00A977C2" w:rsidP="00CB3A4F">
      <w:pPr>
        <w:spacing w:after="0" w:line="360" w:lineRule="auto"/>
        <w:outlineLvl w:val="3"/>
        <w:rPr>
          <w:rFonts w:ascii="Times New Roman" w:eastAsia="Times New Roman" w:hAnsi="Times New Roman" w:cs="Times New Roman"/>
          <w:b/>
          <w:bCs/>
          <w:kern w:val="0"/>
          <w14:ligatures w14:val="none"/>
        </w:rPr>
      </w:pPr>
      <w:r w:rsidRPr="00A977C2">
        <w:rPr>
          <w:rFonts w:ascii="Times New Roman" w:eastAsia="Times New Roman" w:hAnsi="Times New Roman" w:cs="Times New Roman"/>
          <w:b/>
          <w:bCs/>
          <w:kern w:val="0"/>
          <w14:ligatures w14:val="none"/>
        </w:rPr>
        <w:t>1. Introduction and Objective</w:t>
      </w:r>
    </w:p>
    <w:p w14:paraId="52FC310F" w14:textId="59AE2176" w:rsidR="006E7221" w:rsidRDefault="006E7221" w:rsidP="000E06DC">
      <w:pPr>
        <w:spacing w:after="0" w:line="360" w:lineRule="auto"/>
        <w:rPr>
          <w:rFonts w:ascii="Times New Roman" w:eastAsia="Times New Roman" w:hAnsi="Times New Roman" w:cs="Times New Roman"/>
          <w:kern w:val="0"/>
          <w14:ligatures w14:val="none"/>
        </w:rPr>
      </w:pPr>
      <w:r w:rsidRPr="006E7221">
        <w:rPr>
          <w:rFonts w:ascii="Times New Roman" w:eastAsia="Times New Roman" w:hAnsi="Times New Roman" w:cs="Times New Roman"/>
          <w:kern w:val="0"/>
          <w14:ligatures w14:val="none"/>
        </w:rPr>
        <w:t xml:space="preserve">The </w:t>
      </w:r>
      <w:r w:rsidR="00BF011D" w:rsidRPr="006E7221">
        <w:rPr>
          <w:rFonts w:ascii="Times New Roman" w:eastAsia="Times New Roman" w:hAnsi="Times New Roman" w:cs="Times New Roman"/>
          <w:kern w:val="0"/>
          <w14:ligatures w14:val="none"/>
        </w:rPr>
        <w:t>generalized</w:t>
      </w:r>
      <w:r w:rsidRPr="006E7221">
        <w:rPr>
          <w:rFonts w:ascii="Times New Roman" w:eastAsia="Times New Roman" w:hAnsi="Times New Roman" w:cs="Times New Roman"/>
          <w:kern w:val="0"/>
          <w14:ligatures w14:val="none"/>
        </w:rPr>
        <w:t xml:space="preserve"> autoregressive conditional heteroskedasticity (GARCH) framework is widely utilized in finance econometric analysis of volatility models as a method to model the time varying volatility of financial returns, with maximum likelihood estimation (MLE) being the most common method for estimating GARCH family models. However, Bayesian estimation of GARCH family models usually uses Markov Chain Monte Carlo (MCMC) algorithms that are computationally expensive and difficult to scale (</w:t>
      </w:r>
      <w:proofErr w:type="spellStart"/>
      <w:r w:rsidRPr="006E7221">
        <w:rPr>
          <w:rFonts w:ascii="Times New Roman" w:eastAsia="Times New Roman" w:hAnsi="Times New Roman" w:cs="Times New Roman"/>
          <w:kern w:val="0"/>
          <w14:ligatures w14:val="none"/>
        </w:rPr>
        <w:t>Magris</w:t>
      </w:r>
      <w:proofErr w:type="spellEnd"/>
      <w:r w:rsidRPr="006E7221">
        <w:rPr>
          <w:rFonts w:ascii="Times New Roman" w:eastAsia="Times New Roman" w:hAnsi="Times New Roman" w:cs="Times New Roman"/>
          <w:kern w:val="0"/>
          <w14:ligatures w14:val="none"/>
        </w:rPr>
        <w:t xml:space="preserve"> and Iosifidis, 2023). </w:t>
      </w:r>
    </w:p>
    <w:p w14:paraId="2FF2F799" w14:textId="77777777" w:rsidR="006E7221" w:rsidRPr="00BF011D" w:rsidRDefault="006E7221" w:rsidP="00CB3A4F">
      <w:pPr>
        <w:spacing w:after="0" w:line="360" w:lineRule="auto"/>
        <w:rPr>
          <w:rFonts w:ascii="Times New Roman" w:eastAsia="Times New Roman" w:hAnsi="Times New Roman" w:cs="Times New Roman"/>
          <w:kern w:val="0"/>
          <w:lang w:val="en-US"/>
          <w14:ligatures w14:val="none"/>
        </w:rPr>
      </w:pPr>
    </w:p>
    <w:p w14:paraId="171178AF" w14:textId="77777777" w:rsidR="00A977C2" w:rsidRPr="00A977C2" w:rsidRDefault="006E7221" w:rsidP="00CB3A4F">
      <w:pPr>
        <w:spacing w:after="0" w:line="360" w:lineRule="auto"/>
        <w:rPr>
          <w:rFonts w:ascii="Times New Roman" w:eastAsia="Times New Roman" w:hAnsi="Times New Roman" w:cs="Times New Roman"/>
          <w:kern w:val="0"/>
          <w14:ligatures w14:val="none"/>
        </w:rPr>
      </w:pPr>
      <w:proofErr w:type="spellStart"/>
      <w:proofErr w:type="spellEnd"/>
      <w:r w:rsidRPr="006E7221">
        <w:rPr>
          <w:rFonts w:ascii="Times New Roman" w:eastAsia="Times New Roman" w:hAnsi="Times New Roman" w:cs="Times New Roman"/>
          <w:kern w:val="0"/>
          <w14:ligatures w14:val="none"/>
        </w:rPr>
        <w:t>The goal of this project is to implement and assess the Variational Inference (VI) procedure proposed by Magris and Iosifidis (2023) for estimating GARCH-family models. We test whether VI gives estimates and forecasts that are as accurate as MCMC and Quasi-Maximum Likelihood (QML), and we measure its computational cost against MCMC directly rather than assuming it.</w:t>
      </w:r>
    </w:p>
    <w:p w14:paraId="144F8BB9" w14:textId="77777777" w:rsidR="00A977C2" w:rsidRPr="00A977C2" w:rsidRDefault="00A977C2" w:rsidP="00CB3A4F">
      <w:pPr>
        <w:spacing w:after="0" w:line="360" w:lineRule="auto"/>
        <w:rPr>
          <w:rFonts w:ascii="Times New Roman" w:eastAsia="Times New Roman" w:hAnsi="Times New Roman" w:cs="Times New Roman"/>
          <w:kern w:val="0"/>
          <w14:ligatures w14:val="none"/>
        </w:rPr>
      </w:pPr>
    </w:p>
    <w:p w14:paraId="4AAFE9E2" w14:textId="77777777" w:rsidR="00A977C2" w:rsidRPr="00A977C2" w:rsidRDefault="00A977C2" w:rsidP="00CB3A4F">
      <w:pPr>
        <w:spacing w:after="0" w:line="360" w:lineRule="auto"/>
        <w:outlineLvl w:val="3"/>
        <w:rPr>
          <w:rFonts w:ascii="Times New Roman" w:eastAsia="Times New Roman" w:hAnsi="Times New Roman" w:cs="Times New Roman"/>
          <w:b/>
          <w:bCs/>
          <w:kern w:val="0"/>
          <w14:ligatures w14:val="none"/>
        </w:rPr>
      </w:pPr>
      <w:r w:rsidRPr="00A977C2">
        <w:rPr>
          <w:rFonts w:ascii="Times New Roman" w:eastAsia="Times New Roman" w:hAnsi="Times New Roman" w:cs="Times New Roman"/>
          <w:b/>
          <w:bCs/>
          <w:kern w:val="0"/>
          <w14:ligatures w14:val="none"/>
        </w:rPr>
        <w:t>2. Literature Overview</w:t>
      </w:r>
    </w:p>
    <w:p w14:paraId="59AC6D59" w14:textId="16057119" w:rsidR="00C04597" w:rsidRPr="00C04597" w:rsidRDefault="00C04597" w:rsidP="00C04597">
      <w:pPr>
        <w:spacing w:after="0" w:line="360" w:lineRule="auto"/>
        <w:rPr>
          <w:rFonts w:ascii="Times New Roman" w:eastAsia="Times New Roman" w:hAnsi="Times New Roman" w:cs="Times New Roman"/>
          <w:kern w:val="0"/>
          <w14:ligatures w14:val="none"/>
        </w:rPr>
      </w:pPr>
      <w:r w:rsidRPr="00C04597">
        <w:rPr>
          <w:rFonts w:ascii="Times New Roman" w:eastAsia="Times New Roman" w:hAnsi="Times New Roman" w:cs="Times New Roman"/>
          <w:kern w:val="0"/>
          <w14:ligatures w14:val="none"/>
        </w:rPr>
        <w:t xml:space="preserve">Bayesian machine learning has recently shown that Variational Inference (VI) is a scalable substitute to sampling techniques in high dimensional settings. VI has recast the problem of estimating posteriors into an </w:t>
      </w:r>
      <w:r w:rsidR="00BF011D" w:rsidRPr="00BF011D">
        <w:rPr>
          <w:rFonts w:ascii="Times New Roman" w:eastAsia="Times New Roman" w:hAnsi="Times New Roman" w:cs="Times New Roman"/>
          <w:kern w:val="0"/>
          <w:lang w:val="en-US"/>
          <w14:ligatures w14:val="none"/>
        </w:rPr>
        <w:t>optimization</w:t>
      </w:r>
      <w:r w:rsidRPr="00C04597">
        <w:rPr>
          <w:rFonts w:ascii="Times New Roman" w:eastAsia="Times New Roman" w:hAnsi="Times New Roman" w:cs="Times New Roman"/>
          <w:kern w:val="0"/>
          <w14:ligatures w14:val="none"/>
        </w:rPr>
        <w:t xml:space="preserve"> problem by approximating the true posterior with a family of tractable distributions (Blei et al., 2017). </w:t>
      </w:r>
    </w:p>
    <w:p w14:paraId="46EBDEE6" w14:textId="77777777" w:rsidR="00C04597" w:rsidRPr="00C04597" w:rsidRDefault="00C04597" w:rsidP="00C04597">
      <w:pPr>
        <w:spacing w:after="0" w:line="360" w:lineRule="auto"/>
        <w:rPr>
          <w:rFonts w:ascii="Times New Roman" w:eastAsia="Times New Roman" w:hAnsi="Times New Roman" w:cs="Times New Roman"/>
          <w:kern w:val="0"/>
          <w14:ligatures w14:val="none"/>
        </w:rPr>
      </w:pPr>
    </w:p>
    <w:p w14:paraId="61D30926" w14:textId="02243B4F" w:rsidR="00C04597" w:rsidRPr="00C04597" w:rsidRDefault="00C04597" w:rsidP="00C04597">
      <w:pPr>
        <w:spacing w:after="0" w:line="360" w:lineRule="auto"/>
        <w:rPr>
          <w:rFonts w:ascii="Times New Roman" w:eastAsia="Times New Roman" w:hAnsi="Times New Roman" w:cs="Times New Roman"/>
          <w:kern w:val="0"/>
          <w14:ligatures w14:val="none"/>
        </w:rPr>
      </w:pPr>
      <w:r w:rsidRPr="00C04597">
        <w:rPr>
          <w:rFonts w:ascii="Times New Roman" w:eastAsia="Times New Roman" w:hAnsi="Times New Roman" w:cs="Times New Roman"/>
          <w:kern w:val="0"/>
          <w14:ligatures w14:val="none"/>
        </w:rPr>
        <w:t xml:space="preserve">Although VI has been fairly successful in the area of machine learning, there are few </w:t>
      </w:r>
      <w:proofErr w:type="spellStart"/>
      <w:r w:rsidRPr="00C04597">
        <w:rPr>
          <w:rFonts w:ascii="Times New Roman" w:eastAsia="Times New Roman" w:hAnsi="Times New Roman" w:cs="Times New Roman"/>
          <w:kern w:val="0"/>
          <w14:ligatures w14:val="none"/>
        </w:rPr>
        <w:t>realised</w:t>
      </w:r>
      <w:proofErr w:type="spellEnd"/>
      <w:r w:rsidRPr="00C04597">
        <w:rPr>
          <w:rFonts w:ascii="Times New Roman" w:eastAsia="Times New Roman" w:hAnsi="Times New Roman" w:cs="Times New Roman"/>
          <w:kern w:val="0"/>
          <w14:ligatures w14:val="none"/>
        </w:rPr>
        <w:t xml:space="preserve"> examples of its use within the field of financial econometrics, especially with reference to the GARCH family of models (</w:t>
      </w:r>
      <w:proofErr w:type="spellStart"/>
      <w:r w:rsidRPr="00C04597">
        <w:rPr>
          <w:rFonts w:ascii="Times New Roman" w:eastAsia="Times New Roman" w:hAnsi="Times New Roman" w:cs="Times New Roman"/>
          <w:kern w:val="0"/>
          <w14:ligatures w14:val="none"/>
        </w:rPr>
        <w:t>Magris</w:t>
      </w:r>
      <w:proofErr w:type="spellEnd"/>
      <w:r w:rsidRPr="00C04597">
        <w:rPr>
          <w:rFonts w:ascii="Times New Roman" w:eastAsia="Times New Roman" w:hAnsi="Times New Roman" w:cs="Times New Roman"/>
          <w:kern w:val="0"/>
          <w14:ligatures w14:val="none"/>
        </w:rPr>
        <w:t xml:space="preserve"> &amp; Iosifidis, 2023).  The paper undertakes to identify this gap and propose VI as a valid alternative for Bayesian estimation of volatility models. More specifically, the authors have demonstrated that Gaussian VI can be applied to GARCH-type models by simple transformations of parameters, thus allowing for the ability to </w:t>
      </w:r>
      <w:r w:rsidR="00BF011D" w:rsidRPr="00C04597">
        <w:rPr>
          <w:rFonts w:ascii="Times New Roman" w:eastAsia="Times New Roman" w:hAnsi="Times New Roman" w:cs="Times New Roman"/>
          <w:kern w:val="0"/>
          <w14:ligatures w14:val="none"/>
        </w:rPr>
        <w:t>optimize</w:t>
      </w:r>
      <w:r w:rsidRPr="00C04597">
        <w:rPr>
          <w:rFonts w:ascii="Times New Roman" w:eastAsia="Times New Roman" w:hAnsi="Times New Roman" w:cs="Times New Roman"/>
          <w:kern w:val="0"/>
          <w14:ligatures w14:val="none"/>
        </w:rPr>
        <w:t xml:space="preserve"> without constraints (</w:t>
      </w:r>
      <w:proofErr w:type="spellStart"/>
      <w:r w:rsidRPr="00C04597">
        <w:rPr>
          <w:rFonts w:ascii="Times New Roman" w:eastAsia="Times New Roman" w:hAnsi="Times New Roman" w:cs="Times New Roman"/>
          <w:kern w:val="0"/>
          <w14:ligatures w14:val="none"/>
        </w:rPr>
        <w:t>Magris</w:t>
      </w:r>
      <w:proofErr w:type="spellEnd"/>
      <w:r w:rsidRPr="00C04597">
        <w:rPr>
          <w:rFonts w:ascii="Times New Roman" w:eastAsia="Times New Roman" w:hAnsi="Times New Roman" w:cs="Times New Roman"/>
          <w:kern w:val="0"/>
          <w14:ligatures w14:val="none"/>
        </w:rPr>
        <w:t xml:space="preserve"> &amp; Iosifidis, 2023).</w:t>
      </w:r>
    </w:p>
    <w:p w14:paraId="7812F0B6" w14:textId="77777777" w:rsidR="00C04597" w:rsidRPr="00C04597" w:rsidRDefault="00C04597" w:rsidP="00C04597">
      <w:pPr>
        <w:spacing w:after="0" w:line="360" w:lineRule="auto"/>
        <w:rPr>
          <w:rFonts w:ascii="Times New Roman" w:eastAsia="Times New Roman" w:hAnsi="Times New Roman" w:cs="Times New Roman"/>
          <w:kern w:val="0"/>
          <w14:ligatures w14:val="none"/>
        </w:rPr>
      </w:pPr>
    </w:p>
    <w:p w14:paraId="09A96444" w14:textId="77777777" w:rsidR="00A977C2" w:rsidRPr="00A977C2" w:rsidRDefault="00C04597" w:rsidP="00C04597">
      <w:pPr>
        <w:spacing w:after="0" w:line="360" w:lineRule="auto"/>
        <w:rPr>
          <w:rFonts w:ascii="Times New Roman" w:eastAsia="Times New Roman" w:hAnsi="Times New Roman" w:cs="Times New Roman"/>
          <w:kern w:val="0"/>
          <w14:ligatures w14:val="none"/>
        </w:rPr>
      </w:pPr>
      <w:proofErr w:type="spellStart"/>
      <w:proofErr w:type="spellEnd"/>
      <w:r w:rsidRPr="00C04597">
        <w:rPr>
          <w:rFonts w:ascii="Times New Roman" w:eastAsia="Times New Roman" w:hAnsi="Times New Roman" w:cs="Times New Roman"/>
          <w:kern w:val="0"/>
          <w14:ligatures w14:val="none"/>
        </w:rPr>
        <w:t>Through a large-scale experiment on 488 S&amp;P 500 constituents, the authors compare four VI optimisers (BBVI, QBVI, MGVB, EMGVB) with MCMC and QML across ARCH, GARCH, GJR-GARCH, EGARCH, GJR-EGARCH and FIGARCH models. They find that VI performs within about 1% of QML on in-sample and out-of-sample metrics (NLL, RMSE, MAD, QLIK), and that the full-covariance optimisers (MGVB, EMGVB) closely match the MCMC posterior, while the diagonal ones (BBVI, QBVI) reach a slightly lower bound. The paper motivates VI by its scalability, but it does not report a run-time comparison with MCMC; we therefore measure this ourselves.</w:t>
      </w:r>
    </w:p>
    <w:p w14:paraId="427838A1" w14:textId="77777777" w:rsidR="00A977C2" w:rsidRPr="00A977C2" w:rsidRDefault="00A977C2" w:rsidP="00CB3A4F">
      <w:pPr>
        <w:spacing w:after="0" w:line="360" w:lineRule="auto"/>
        <w:rPr>
          <w:rFonts w:ascii="Times New Roman" w:eastAsia="Times New Roman" w:hAnsi="Times New Roman" w:cs="Times New Roman"/>
          <w:kern w:val="0"/>
          <w14:ligatures w14:val="none"/>
        </w:rPr>
      </w:pPr>
    </w:p>
    <w:p w14:paraId="19214D9C" w14:textId="77777777" w:rsidR="00A977C2" w:rsidRPr="00A977C2" w:rsidRDefault="00A977C2" w:rsidP="00CB3A4F">
      <w:pPr>
        <w:spacing w:after="0" w:line="360" w:lineRule="auto"/>
        <w:outlineLvl w:val="3"/>
        <w:rPr>
          <w:rFonts w:ascii="Times New Roman" w:eastAsia="Times New Roman" w:hAnsi="Times New Roman" w:cs="Times New Roman"/>
          <w:b/>
          <w:bCs/>
          <w:kern w:val="0"/>
          <w14:ligatures w14:val="none"/>
        </w:rPr>
      </w:pPr>
      <w:r w:rsidRPr="00A977C2">
        <w:rPr>
          <w:rFonts w:ascii="Times New Roman" w:eastAsia="Times New Roman" w:hAnsi="Times New Roman" w:cs="Times New Roman"/>
          <w:b/>
          <w:bCs/>
          <w:kern w:val="0"/>
          <w14:ligatures w14:val="none"/>
        </w:rPr>
        <w:t>3. Methodology</w:t>
      </w:r>
    </w:p>
    <w:p w14:paraId="181E25B8" w14:textId="2EF6E30C" w:rsidR="00C04597" w:rsidRDefault="00C04597" w:rsidP="00435375">
      <w:pPr>
        <w:spacing w:after="0" w:line="360" w:lineRule="auto"/>
        <w:rPr>
          <w:rFonts w:ascii="Times New Roman" w:eastAsia="Times New Roman" w:hAnsi="Times New Roman" w:cs="Times New Roman"/>
          <w:kern w:val="0"/>
          <w14:ligatures w14:val="none"/>
        </w:rPr>
      </w:pPr>
      <w:r w:rsidRPr="00C04597">
        <w:rPr>
          <w:rFonts w:ascii="Times New Roman" w:eastAsia="Times New Roman" w:hAnsi="Times New Roman" w:cs="Times New Roman"/>
          <w:kern w:val="0"/>
          <w14:ligatures w14:val="none"/>
        </w:rPr>
        <w:t>In this project, a zero-mean GARCH(1,1) model (Bollerslev, 1986) is estimated under a Bayesian approach, with Variational Inference as the estimation method. The conditional variance is:</w:t>
      </w:r>
    </w:p>
    <w:p w14:paraId="1E8108B8" w14:textId="60F4EB61" w:rsidR="00C04597" w:rsidRPr="00C04597" w:rsidRDefault="00000000" w:rsidP="00C04597">
      <w:pPr>
        <w:spacing w:after="0" w:line="36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=ω+α</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+β</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2</m:t>
              </m:r>
            </m:sup>
          </m:sSubSup>
        </m:oMath>
      </m:oMathPara>
    </w:p>
    <w:p w14:paraId="57384C24" w14:textId="77777777" w:rsidR="00C04597" w:rsidRPr="00C04597" w:rsidRDefault="00C04597" w:rsidP="00C04597">
      <w:pPr>
        <w:spacing w:after="0" w:line="360" w:lineRule="auto"/>
        <w:rPr>
          <w:rFonts w:ascii="Times New Roman" w:eastAsia="Times New Roman" w:hAnsi="Times New Roman" w:cs="Times New Roman"/>
          <w:kern w:val="0"/>
          <w14:ligatures w14:val="none"/>
        </w:rPr>
      </w:pPr>
      <w:proofErr w:type="spellStart"/>
      <w:proofErr w:type="spellEnd"/>
      <w:proofErr w:type="spellStart"/>
      <w:proofErr w:type="spellEnd"/>
      <w:proofErr w:type="spellStart"/>
      <w:proofErr w:type="spellEnd"/>
      <w:r w:rsidRPr="00C04597">
        <w:rPr>
          <w:rFonts w:ascii="Times New Roman" w:eastAsia="Times New Roman" w:hAnsi="Times New Roman" w:cs="Times New Roman"/>
          <w:kern w:val="0"/>
          <w14:ligatures w14:val="none"/>
        </w:rPr>
        <w:t>The posterior is approximated by a Gaussian variational distribution, found by maximising the Evidence Lower Bound (ELBO), which is equivalent to minimising the Kullback–Leibler (KL) divergence from the variational distribution to the true posterior (Blei et al., 2017). Following Magris and Iosifidis (2023, Proposition 2), the constrained parameters are mapped to an unconstrained vector θ with a standard normal prior: ω = exp(θω), α = f(θα), β = f(θβ)(1 − α), where f is the logistic function. This guarantees ω &gt; 0 and α + β &lt; 1 for every θ. Two VI algorithms are implemented: (i) black-box VI (BBVI, Ranganath et al., 2014), the paper’s Algorithm 1, which estimates gradients from likelihood values only via the log-derivative trick, with a diagonal covariance; and (ii) a full-covariance Gaussian VI using the reparameterisation trick and automatic differentiation. Benchmarks are QML and a Random-Walk Metropolis MCMC sampler targeting the same posterior.</w:t>
      </w:r>
    </w:p>
    <w:p w14:paraId="25CDDDFE" w14:textId="77777777" w:rsidR="00C04597" w:rsidRPr="00C04597" w:rsidRDefault="00C04597" w:rsidP="00C04597">
      <w:pPr>
        <w:spacing w:after="0" w:line="360" w:lineRule="auto"/>
        <w:rPr>
          <w:rFonts w:ascii="Times New Roman" w:eastAsia="Times New Roman" w:hAnsi="Times New Roman" w:cs="Times New Roman"/>
          <w:kern w:val="0"/>
          <w14:ligatures w14:val="none"/>
        </w:rPr>
      </w:pPr>
    </w:p>
    <w:p w14:paraId="65CA15BD" w14:textId="77777777" w:rsidR="00C04597" w:rsidRPr="00C04597" w:rsidRDefault="00C04597" w:rsidP="00C04597">
      <w:pPr>
        <w:spacing w:after="0" w:line="360" w:lineRule="auto"/>
        <w:rPr>
          <w:rFonts w:ascii="Times New Roman" w:eastAsia="Times New Roman" w:hAnsi="Times New Roman" w:cs="Times New Roman"/>
          <w:kern w:val="0"/>
          <w14:ligatures w14:val="none"/>
        </w:rPr>
      </w:pPr>
      <w:r w:rsidRPr="00C04597">
        <w:rPr>
          <w:rFonts w:ascii="Times New Roman" w:eastAsia="Times New Roman" w:hAnsi="Times New Roman" w:cs="Times New Roman"/>
          <w:kern w:val="0"/>
          <w14:ligatures w14:val="none"/>
        </w:rPr>
        <w:t>For the advanced component, the following extension is implemented, with a second one as a possible further step:</w:t>
      </w:r>
    </w:p>
    <w:p w14:paraId="14B0E3E8" w14:textId="77777777" w:rsidR="00C04597" w:rsidRPr="00C04597" w:rsidRDefault="00C04597" w:rsidP="00C04597">
      <w:pPr>
        <w:spacing w:after="0" w:line="360" w:lineRule="auto"/>
        <w:rPr>
          <w:rFonts w:ascii="Times New Roman" w:eastAsia="Times New Roman" w:hAnsi="Times New Roman" w:cs="Times New Roman"/>
          <w:kern w:val="0"/>
          <w14:ligatures w14:val="none"/>
        </w:rPr>
      </w:pPr>
      <w:r w:rsidRPr="00C04597">
        <w:rPr>
          <w:rFonts w:ascii="Times New Roman" w:eastAsia="Times New Roman" w:hAnsi="Times New Roman" w:cs="Times New Roman"/>
          <w:kern w:val="0"/>
          <w14:ligatures w14:val="none"/>
        </w:rPr>
        <w:t>• Student-t innovations to capture the heavy tails of daily returns (Bollerslev, 1987), with ν = 2 + exp(θν);</w:t>
      </w:r>
    </w:p>
    <w:p w14:paraId="6123F280" w14:textId="77777777" w:rsidR="00C04597" w:rsidRPr="00C04597" w:rsidRDefault="00C04597" w:rsidP="00C04597">
      <w:pPr>
        <w:spacing w:after="0" w:line="360" w:lineRule="auto"/>
        <w:rPr>
          <w:rFonts w:ascii="Times New Roman" w:eastAsia="Times New Roman" w:hAnsi="Times New Roman" w:cs="Times New Roman"/>
          <w:kern w:val="0"/>
          <w14:ligatures w14:val="none"/>
        </w:rPr>
      </w:pPr>
      <w:r w:rsidRPr="00C04597">
        <w:rPr>
          <w:rFonts w:ascii="Times New Roman" w:eastAsia="Times New Roman" w:hAnsi="Times New Roman" w:cs="Times New Roman"/>
          <w:kern w:val="0"/>
          <w14:ligatures w14:val="none"/>
        </w:rPr>
        <w:t>• A FIGARCH model to account for long-memory effects (Baillie, Bollerslev &amp; Mikkelsen, 1996), as covered in the paper.</w:t>
      </w:r>
    </w:p>
    <w:p w14:paraId="3B1B13AF" w14:textId="77777777" w:rsidR="00C04597" w:rsidRPr="00C04597" w:rsidRDefault="00C04597" w:rsidP="00C04597">
      <w:pPr>
        <w:spacing w:after="0" w:line="360" w:lineRule="auto"/>
        <w:rPr>
          <w:rFonts w:ascii="Times New Roman" w:eastAsia="Times New Roman" w:hAnsi="Times New Roman" w:cs="Times New Roman"/>
          <w:kern w:val="0"/>
          <w14:ligatures w14:val="none"/>
        </w:rPr>
      </w:pPr>
    </w:p>
    <w:p w14:paraId="18CEEBBB" w14:textId="77777777" w:rsidR="00C04597" w:rsidRDefault="00C04597" w:rsidP="00C04597">
      <w:pPr>
        <w:spacing w:after="0" w:line="360" w:lineRule="auto"/>
        <w:rPr>
          <w:rFonts w:ascii="Times New Roman" w:eastAsia="Times New Roman" w:hAnsi="Times New Roman" w:cs="Times New Roman"/>
          <w:kern w:val="0"/>
          <w14:ligatures w14:val="none"/>
        </w:rPr>
      </w:pPr>
      <w:proofErr w:type="spellStart"/>
      <w:proofErr w:type="spellEnd"/>
      <w:proofErr w:type="spellStart"/>
      <w:proofErr w:type="spellEnd"/>
      <w:r w:rsidRPr="00C04597">
        <w:rPr>
          <w:rFonts w:ascii="Times New Roman" w:eastAsia="Times New Roman" w:hAnsi="Times New Roman" w:cs="Times New Roman"/>
          <w:kern w:val="0"/>
          <w14:ligatures w14:val="none"/>
        </w:rPr>
        <w:t>The code is written in Python (NumPy/Numba for the likelihood, QML and MCMC; PyTorch for the full-covariance VI) and executed in a Jupyter Notebook.</w:t>
      </w:r>
    </w:p>
    <w:p w14:paraId="55361F87" w14:textId="77777777" w:rsidR="00C04597" w:rsidRDefault="00C04597" w:rsidP="00C04597">
      <w:pPr>
        <w:spacing w:after="0" w:line="360" w:lineRule="auto"/>
        <w:rPr>
          <w:rFonts w:ascii="Times New Roman" w:eastAsia="Times New Roman" w:hAnsi="Times New Roman" w:cs="Times New Roman"/>
          <w:kern w:val="0"/>
          <w14:ligatures w14:val="none"/>
        </w:rPr>
      </w:pPr>
    </w:p>
    <w:p w14:paraId="18645988" w14:textId="77777777" w:rsidR="00A977C2" w:rsidRPr="00A977C2" w:rsidRDefault="00A977C2" w:rsidP="00CB3A4F">
      <w:pPr>
        <w:spacing w:after="0" w:line="360" w:lineRule="auto"/>
        <w:outlineLvl w:val="3"/>
        <w:rPr>
          <w:rFonts w:ascii="Times New Roman" w:eastAsia="Times New Roman" w:hAnsi="Times New Roman" w:cs="Times New Roman"/>
          <w:b/>
          <w:bCs/>
          <w:kern w:val="0"/>
          <w14:ligatures w14:val="none"/>
        </w:rPr>
      </w:pPr>
      <w:r w:rsidRPr="00A977C2">
        <w:rPr>
          <w:rFonts w:ascii="Times New Roman" w:eastAsia="Times New Roman" w:hAnsi="Times New Roman" w:cs="Times New Roman"/>
          <w:b/>
          <w:bCs/>
          <w:kern w:val="0"/>
          <w14:ligatures w14:val="none"/>
        </w:rPr>
        <w:t>4. Data</w:t>
      </w:r>
    </w:p>
    <w:p w14:paraId="5CCB87ED" w14:textId="77777777" w:rsidR="00A977C2" w:rsidRPr="00A977C2" w:rsidRDefault="00C04597" w:rsidP="00CB3A4F">
      <w:pPr>
        <w:spacing w:after="0" w:line="360" w:lineRule="auto"/>
        <w:rPr>
          <w:rFonts w:ascii="Times New Roman" w:eastAsia="Times New Roman" w:hAnsi="Times New Roman" w:cs="Times New Roman"/>
          <w:kern w:val="0"/>
          <w14:ligatures w14:val="none"/>
        </w:rPr>
      </w:pPr>
      <w:proofErr w:type="spellStart"/>
      <w:proofErr w:type="spellEnd"/>
      <w:r w:rsidRPr="00C04597">
        <w:rPr>
          <w:rFonts w:ascii="Times New Roman" w:eastAsia="Times New Roman" w:hAnsi="Times New Roman" w:cs="Times New Roman"/>
          <w:kern w:val="0"/>
          <w14:ligatures w14:val="none"/>
        </w:rPr>
        <w:t>The empirical analysis uses daily close-to-close log returns from Yahoo Finance. To allow a direct comparison with the paper’s case study (Table II), the main dataset is Microsoft (MSFT) from 1 January 2018 to 30 June 2023 (1,383 trading days), the same window as the paper. As a smaller version of the paper’s cross-sectional study, the analysis is repeated on the Dow Jones 30 constituents of the S&amp;P 500. In line with the paper, the data are split chronologically into 75% for training and 25% for testing, and models are compared on NLL, RMSE, MAD and QLIK.</w:t>
      </w:r>
    </w:p>
    <w:p w14:paraId="072A80EB" w14:textId="77777777" w:rsidR="00A977C2" w:rsidRPr="00A977C2" w:rsidRDefault="00A977C2" w:rsidP="00CB3A4F">
      <w:pPr>
        <w:spacing w:after="0" w:line="360" w:lineRule="auto"/>
        <w:rPr>
          <w:rFonts w:ascii="Times New Roman" w:eastAsia="Times New Roman" w:hAnsi="Times New Roman" w:cs="Times New Roman"/>
          <w:kern w:val="0"/>
          <w14:ligatures w14:val="none"/>
        </w:rPr>
      </w:pPr>
    </w:p>
    <w:p w14:paraId="04A0677B" w14:textId="77777777" w:rsidR="00A977C2" w:rsidRPr="00A977C2" w:rsidRDefault="00A977C2" w:rsidP="00CB3A4F">
      <w:pPr>
        <w:spacing w:after="0" w:line="360" w:lineRule="auto"/>
        <w:outlineLvl w:val="3"/>
        <w:rPr>
          <w:rFonts w:ascii="Times New Roman" w:eastAsia="Times New Roman" w:hAnsi="Times New Roman" w:cs="Times New Roman"/>
          <w:b/>
          <w:bCs/>
          <w:kern w:val="0"/>
          <w14:ligatures w14:val="none"/>
        </w:rPr>
      </w:pPr>
      <w:r w:rsidRPr="00A977C2">
        <w:rPr>
          <w:rFonts w:ascii="Times New Roman" w:eastAsia="Times New Roman" w:hAnsi="Times New Roman" w:cs="Times New Roman"/>
          <w:b/>
          <w:bCs/>
          <w:kern w:val="0"/>
          <w14:ligatures w14:val="none"/>
        </w:rPr>
        <w:t>5. Expected Outcomes</w:t>
      </w:r>
    </w:p>
    <w:p w14:paraId="18AE7E54" w14:textId="77777777" w:rsidR="00C04597" w:rsidRPr="00C04597" w:rsidRDefault="00C04597" w:rsidP="00C04597">
      <w:pPr>
        <w:numPr>
          <w:ilvl w:val="0"/>
          <w:numId w:val="4"/>
        </w:numPr>
        <w:spacing w:after="0" w:line="360" w:lineRule="auto"/>
        <w:rPr>
          <w:rFonts w:ascii="Times New Roman" w:eastAsia="Times New Roman" w:hAnsi="Times New Roman" w:cs="Times New Roman"/>
          <w:kern w:val="0"/>
          <w14:ligatures w14:val="none"/>
        </w:rPr>
      </w:pPr>
      <w:r w:rsidRPr="00C04597">
        <w:rPr>
          <w:rFonts w:ascii="Times New Roman" w:eastAsia="Times New Roman" w:hAnsi="Times New Roman" w:cs="Times New Roman"/>
          <w:kern w:val="0"/>
          <w14:ligatures w14:val="none"/>
        </w:rPr>
        <w:t>The project is expected to:</w:t>
      </w:r>
    </w:p>
    <w:p w14:paraId="7931092B" w14:textId="77777777" w:rsidR="00C04597" w:rsidRPr="00C04597" w:rsidRDefault="00C04597" w:rsidP="00C04597">
      <w:pPr>
        <w:numPr>
          <w:ilvl w:val="0"/>
          <w:numId w:val="4"/>
        </w:numPr>
        <w:spacing w:after="0" w:line="360" w:lineRule="auto"/>
        <w:rPr>
          <w:rFonts w:ascii="Times New Roman" w:eastAsia="Times New Roman" w:hAnsi="Times New Roman" w:cs="Times New Roman"/>
          <w:kern w:val="0"/>
          <w14:ligatures w14:val="none"/>
        </w:rPr>
      </w:pPr>
      <w:r w:rsidRPr="00C04597">
        <w:rPr>
          <w:rFonts w:ascii="Times New Roman" w:eastAsia="Times New Roman" w:hAnsi="Times New Roman" w:cs="Times New Roman"/>
          <w:kern w:val="0"/>
          <w14:ligatures w14:val="none"/>
        </w:rPr>
        <w:t>Successfully implement a VI-based GARCH model</w:t>
      </w:r>
    </w:p>
    <w:p w14:paraId="6939C0B6" w14:textId="77777777" w:rsidR="00C04597" w:rsidRPr="00C04597" w:rsidRDefault="00C04597" w:rsidP="00C04597">
      <w:pPr>
        <w:numPr>
          <w:ilvl w:val="0"/>
          <w:numId w:val="4"/>
        </w:numPr>
        <w:spacing w:after="0" w:line="360" w:lineRule="auto"/>
        <w:rPr>
          <w:rFonts w:ascii="Times New Roman" w:eastAsia="Times New Roman" w:hAnsi="Times New Roman" w:cs="Times New Roman"/>
          <w:kern w:val="0"/>
          <w14:ligatures w14:val="none"/>
        </w:rPr>
      </w:pPr>
      <w:proofErr w:type="spellStart"/>
      <w:proofErr w:type="spellEnd"/>
      <w:r w:rsidRPr="00C04597">
        <w:rPr>
          <w:rFonts w:ascii="Times New Roman" w:eastAsia="Times New Roman" w:hAnsi="Times New Roman" w:cs="Times New Roman"/>
          <w:kern w:val="0"/>
          <w14:ligatures w14:val="none"/>
        </w:rPr>
        <w:t>Demonstrate whether VI provides comparable performance to MCMC and QML (Magris &amp; Iosifidis, 2023)</w:t>
      </w:r>
    </w:p>
    <w:p w14:paraId="67A2FD53" w14:textId="77777777" w:rsidR="00C04597" w:rsidRPr="00C04597" w:rsidRDefault="00C04597" w:rsidP="00C04597">
      <w:pPr>
        <w:numPr>
          <w:ilvl w:val="0"/>
          <w:numId w:val="4"/>
        </w:numPr>
        <w:spacing w:after="0" w:line="360" w:lineRule="auto"/>
        <w:rPr>
          <w:rFonts w:ascii="Times New Roman" w:eastAsia="Times New Roman" w:hAnsi="Times New Roman" w:cs="Times New Roman"/>
          <w:kern w:val="0"/>
          <w14:ligatures w14:val="none"/>
        </w:rPr>
      </w:pPr>
      <w:r w:rsidRPr="00C04597">
        <w:rPr>
          <w:rFonts w:ascii="Times New Roman" w:eastAsia="Times New Roman" w:hAnsi="Times New Roman" w:cs="Times New Roman"/>
          <w:kern w:val="0"/>
          <w14:ligatures w14:val="none"/>
        </w:rPr>
        <w:t>Illustrate volatility dynamics through estimated conditional variance, including posterior credible bands</w:t>
      </w:r>
    </w:p>
    <w:p w14:paraId="72DD58FA" w14:textId="77777777" w:rsidR="00A977C2" w:rsidRPr="00A977C2" w:rsidRDefault="00C04597" w:rsidP="00C04597">
      <w:pPr>
        <w:numPr>
          <w:ilvl w:val="0"/>
          <w:numId w:val="4"/>
        </w:numPr>
        <w:spacing w:after="0" w:line="360" w:lineRule="auto"/>
        <w:rPr>
          <w:rFonts w:ascii="Times New Roman" w:eastAsia="Times New Roman" w:hAnsi="Times New Roman" w:cs="Times New Roman"/>
          <w:kern w:val="0"/>
          <w14:ligatures w14:val="none"/>
        </w:rPr>
      </w:pPr>
      <w:r w:rsidRPr="00C04597">
        <w:rPr>
          <w:rFonts w:ascii="Times New Roman" w:eastAsia="Times New Roman" w:hAnsi="Times New Roman" w:cs="Times New Roman"/>
          <w:kern w:val="0"/>
          <w14:ligatures w14:val="none"/>
        </w:rPr>
        <w:t>Compare the computational cost and practical trade-offs of VI and MCMC</w:t>
      </w:r>
    </w:p>
    <w:p w14:paraId="30AB6A61" w14:textId="77777777" w:rsidR="00A977C2" w:rsidRPr="00A977C2" w:rsidRDefault="00A977C2" w:rsidP="00CB3A4F">
      <w:pPr>
        <w:spacing w:after="0" w:line="360" w:lineRule="auto"/>
        <w:rPr>
          <w:rFonts w:ascii="Times New Roman" w:eastAsia="Times New Roman" w:hAnsi="Times New Roman" w:cs="Times New Roman"/>
          <w:kern w:val="0"/>
          <w14:ligatures w14:val="none"/>
        </w:rPr>
      </w:pPr>
    </w:p>
    <w:p w14:paraId="3B1CD2F2" w14:textId="77777777" w:rsidR="00CB3A4F" w:rsidRPr="00CB3A4F" w:rsidRDefault="00A977C2" w:rsidP="00CB3A4F">
      <w:pPr>
        <w:spacing w:after="0" w:line="360" w:lineRule="auto"/>
        <w:outlineLvl w:val="3"/>
        <w:rPr>
          <w:rFonts w:ascii="Times New Roman" w:eastAsia="Times New Roman" w:hAnsi="Times New Roman" w:cs="Times New Roman"/>
          <w:b/>
          <w:bCs/>
          <w:kern w:val="0"/>
          <w14:ligatures w14:val="none"/>
        </w:rPr>
      </w:pPr>
      <w:r w:rsidRPr="00A977C2">
        <w:rPr>
          <w:rFonts w:ascii="Times New Roman" w:eastAsia="Times New Roman" w:hAnsi="Times New Roman" w:cs="Times New Roman"/>
          <w:b/>
          <w:bCs/>
          <w:kern w:val="0"/>
          <w14:ligatures w14:val="none"/>
        </w:rPr>
        <w:t xml:space="preserve">6. </w:t>
      </w:r>
      <w:r w:rsidR="00CB3A4F" w:rsidRPr="00CB3A4F">
        <w:rPr>
          <w:rFonts w:ascii="Times New Roman" w:eastAsia="Times New Roman" w:hAnsi="Times New Roman" w:cs="Times New Roman"/>
          <w:b/>
          <w:bCs/>
          <w:kern w:val="36"/>
          <w14:ligatures w14:val="none"/>
        </w:rPr>
        <w:t>References</w:t>
      </w:r>
    </w:p>
    <w:p w14:paraId="5BD5613C" w14:textId="77777777" w:rsidR="00CB3A4F" w:rsidRPr="00CB3A4F" w:rsidRDefault="00CB3A4F" w:rsidP="00CB3A4F">
      <w:pPr>
        <w:spacing w:after="0" w:line="360" w:lineRule="auto"/>
        <w:ind w:left="720" w:hanging="720"/>
        <w:rPr>
          <w:rFonts w:ascii="Times New Roman" w:eastAsia="Times New Roman" w:hAnsi="Times New Roman" w:cs="Times New Roman"/>
          <w:kern w:val="0"/>
          <w14:ligatures w14:val="none"/>
        </w:rPr>
      </w:pPr>
      <w:proofErr w:type="spellStart"/>
      <w:proofErr w:type="spellEnd"/>
      <w:r w:rsidRPr="00CB3A4F">
        <w:rPr>
          <w:rFonts w:ascii="Times New Roman" w:eastAsia="Times New Roman" w:hAnsi="Times New Roman" w:cs="Times New Roman"/>
          <w:kern w:val="0"/>
          <w14:ligatures w14:val="none"/>
        </w:rPr>
        <w:t>Baillie, R. T., Bollerslev, T., &amp; Mikkelsen, H. O. (1996). Fractionally Integrated Generalized Autoregressive Conditional Heteroskedasticity. Journal of Econometrics, 74(1), 3–30.</w:t>
      </w:r>
    </w:p>
    <w:p w14:paraId="2400140A" w14:textId="77777777" w:rsidR="00CB3A4F" w:rsidRPr="00435375" w:rsidRDefault="00CB3A4F" w:rsidP="00CB3A4F">
      <w:pPr>
        <w:spacing w:after="0" w:line="360" w:lineRule="auto"/>
        <w:ind w:left="720" w:hanging="720"/>
        <w:rPr>
          <w:rFonts w:ascii="Times New Roman" w:eastAsia="Times New Roman" w:hAnsi="Times New Roman" w:cs="Times New Roman"/>
          <w:kern w:val="0"/>
          <w:lang w:val="fr-FR"/>
          <w14:ligatures w14:val="none"/>
        </w:rPr>
      </w:pPr>
      <w:proofErr w:type="spellStart"/>
      <w:proofErr w:type="spellEnd"/>
      <w:r w:rsidRPr="00CB3A4F">
        <w:rPr>
          <w:rFonts w:ascii="Times New Roman" w:eastAsia="Times New Roman" w:hAnsi="Times New Roman" w:cs="Times New Roman"/>
          <w:kern w:val="0"/>
          <w14:ligatures w14:val="none"/>
        </w:rPr>
        <w:t>Blei, D. M., Kucukelbir, A., &amp; McAuliffe, J. D. (2017). Variational Inference: A Review for Statisticians. Journal of the American Statistical Association, 112(518), 859–877. https://doi.org/10.1080/01621459.2017.1285773</w:t>
      </w:r>
    </w:p>
    <w:p w14:paraId="320D83EC" w14:textId="77777777" w:rsidR="00CB3A4F" w:rsidRPr="00435375" w:rsidRDefault="00CB3A4F" w:rsidP="00CB3A4F">
      <w:pPr>
        <w:spacing w:after="0" w:line="360" w:lineRule="auto"/>
        <w:ind w:left="720" w:hanging="720"/>
        <w:rPr>
          <w:rFonts w:ascii="Times New Roman" w:eastAsia="Times New Roman" w:hAnsi="Times New Roman" w:cs="Times New Roman"/>
          <w:kern w:val="0"/>
          <w:lang w:val="nb-NO"/>
          <w14:ligatures w14:val="none"/>
        </w:rPr>
      </w:pPr>
      <w:proofErr w:type="spellStart"/>
      <w:proofErr w:type="spellEnd"/>
      <w:r w:rsidRPr="00CB3A4F">
        <w:rPr>
          <w:rFonts w:ascii="Times New Roman" w:eastAsia="Times New Roman" w:hAnsi="Times New Roman" w:cs="Times New Roman"/>
          <w:kern w:val="0"/>
          <w14:ligatures w14:val="none"/>
        </w:rPr>
        <w:t>Bollerslev, T. (1986). Generalized Autoregressive Conditional Heteroskedasticity. Journal of Econometrics, 31(3), 307–327.</w:t>
      </w:r>
    </w:p>
    <w:p w14:paraId="4B8AC8BB" w14:textId="77777777" w:rsidR="00CB3A4F" w:rsidRPr="00CB3A4F" w:rsidRDefault="00CB3A4F" w:rsidP="00CB3A4F">
      <w:pPr>
        <w:spacing w:after="0" w:line="360" w:lineRule="auto"/>
        <w:ind w:left="720" w:hanging="720"/>
        <w:rPr>
          <w:rFonts w:ascii="Times New Roman" w:eastAsia="Times New Roman" w:hAnsi="Times New Roman" w:cs="Times New Roman"/>
          <w:kern w:val="0"/>
          <w14:ligatures w14:val="none"/>
        </w:rPr>
      </w:pPr>
      <w:proofErr w:type="spellStart"/>
      <w:proofErr w:type="spellEnd"/>
      <w:proofErr w:type="spellStart"/>
      <w:proofErr w:type="spellEnd"/>
      <w:proofErr w:type="spellStart"/>
      <w:proofErr w:type="spellEnd"/>
      <w:r w:rsidRPr="00435375">
        <w:rPr>
          <w:rFonts w:ascii="Times New Roman" w:eastAsia="Times New Roman" w:hAnsi="Times New Roman" w:cs="Times New Roman"/>
          <w:kern w:val="0"/>
          <w:lang w:val="nb-NO"/>
          <w14:ligatures w14:val="none"/>
        </w:rPr>
        <w:t>Bollerslev, T. (1987). A Conditionally Heteroskedastic Time Series Model for Speculative Prices and Rates of Return. The Review of Economics and Statistics, 69(3), 542–547.</w:t>
      </w:r>
    </w:p>
    <w:p w14:paraId="5BD5613C" w14:textId="77777777" w:rsidR="00CB3A4F" w:rsidRPr="00CB3A4F" w:rsidRDefault="00CB3A4F" w:rsidP="00CB3A4F">
      <w:pPr>
        <w:spacing w:after="0" w:line="360" w:lineRule="auto"/>
        <w:ind w:left="720" w:hanging="720"/>
        <w:rPr>
          <w:rFonts w:ascii="Times New Roman" w:eastAsia="Times New Roman" w:hAnsi="Times New Roman" w:cs="Times New Roman"/>
          <w:kern w:val="0"/>
          <w14:ligatures w14:val="none"/>
        </w:rPr>
      </w:pPr>
      <w:proofErr w:type="spellStart"/>
      <w:proofErr w:type="spellEnd"/>
      <w:r w:rsidRPr="00CB3A4F">
        <w:rPr>
          <w:rFonts w:ascii="Times New Roman" w:eastAsia="Times New Roman" w:hAnsi="Times New Roman" w:cs="Times New Roman"/>
          <w:kern w:val="0"/>
          <w14:ligatures w14:val="none"/>
        </w:rPr>
        <w:t>Magris, M., &amp; Iosifidis, A. (2023). Variational Inference for GARCH-family Models. arXiv:2310.03435. https://arxiv.org/abs/2310.03435</w:t>
      </w:r>
    </w:p>
    <w:p w14:paraId="5BD5613C" w14:textId="77777777" w:rsidR="00CB3A4F" w:rsidRPr="00CB3A4F" w:rsidRDefault="00CB3A4F" w:rsidP="00CB3A4F">
      <w:pPr>
        <w:spacing w:after="0" w:line="360" w:lineRule="auto"/>
        <w:ind w:left="720" w:hanging="720"/>
        <w:rPr>
          <w:rFonts w:ascii="Times New Roman" w:eastAsia="Times New Roman" w:hAnsi="Times New Roman" w:cs="Times New Roman"/>
          <w:kern w:val="0"/>
          <w14:ligatures w14:val="none"/>
        </w:rPr>
      </w:pPr>
      <w:proofErr w:type="spellStart"/>
      <w:proofErr w:type="spellEnd"/>
      <w:r w:rsidRPr="00CB3A4F">
        <w:rPr>
          <w:rFonts w:ascii="Times New Roman" w:eastAsia="Times New Roman" w:hAnsi="Times New Roman" w:cs="Times New Roman"/>
          <w:kern w:val="0"/>
          <w14:ligatures w14:val="none"/>
        </w:rPr>
        <w:t>Ranganath, R., Gerrish, S., &amp; Blei, D. (2014). Black Box Variational Inference. Proceedings of AISTATS, 814–822.</w:t>
      </w:r>
    </w:p>
    <w:p w14:paraId="2643792A" w14:textId="77777777" w:rsidR="00F667F6" w:rsidRPr="00A977C2" w:rsidRDefault="00F667F6" w:rsidP="00CB3A4F">
      <w:pPr>
        <w:spacing w:after="0" w:line="360" w:lineRule="auto"/>
      </w:pPr>
    </w:p>
    <w:sectPr w:rsidR="00F667F6" w:rsidRPr="00A977C2" w:rsidSect="000A42B3">
      <w:pgSz w:w="12240" w:h="15840"/>
      <w:pgMar w:top="110" w:right="310" w:bottom="147" w:left="16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E6A6A"/>
    <w:multiLevelType w:val="multilevel"/>
    <w:tmpl w:val="6A50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72EC9"/>
    <w:multiLevelType w:val="multilevel"/>
    <w:tmpl w:val="44A6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76E24"/>
    <w:multiLevelType w:val="multilevel"/>
    <w:tmpl w:val="75D2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81EE0"/>
    <w:multiLevelType w:val="multilevel"/>
    <w:tmpl w:val="4F78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53B22"/>
    <w:multiLevelType w:val="multilevel"/>
    <w:tmpl w:val="7A7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866144">
    <w:abstractNumId w:val="2"/>
  </w:num>
  <w:num w:numId="2" w16cid:durableId="810095527">
    <w:abstractNumId w:val="0"/>
  </w:num>
  <w:num w:numId="3" w16cid:durableId="2124226113">
    <w:abstractNumId w:val="1"/>
  </w:num>
  <w:num w:numId="4" w16cid:durableId="2145269550">
    <w:abstractNumId w:val="4"/>
  </w:num>
  <w:num w:numId="5" w16cid:durableId="2009940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7B2"/>
    <w:rsid w:val="000361F7"/>
    <w:rsid w:val="000A42B3"/>
    <w:rsid w:val="000D7EAD"/>
    <w:rsid w:val="000E06DC"/>
    <w:rsid w:val="0010347E"/>
    <w:rsid w:val="00287327"/>
    <w:rsid w:val="003010AB"/>
    <w:rsid w:val="00401E3C"/>
    <w:rsid w:val="00435375"/>
    <w:rsid w:val="004F0F7F"/>
    <w:rsid w:val="00662C6F"/>
    <w:rsid w:val="006E7221"/>
    <w:rsid w:val="00810E61"/>
    <w:rsid w:val="00863B7A"/>
    <w:rsid w:val="0086537D"/>
    <w:rsid w:val="008F67B2"/>
    <w:rsid w:val="00920FFC"/>
    <w:rsid w:val="00993A1E"/>
    <w:rsid w:val="00A977C2"/>
    <w:rsid w:val="00B054CC"/>
    <w:rsid w:val="00BF011D"/>
    <w:rsid w:val="00C04597"/>
    <w:rsid w:val="00C10CD1"/>
    <w:rsid w:val="00C6574E"/>
    <w:rsid w:val="00C831E0"/>
    <w:rsid w:val="00CB3A4F"/>
    <w:rsid w:val="00D05748"/>
    <w:rsid w:val="00D84D21"/>
    <w:rsid w:val="00F2023D"/>
    <w:rsid w:val="00F667F6"/>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2C464"/>
  <w15:chartTrackingRefBased/>
  <w15:docId w15:val="{7D598FBC-2E23-F042-96AB-6EA1B98AE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67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6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7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7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67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6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7B2"/>
    <w:rPr>
      <w:rFonts w:eastAsiaTheme="majorEastAsia" w:cstheme="majorBidi"/>
      <w:color w:val="272727" w:themeColor="text1" w:themeTint="D8"/>
    </w:rPr>
  </w:style>
  <w:style w:type="paragraph" w:styleId="Title">
    <w:name w:val="Title"/>
    <w:basedOn w:val="Normal"/>
    <w:next w:val="Normal"/>
    <w:link w:val="TitleChar"/>
    <w:uiPriority w:val="10"/>
    <w:qFormat/>
    <w:rsid w:val="008F6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7B2"/>
    <w:pPr>
      <w:spacing w:before="160"/>
      <w:jc w:val="center"/>
    </w:pPr>
    <w:rPr>
      <w:i/>
      <w:iCs/>
      <w:color w:val="404040" w:themeColor="text1" w:themeTint="BF"/>
    </w:rPr>
  </w:style>
  <w:style w:type="character" w:customStyle="1" w:styleId="QuoteChar">
    <w:name w:val="Quote Char"/>
    <w:basedOn w:val="DefaultParagraphFont"/>
    <w:link w:val="Quote"/>
    <w:uiPriority w:val="29"/>
    <w:rsid w:val="008F67B2"/>
    <w:rPr>
      <w:i/>
      <w:iCs/>
      <w:color w:val="404040" w:themeColor="text1" w:themeTint="BF"/>
    </w:rPr>
  </w:style>
  <w:style w:type="paragraph" w:styleId="ListParagraph">
    <w:name w:val="List Paragraph"/>
    <w:basedOn w:val="Normal"/>
    <w:uiPriority w:val="34"/>
    <w:qFormat/>
    <w:rsid w:val="008F67B2"/>
    <w:pPr>
      <w:ind w:left="720"/>
      <w:contextualSpacing/>
    </w:pPr>
  </w:style>
  <w:style w:type="character" w:styleId="IntenseEmphasis">
    <w:name w:val="Intense Emphasis"/>
    <w:basedOn w:val="DefaultParagraphFont"/>
    <w:uiPriority w:val="21"/>
    <w:qFormat/>
    <w:rsid w:val="008F67B2"/>
    <w:rPr>
      <w:i/>
      <w:iCs/>
      <w:color w:val="0F4761" w:themeColor="accent1" w:themeShade="BF"/>
    </w:rPr>
  </w:style>
  <w:style w:type="paragraph" w:styleId="IntenseQuote">
    <w:name w:val="Intense Quote"/>
    <w:basedOn w:val="Normal"/>
    <w:next w:val="Normal"/>
    <w:link w:val="IntenseQuoteChar"/>
    <w:uiPriority w:val="30"/>
    <w:qFormat/>
    <w:rsid w:val="008F6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7B2"/>
    <w:rPr>
      <w:i/>
      <w:iCs/>
      <w:color w:val="0F4761" w:themeColor="accent1" w:themeShade="BF"/>
    </w:rPr>
  </w:style>
  <w:style w:type="character" w:styleId="IntenseReference">
    <w:name w:val="Intense Reference"/>
    <w:basedOn w:val="DefaultParagraphFont"/>
    <w:uiPriority w:val="32"/>
    <w:qFormat/>
    <w:rsid w:val="008F67B2"/>
    <w:rPr>
      <w:b/>
      <w:bCs/>
      <w:smallCaps/>
      <w:color w:val="0F4761" w:themeColor="accent1" w:themeShade="BF"/>
      <w:spacing w:val="5"/>
    </w:rPr>
  </w:style>
  <w:style w:type="character" w:styleId="Strong">
    <w:name w:val="Strong"/>
    <w:basedOn w:val="DefaultParagraphFont"/>
    <w:uiPriority w:val="22"/>
    <w:qFormat/>
    <w:rsid w:val="008F67B2"/>
    <w:rPr>
      <w:b/>
      <w:bCs/>
    </w:rPr>
  </w:style>
  <w:style w:type="paragraph" w:styleId="NormalWeb">
    <w:name w:val="Normal (Web)"/>
    <w:basedOn w:val="Normal"/>
    <w:uiPriority w:val="99"/>
    <w:semiHidden/>
    <w:unhideWhenUsed/>
    <w:rsid w:val="008F67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F67B2"/>
    <w:rPr>
      <w:i/>
      <w:iCs/>
    </w:rPr>
  </w:style>
  <w:style w:type="paragraph" w:customStyle="1" w:styleId="isselectedend">
    <w:name w:val="isselectedend"/>
    <w:basedOn w:val="Normal"/>
    <w:rsid w:val="000361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4353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793</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Rica Insigne</dc:creator>
  <cp:keywords/>
  <dc:description/>
  <cp:lastModifiedBy>James Huang</cp:lastModifiedBy>
  <cp:revision>11</cp:revision>
  <dcterms:created xsi:type="dcterms:W3CDTF">2026-04-08T17:23:00Z</dcterms:created>
  <dcterms:modified xsi:type="dcterms:W3CDTF">2026-04-09T20:01:00Z</dcterms:modified>
</cp:coreProperties>
</file>