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FCEF" w14:textId="77777777" w:rsidR="00B03F2C" w:rsidRPr="00103115" w:rsidRDefault="00000000">
      <w:pPr>
        <w:pStyle w:val="Title"/>
        <w:rPr>
          <w:sz w:val="44"/>
          <w:szCs w:val="44"/>
        </w:rPr>
      </w:pPr>
      <w:r w:rsidRPr="00103115">
        <w:rPr>
          <w:sz w:val="44"/>
          <w:szCs w:val="44"/>
        </w:rPr>
        <w:t>Bipolar heat and model-dependent estimates of lattice thermal conductivity across a thermoelectric corpus</w:t>
      </w:r>
    </w:p>
    <w:p w14:paraId="7012067D" w14:textId="77777777" w:rsidR="00103115" w:rsidRPr="00103115" w:rsidRDefault="00103115" w:rsidP="00103115">
      <w:pPr>
        <w:pStyle w:val="Title"/>
        <w:rPr>
          <w:b w:val="0"/>
          <w:bCs w:val="0"/>
          <w:sz w:val="22"/>
          <w:szCs w:val="22"/>
        </w:rPr>
      </w:pPr>
      <w:r w:rsidRPr="00103115">
        <w:rPr>
          <w:b w:val="0"/>
          <w:bCs w:val="0"/>
          <w:sz w:val="22"/>
          <w:szCs w:val="22"/>
        </w:rPr>
        <w:t>S. Govindan Namboothiri¹, Satheesh Soumya¹, J. R. Rani</w:t>
      </w:r>
      <w:r w:rsidRPr="00103115">
        <w:rPr>
          <w:b w:val="0"/>
          <w:bCs w:val="0"/>
          <w:sz w:val="22"/>
          <w:szCs w:val="22"/>
          <w:vertAlign w:val="superscript"/>
        </w:rPr>
        <w:t>2</w:t>
      </w:r>
      <w:r w:rsidRPr="00103115">
        <w:rPr>
          <w:b w:val="0"/>
          <w:bCs w:val="0"/>
          <w:sz w:val="22"/>
          <w:szCs w:val="22"/>
        </w:rPr>
        <w:t>, Varij Panwar</w:t>
      </w:r>
      <w:r w:rsidRPr="00103115">
        <w:rPr>
          <w:b w:val="0"/>
          <w:bCs w:val="0"/>
          <w:sz w:val="22"/>
          <w:szCs w:val="22"/>
          <w:vertAlign w:val="superscript"/>
        </w:rPr>
        <w:t>3</w:t>
      </w:r>
      <w:r w:rsidRPr="00103115">
        <w:rPr>
          <w:b w:val="0"/>
          <w:bCs w:val="0"/>
          <w:sz w:val="22"/>
          <w:szCs w:val="22"/>
        </w:rPr>
        <w:t>, Jayakumar P</w:t>
      </w:r>
      <w:r w:rsidRPr="00103115">
        <w:rPr>
          <w:b w:val="0"/>
          <w:bCs w:val="0"/>
          <w:sz w:val="22"/>
          <w:szCs w:val="22"/>
          <w:vertAlign w:val="superscript"/>
        </w:rPr>
        <w:t>4</w:t>
      </w:r>
      <w:r w:rsidRPr="00103115">
        <w:rPr>
          <w:b w:val="0"/>
          <w:bCs w:val="0"/>
          <w:sz w:val="22"/>
          <w:szCs w:val="22"/>
        </w:rPr>
        <w:t>*, Ji Young Jo</w:t>
      </w:r>
      <w:r w:rsidRPr="00103115">
        <w:rPr>
          <w:b w:val="0"/>
          <w:bCs w:val="0"/>
          <w:sz w:val="22"/>
          <w:szCs w:val="22"/>
          <w:vertAlign w:val="superscript"/>
        </w:rPr>
        <w:t>5</w:t>
      </w:r>
      <w:r w:rsidRPr="00103115">
        <w:rPr>
          <w:b w:val="0"/>
          <w:bCs w:val="0"/>
          <w:sz w:val="22"/>
          <w:szCs w:val="22"/>
        </w:rPr>
        <w:t>, Gopinathan Anoop¹*</w:t>
      </w:r>
    </w:p>
    <w:p w14:paraId="7E8FCD5C" w14:textId="77777777" w:rsidR="00103115" w:rsidRPr="00103115" w:rsidRDefault="00103115" w:rsidP="00103115">
      <w:pPr>
        <w:pStyle w:val="Title"/>
        <w:rPr>
          <w:b w:val="0"/>
          <w:bCs w:val="0"/>
          <w:sz w:val="22"/>
          <w:szCs w:val="22"/>
        </w:rPr>
      </w:pPr>
      <w:r w:rsidRPr="00103115">
        <w:rPr>
          <w:b w:val="0"/>
          <w:bCs w:val="0"/>
          <w:i/>
          <w:iCs/>
          <w:sz w:val="22"/>
          <w:szCs w:val="22"/>
        </w:rPr>
        <w:t xml:space="preserve">¹ Department of Physics, Amrita Vishwa Vidyapeetham, </w:t>
      </w:r>
      <w:proofErr w:type="spellStart"/>
      <w:r w:rsidRPr="00103115">
        <w:rPr>
          <w:b w:val="0"/>
          <w:bCs w:val="0"/>
          <w:i/>
          <w:iCs/>
          <w:sz w:val="22"/>
          <w:szCs w:val="22"/>
        </w:rPr>
        <w:t>Amritapuri</w:t>
      </w:r>
      <w:proofErr w:type="spellEnd"/>
      <w:r w:rsidRPr="00103115">
        <w:rPr>
          <w:b w:val="0"/>
          <w:bCs w:val="0"/>
          <w:i/>
          <w:iCs/>
          <w:sz w:val="22"/>
          <w:szCs w:val="22"/>
        </w:rPr>
        <w:t xml:space="preserve"> 690525, India</w:t>
      </w:r>
    </w:p>
    <w:p w14:paraId="6DC64E9C" w14:textId="77777777" w:rsidR="00103115" w:rsidRPr="00103115" w:rsidRDefault="00103115" w:rsidP="00103115">
      <w:pPr>
        <w:pStyle w:val="Title"/>
        <w:rPr>
          <w:b w:val="0"/>
          <w:bCs w:val="0"/>
          <w:sz w:val="22"/>
          <w:szCs w:val="22"/>
        </w:rPr>
      </w:pPr>
      <w:r w:rsidRPr="00103115">
        <w:rPr>
          <w:b w:val="0"/>
          <w:bCs w:val="0"/>
          <w:i/>
          <w:iCs/>
          <w:sz w:val="22"/>
          <w:szCs w:val="22"/>
          <w:vertAlign w:val="superscript"/>
        </w:rPr>
        <w:t>2</w:t>
      </w:r>
      <w:r w:rsidRPr="00103115">
        <w:rPr>
          <w:b w:val="0"/>
          <w:bCs w:val="0"/>
          <w:i/>
          <w:iCs/>
          <w:sz w:val="22"/>
          <w:szCs w:val="22"/>
        </w:rPr>
        <w:t xml:space="preserve"> Department of Physics, University College, Thiruvananthapuram, Kerala 695034, India</w:t>
      </w:r>
    </w:p>
    <w:p w14:paraId="6BC2B12D" w14:textId="77777777" w:rsidR="00103115" w:rsidRPr="00103115" w:rsidRDefault="00103115" w:rsidP="00103115">
      <w:pPr>
        <w:pStyle w:val="Title"/>
        <w:rPr>
          <w:b w:val="0"/>
          <w:bCs w:val="0"/>
          <w:sz w:val="22"/>
          <w:szCs w:val="22"/>
        </w:rPr>
      </w:pPr>
      <w:r w:rsidRPr="00103115">
        <w:rPr>
          <w:b w:val="0"/>
          <w:bCs w:val="0"/>
          <w:i/>
          <w:iCs/>
          <w:sz w:val="22"/>
          <w:szCs w:val="22"/>
          <w:vertAlign w:val="superscript"/>
        </w:rPr>
        <w:t>3</w:t>
      </w:r>
      <w:r w:rsidRPr="00103115">
        <w:rPr>
          <w:b w:val="0"/>
          <w:bCs w:val="0"/>
          <w:i/>
          <w:iCs/>
          <w:sz w:val="22"/>
          <w:szCs w:val="22"/>
        </w:rPr>
        <w:t>Department of Electronics and Communication Engineering, Graphic Era (Deemed to be University), Dehradun, 248002, India</w:t>
      </w:r>
    </w:p>
    <w:p w14:paraId="27140AF4" w14:textId="77777777" w:rsidR="00103115" w:rsidRPr="00103115" w:rsidRDefault="00103115" w:rsidP="00103115">
      <w:pPr>
        <w:pStyle w:val="Title"/>
        <w:rPr>
          <w:b w:val="0"/>
          <w:bCs w:val="0"/>
          <w:sz w:val="22"/>
          <w:szCs w:val="22"/>
        </w:rPr>
      </w:pPr>
      <w:r w:rsidRPr="00103115">
        <w:rPr>
          <w:b w:val="0"/>
          <w:bCs w:val="0"/>
          <w:i/>
          <w:iCs/>
          <w:sz w:val="22"/>
          <w:szCs w:val="22"/>
          <w:vertAlign w:val="superscript"/>
        </w:rPr>
        <w:t>4</w:t>
      </w:r>
      <w:r w:rsidRPr="00103115">
        <w:rPr>
          <w:b w:val="0"/>
          <w:bCs w:val="0"/>
          <w:i/>
          <w:iCs/>
          <w:sz w:val="22"/>
          <w:szCs w:val="22"/>
        </w:rPr>
        <w:t xml:space="preserve"> Department of Computer Science and Applications, Amrita School of Computing, </w:t>
      </w:r>
      <w:proofErr w:type="spellStart"/>
      <w:r w:rsidRPr="00103115">
        <w:rPr>
          <w:b w:val="0"/>
          <w:bCs w:val="0"/>
          <w:i/>
          <w:iCs/>
          <w:sz w:val="22"/>
          <w:szCs w:val="22"/>
        </w:rPr>
        <w:t>Amritapuri</w:t>
      </w:r>
      <w:proofErr w:type="spellEnd"/>
      <w:r w:rsidRPr="00103115">
        <w:rPr>
          <w:b w:val="0"/>
          <w:bCs w:val="0"/>
          <w:i/>
          <w:iCs/>
          <w:sz w:val="22"/>
          <w:szCs w:val="22"/>
        </w:rPr>
        <w:t xml:space="preserve"> 690525, India </w:t>
      </w:r>
    </w:p>
    <w:p w14:paraId="46F4F301" w14:textId="77777777" w:rsidR="00103115" w:rsidRPr="00103115" w:rsidRDefault="00103115" w:rsidP="00103115">
      <w:pPr>
        <w:pStyle w:val="Title"/>
        <w:rPr>
          <w:b w:val="0"/>
          <w:bCs w:val="0"/>
          <w:sz w:val="22"/>
          <w:szCs w:val="22"/>
        </w:rPr>
      </w:pPr>
      <w:r w:rsidRPr="00103115">
        <w:rPr>
          <w:b w:val="0"/>
          <w:bCs w:val="0"/>
          <w:i/>
          <w:iCs/>
          <w:sz w:val="22"/>
          <w:szCs w:val="22"/>
        </w:rPr>
        <w:t>⁵ Department of Materials Science and Engineering, Gwangju Institute of Science and Technology, Gwangju 61005, Republic of Korea</w:t>
      </w:r>
    </w:p>
    <w:p w14:paraId="3E1B4854" w14:textId="77777777" w:rsidR="00103115" w:rsidRPr="00103115" w:rsidRDefault="00103115" w:rsidP="00103115">
      <w:pPr>
        <w:pStyle w:val="Title"/>
        <w:rPr>
          <w:b w:val="0"/>
          <w:bCs w:val="0"/>
          <w:sz w:val="22"/>
          <w:szCs w:val="22"/>
        </w:rPr>
      </w:pPr>
      <w:r w:rsidRPr="00103115">
        <w:rPr>
          <w:b w:val="0"/>
          <w:bCs w:val="0"/>
          <w:i/>
          <w:iCs/>
          <w:sz w:val="22"/>
          <w:szCs w:val="22"/>
        </w:rPr>
        <w:t xml:space="preserve">* Corresponding: </w:t>
      </w:r>
      <w:proofErr w:type="gramStart"/>
      <w:r w:rsidRPr="00103115">
        <w:rPr>
          <w:b w:val="0"/>
          <w:bCs w:val="0"/>
          <w:i/>
          <w:iCs/>
          <w:sz w:val="22"/>
          <w:szCs w:val="22"/>
        </w:rPr>
        <w:t>anoopg@am.amrita.edu;  jaykumarp@am.amrita.edu</w:t>
      </w:r>
      <w:proofErr w:type="gramEnd"/>
      <w:r w:rsidRPr="00103115">
        <w:rPr>
          <w:b w:val="0"/>
          <w:bCs w:val="0"/>
          <w:i/>
          <w:iCs/>
          <w:sz w:val="22"/>
          <w:szCs w:val="22"/>
        </w:rPr>
        <w:t> </w:t>
      </w:r>
    </w:p>
    <w:p w14:paraId="0EBB69A1" w14:textId="77777777" w:rsidR="00103115" w:rsidRPr="00103115" w:rsidRDefault="00103115">
      <w:pPr>
        <w:pStyle w:val="Title"/>
        <w:rPr>
          <w:sz w:val="22"/>
          <w:szCs w:val="22"/>
        </w:rPr>
      </w:pPr>
    </w:p>
    <w:p w14:paraId="59E714E2" w14:textId="77777777" w:rsidR="00B03F2C" w:rsidRDefault="00000000" w:rsidP="007D7635">
      <w:pPr>
        <w:pStyle w:val="Heading1"/>
        <w:spacing w:line="480" w:lineRule="auto"/>
      </w:pPr>
      <w:r>
        <w:t>Abstract</w:t>
      </w:r>
    </w:p>
    <w:p w14:paraId="1118FF17" w14:textId="77777777" w:rsidR="00B03F2C" w:rsidRDefault="00000000" w:rsidP="007D7635">
      <w:pPr>
        <w:spacing w:after="120" w:line="480" w:lineRule="auto"/>
        <w:jc w:val="both"/>
      </w:pPr>
      <w:r>
        <w:t xml:space="preserve">Lattice thermal conductivity inferred by unipolar subtraction can contain bipolar heat. We analyse 13,031 literature-derived transport curves with a two-band neural posterior estimator and five extensions that relax shared carrier parameters, lattice monotonicity or thermal-channel assumptions. In the reference model, replacing the Lorenz estimator changes the median 400–750 K log-slope by 0.003, whereas the model lattice estimate shifts it by −0.166 relative to the unipolar remainder. The shift varies with material family, inferred bipolar share and measured </w:t>
      </w:r>
      <w:proofErr w:type="spellStart"/>
      <w:r>
        <w:t>Seebeck</w:t>
      </w:r>
      <w:proofErr w:type="spellEnd"/>
      <w:r>
        <w:t xml:space="preserve"> rollover. On 1,507 curves selected by all six models, the median shift remains negative but ranges from −0.107 to −0.593. On 509 common synthetic lattice-upturn cases, flexible independent-band inference raises nominal 95% lattice coverage from 41.7% to 97.2% while widening intervals about 14-fold; absolute slope error does not improve on the 87 common slope-eligible cases. Same-model </w:t>
      </w:r>
      <w:proofErr w:type="spellStart"/>
      <w:r>
        <w:t>undercoverage</w:t>
      </w:r>
      <w:proofErr w:type="spellEnd"/>
      <w:r>
        <w:t xml:space="preserve"> and cross-model attribution failures persist. The direction of the selected-population shift is stable across the tested hypotheses, while its magnitude and physical attribution remain model-dependent. These results do not establish errors in source publications.</w:t>
      </w:r>
    </w:p>
    <w:p w14:paraId="06FED8CB" w14:textId="77777777" w:rsidR="00B03F2C" w:rsidRDefault="00000000" w:rsidP="007D7635">
      <w:pPr>
        <w:pStyle w:val="Heading1"/>
        <w:spacing w:line="480" w:lineRule="auto"/>
      </w:pPr>
      <w:r>
        <w:lastRenderedPageBreak/>
        <w:t>1. Introduction</w:t>
      </w:r>
    </w:p>
    <w:p w14:paraId="79CFA980" w14:textId="0EC07DC4" w:rsidR="00B03F2C" w:rsidRDefault="00000000" w:rsidP="007D7635">
      <w:pPr>
        <w:spacing w:after="120" w:line="480" w:lineRule="auto"/>
        <w:jc w:val="both"/>
      </w:pPr>
      <w:r>
        <w:t xml:space="preserve">The figure of merit </w:t>
      </w:r>
      <m:oMath>
        <m:r>
          <w:rPr>
            <w:rFonts w:ascii="Cambria Math" w:hAnsi="Cambria Math"/>
          </w:rPr>
          <m:t xml:space="preserve">zT = </m:t>
        </m:r>
        <m:sSup>
          <m:sSupPr>
            <m:ctrlPr>
              <w:rPr>
                <w:rFonts w:ascii="Cambria Math" w:hAnsi="Cambria Math"/>
                <w:i/>
                <w:iCs/>
              </w:rPr>
            </m:ctrlPr>
          </m:sSupPr>
          <m:e>
            <m:r>
              <w:rPr>
                <w:rFonts w:ascii="Cambria Math" w:hAnsi="Cambria Math"/>
              </w:rPr>
              <m:t>S</m:t>
            </m:r>
            <m:ctrlPr>
              <w:rPr>
                <w:rFonts w:ascii="Cambria Math" w:hAnsi="Cambria Math"/>
                <w:i/>
              </w:rPr>
            </m:ctrlPr>
          </m:e>
          <m:sup>
            <m:r>
              <w:rPr>
                <w:rFonts w:ascii="Cambria Math" w:hAnsi="Cambria Math"/>
                <w:vertAlign w:val="superscript"/>
              </w:rPr>
              <m:t>2</m:t>
            </m:r>
          </m:sup>
        </m:sSup>
        <m:r>
          <w:rPr>
            <w:rFonts w:ascii="Cambria Math" w:hAnsi="Cambria Math"/>
          </w:rPr>
          <m:t>σT/κ</m:t>
        </m:r>
      </m:oMath>
      <w:r>
        <w:t xml:space="preserve"> combines measured electrical conductivity, Seebeck coefficient and total thermal conductivity. Separating lattice heat requires additional assumptions. A widely used approximation is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rPr>
          <m:t xml:space="preserve"> = κ - LσT</m:t>
        </m:r>
      </m:oMath>
      <w:r>
        <w:t xml:space="preserve">, with </w:t>
      </w:r>
      <w:r>
        <w:rPr>
          <w:i/>
          <w:iCs/>
        </w:rPr>
        <w:t>L</w:t>
      </w:r>
      <w:r>
        <w:t xml:space="preserve"> inferred from </w:t>
      </w:r>
      <w:r>
        <w:rPr>
          <w:i/>
          <w:iCs/>
        </w:rPr>
        <w:t>S</w:t>
      </w:r>
      <w:r>
        <w:t xml:space="preserve">. The single-parabolic-band estimator of Kim et al. </w:t>
      </w:r>
      <w:r w:rsidR="00C77A4D">
        <w:fldChar w:fldCharType="begin"/>
      </w:r>
      <w:r w:rsidR="00C77A4D">
        <w:instrText xml:space="preserve"> ADDIN ZOTERO_ITEM CSL_CITATION {"citationID":"sqFLinTA","properties":{"unsorted":false,"formattedCitation":"\\super 1\\nosupersub{}","plainCitation":"1","noteIndex":0},"citationItems":[{"id":4772,"uris":["http://zotero.org/groups/6712166/items/BJCGQKT3"],"itemData":{"id":4772,"type":"article-journal","abstract":"In analyzing zT improvements due to lattice thermal conductivity (κL) reduction, electrical conductivity (σ) and total thermal conductivity (κTotal) are often used to estimate the electronic component of the thermal conductivity (κE) and in turn κL from κL = </w:instrText>
      </w:r>
      <w:r w:rsidR="00C77A4D">
        <w:rPr>
          <w:rFonts w:ascii="Cambria Math" w:hAnsi="Cambria Math" w:cs="Cambria Math"/>
        </w:rPr>
        <w:instrText>∼</w:instrText>
      </w:r>
      <w:r w:rsidR="00C77A4D">
        <w:instrText xml:space="preserve"> κTotal − LσT. The Wiedemann-Franz law, κE = LσT, where L is Lorenz number, is widely used to estimate κE from σ measurements. It is a common practice to treat L as a universal factor with 2.44 × 10−8 WΩK−2 (degenerate limit). However, significant deviations from the degenerate limit (approximately 40% or more for Kane bands) are known to occur for non-degenerate semiconductors where L converges to 1.5 × 10−8 WΩK−2 for acoustic phonon scattering. The decrease in L is correlated with an increase in thermopower (absolute value of Seebeck coefficient (S)). Thus, a first order correction to the degenerate limit of L can be based on the measured thermopower, |S|, independent of temperature or doping. We propose the equation: L=1.5+exp−|S|116 (where L is in 10−8 WΩK−2 and S in μV/K) as a satisfactory approximation for L. This equation is accurate within 5% for single parabolic band/acoustic phonon scattering assumption and within 20% for PbSe, PbS, PbTe, Si0.8Ge0.2 where more complexity is introduced, such as non-parabolic Kane bands, multiple bands, and/or alternate scattering mechanisms. The use of this equation for L rather than a constant value (when detailed band structure and scattering mechanism is not known) will significantly improve the estimation of lattice thermal conductivity.","container-title":"APL Materials","DOI":"10.1063/1.4908244","ISSN":"2166-532X","issue":"4","language":"en","page":"041506","source":"DOI.org (Crossref)","title":"Characterization of Lorenz number with Seebeck coefficient measurement","volume":"3","author":[{"family":"Kim","given":"Hyun-Sik"},{"family":"Gibbs","given":"Zachary M."},{"family":"Tang","given":"Yinglu"},{"family":"Wang","given":"Heng"},{"family":"Snyder","given":"G. Jeffrey"}],"issued":{"date-parts":[["2015",4,1]]}}}],"schema":"https://github.com/citation-style-language/schema/raw/master/csl-citation.json"} </w:instrText>
      </w:r>
      <w:r w:rsidR="00C77A4D">
        <w:fldChar w:fldCharType="separate"/>
      </w:r>
      <w:r w:rsidR="00C77A4D" w:rsidRPr="00C77A4D">
        <w:rPr>
          <w:vertAlign w:val="superscript"/>
        </w:rPr>
        <w:t>1</w:t>
      </w:r>
      <w:r w:rsidR="00C77A4D">
        <w:fldChar w:fldCharType="end"/>
      </w:r>
      <w:r>
        <w:t xml:space="preserve"> is </w:t>
      </w:r>
      <m:oMath>
        <m:r>
          <w:rPr>
            <w:rFonts w:ascii="Cambria Math" w:hAnsi="Cambria Math"/>
          </w:rPr>
          <m:t xml:space="preserve">L = [1.5 + exp(-|S|/116)] × </m:t>
        </m:r>
        <m:sSup>
          <m:sSupPr>
            <m:ctrlPr>
              <w:rPr>
                <w:rFonts w:ascii="Cambria Math" w:hAnsi="Cambria Math"/>
                <w:i/>
              </w:rPr>
            </m:ctrlPr>
          </m:sSupPr>
          <m:e>
            <m:r>
              <w:rPr>
                <w:rFonts w:ascii="Cambria Math" w:hAnsi="Cambria Math"/>
              </w:rPr>
              <m:t>10</m:t>
            </m:r>
          </m:e>
          <m:sup>
            <m:r>
              <w:rPr>
                <w:rFonts w:ascii="Cambria Math" w:hAnsi="Cambria Math"/>
                <w:vertAlign w:val="superscript"/>
              </w:rPr>
              <m:t>-8</m:t>
            </m:r>
          </m:sup>
        </m:sSup>
      </m:oMath>
      <w:r>
        <w:t xml:space="preserve"> W Ω K</w:t>
      </w:r>
      <w:r>
        <w:rPr>
          <w:vertAlign w:val="superscript"/>
        </w:rPr>
        <w:t>−2</w:t>
      </w:r>
      <w:r>
        <w:t xml:space="preserve">, where </w:t>
      </w:r>
      <w:r>
        <w:rPr>
          <w:i/>
          <w:iCs/>
        </w:rPr>
        <w:t>S</w:t>
      </w:r>
      <w:r>
        <w:t xml:space="preserve"> is expressed in µV K</w:t>
      </w:r>
      <w:r>
        <w:rPr>
          <w:vertAlign w:val="superscript"/>
        </w:rPr>
        <w:t>−1</w:t>
      </w:r>
      <w:r>
        <w:t>. Its applicability depends on the assumed carrier and scattering regime; realistic non-parabolic band structures can produce departures from this approximation</w:t>
      </w:r>
      <w:r w:rsidR="00C77A4D">
        <w:fldChar w:fldCharType="begin"/>
      </w:r>
      <w:r w:rsidR="00C77A4D">
        <w:instrText xml:space="preserve"> ADDIN ZOTERO_ITEM CSL_CITATION {"citationID":"64RdcfkO","properties":{"unsorted":false,"formattedCitation":"\\super 2\\nosupersub{}","plainCitation":"2","noteIndex":0},"citationItems":[{"id":4773,"uris":["http://zotero.org/groups/6712166/items/JR3M93GF"],"itemData":{"id":4773,"type":"article-journal","container-title":"Materials Today Physics","DOI":"10.1016/j.mtphys.2019.01.001","ISSN":"25425293","journalAbbreviation":"Materials Today Physics","language":"en","page":"49-55","source":"DOI.org (Crossref)","title":"Lorenz number in relation to estimates based on the Seebeck coefficient","volume":"8","author":[{"family":"Putatunda","given":"A."},{"family":"Singh","given":"D.J."}],"issued":{"date-parts":[["2019",3]]}}}],"schema":"https://github.com/citation-style-language/schema/raw/master/csl-citation.json"} </w:instrText>
      </w:r>
      <w:r w:rsidR="00C77A4D">
        <w:fldChar w:fldCharType="separate"/>
      </w:r>
      <w:r w:rsidR="00C77A4D" w:rsidRPr="00C77A4D">
        <w:rPr>
          <w:vertAlign w:val="superscript"/>
        </w:rPr>
        <w:t>2</w:t>
      </w:r>
      <w:r w:rsidR="00C77A4D">
        <w:fldChar w:fldCharType="end"/>
      </w:r>
      <w:r>
        <w:t>.</w:t>
      </w:r>
    </w:p>
    <w:p w14:paraId="2EA697D3" w14:textId="131260DC" w:rsidR="00B03F2C" w:rsidRDefault="00000000" w:rsidP="00406E59">
      <w:pPr>
        <w:spacing w:after="120" w:line="480" w:lineRule="auto"/>
        <w:jc w:val="both"/>
      </w:pPr>
      <w:r>
        <w:t xml:space="preserve">With two carrier types, the unipolar electronic contribution is </w:t>
      </w:r>
      <m:oMath>
        <m:sSub>
          <m:sSubPr>
            <m:ctrlPr>
              <w:rPr>
                <w:rFonts w:ascii="Cambria Math" w:hAnsi="Cambria Math"/>
                <w:i/>
              </w:rPr>
            </m:ctrlPr>
          </m:sSubPr>
          <m:e>
            <m:r>
              <w:rPr>
                <w:rFonts w:ascii="Cambria Math" w:hAnsi="Cambria Math"/>
              </w:rPr>
              <m:t>κ</m:t>
            </m:r>
          </m:e>
          <m:sub>
            <m:r>
              <w:rPr>
                <w:rFonts w:ascii="Cambria Math" w:hAnsi="Cambria Math"/>
                <w:vertAlign w:val="subscript"/>
              </w:rPr>
              <m:t>e</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p</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p</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n</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n</m:t>
            </m:r>
          </m:sub>
        </m:sSub>
        <m:r>
          <w:rPr>
            <w:rFonts w:ascii="Cambria Math" w:hAnsi="Cambria Math"/>
          </w:rPr>
          <m:t>)T</m:t>
        </m:r>
      </m:oMath>
      <w:r>
        <w:t xml:space="preserve">, and an additional term is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rPr>
          <m:t xml:space="preserve"> =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vertAlign w:val="subscript"/>
                      </w:rPr>
                      <m:t>p</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n</m:t>
                    </m:r>
                  </m:sub>
                </m:sSub>
              </m:num>
              <m:den>
                <m:sSub>
                  <m:sSubPr>
                    <m:ctrlPr>
                      <w:rPr>
                        <w:rFonts w:ascii="Cambria Math" w:hAnsi="Cambria Math"/>
                        <w:i/>
                      </w:rPr>
                    </m:ctrlPr>
                  </m:sSubPr>
                  <m:e>
                    <m:r>
                      <w:rPr>
                        <w:rFonts w:ascii="Cambria Math" w:hAnsi="Cambria Math"/>
                      </w:rPr>
                      <m:t>σ</m:t>
                    </m:r>
                  </m:e>
                  <m:sub>
                    <m:r>
                      <w:rPr>
                        <w:rFonts w:ascii="Cambria Math" w:hAnsi="Cambria Math"/>
                        <w:vertAlign w:val="subscript"/>
                      </w:rPr>
                      <m:t>p</m:t>
                    </m:r>
                  </m:sub>
                </m:sSub>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vertAlign w:val="subscript"/>
                      </w:rPr>
                      <m:t>n</m:t>
                    </m:r>
                  </m:sub>
                </m:sSub>
              </m:den>
            </m:f>
          </m:e>
        </m:d>
        <m:sSup>
          <m:sSupPr>
            <m:ctrlPr>
              <w:rPr>
                <w:rFonts w:ascii="Cambria Math" w:hAnsi="Cambria Math"/>
                <w:i/>
              </w:rPr>
            </m:ctrlPr>
          </m:sSupPr>
          <m:e>
            <m:d>
              <m:dPr>
                <m:ctrlPr>
                  <w:rPr>
                    <w:rFonts w:ascii="Cambria Math" w:hAnsi="Cambria Math"/>
                    <w:i/>
                  </w:rPr>
                </m:ctrlPr>
              </m:dPr>
              <m:e>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vertAlign w:val="subscript"/>
                      </w:rPr>
                      <m:t>p</m:t>
                    </m:r>
                  </m:sub>
                </m:sSub>
                <m:r>
                  <w:rPr>
                    <w:rFonts w:ascii="Cambria Math" w:hAnsi="Cambria Math"/>
                  </w:rPr>
                  <m:t xml:space="preserve"> - </m:t>
                </m:r>
                <m:sSub>
                  <m:sSubPr>
                    <m:ctrlPr>
                      <w:rPr>
                        <w:rFonts w:ascii="Cambria Math" w:hAnsi="Cambria Math"/>
                        <w:i/>
                        <w:iCs/>
                      </w:rPr>
                    </m:ctrlPr>
                  </m:sSubPr>
                  <m:e>
                    <m:r>
                      <w:rPr>
                        <w:rFonts w:ascii="Cambria Math" w:hAnsi="Cambria Math"/>
                      </w:rPr>
                      <m:t>S</m:t>
                    </m:r>
                    <m:ctrlPr>
                      <w:rPr>
                        <w:rFonts w:ascii="Cambria Math" w:hAnsi="Cambria Math"/>
                        <w:i/>
                      </w:rPr>
                    </m:ctrlPr>
                  </m:e>
                  <m:sub>
                    <m:r>
                      <w:rPr>
                        <w:rFonts w:ascii="Cambria Math" w:hAnsi="Cambria Math"/>
                        <w:vertAlign w:val="subscript"/>
                      </w:rPr>
                      <m:t>n</m:t>
                    </m:r>
                  </m:sub>
                </m:sSub>
              </m:e>
            </m:d>
            <m:ctrlPr>
              <w:rPr>
                <w:rFonts w:ascii="Cambria Math" w:hAnsi="Cambria Math"/>
                <w:i/>
                <w:vertAlign w:val="superscript"/>
              </w:rPr>
            </m:ctrlPr>
          </m:e>
          <m:sup>
            <m:r>
              <w:rPr>
                <w:rFonts w:ascii="Cambria Math" w:hAnsi="Cambria Math"/>
                <w:vertAlign w:val="superscript"/>
              </w:rPr>
              <m:t>2</m:t>
            </m:r>
          </m:sup>
        </m:sSup>
        <m:r>
          <w:rPr>
            <w:rFonts w:ascii="Cambria Math" w:hAnsi="Cambria Math"/>
          </w:rPr>
          <m:t>T</m:t>
        </m:r>
      </m:oMath>
      <w:r>
        <w:t xml:space="preserve">, using signed band </w:t>
      </w:r>
      <w:proofErr w:type="spellStart"/>
      <w:r>
        <w:t>Seebeck</w:t>
      </w:r>
      <w:proofErr w:type="spellEnd"/>
      <w:r>
        <w:t xml:space="preserve"> coefficients</w:t>
      </w:r>
      <w:r w:rsidR="00C77A4D">
        <w:fldChar w:fldCharType="begin"/>
      </w:r>
      <w:r w:rsidR="00C77A4D">
        <w:instrText xml:space="preserve"> ADDIN ZOTERO_ITEM CSL_CITATION {"citationID":"R1x9K2np","properties":{"unsorted":false,"formattedCitation":"\\super 3\\nosupersub{}","plainCitation":"3","noteIndex":0},"citationItems":[{"id":4774,"uris":["http://zotero.org/groups/6712166/items/H46DZ9EA"],"itemData":{"id":4774,"type":"article-journal","abstract":"Abstract\n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schema":"https://github.com/citation-style-language/schema/raw/master/csl-citation.json"} </w:instrText>
      </w:r>
      <w:r w:rsidR="00C77A4D">
        <w:fldChar w:fldCharType="separate"/>
      </w:r>
      <w:r w:rsidR="00C77A4D" w:rsidRPr="00C77A4D">
        <w:rPr>
          <w:vertAlign w:val="superscript"/>
        </w:rPr>
        <w:t>3</w:t>
      </w:r>
      <w:r w:rsidR="00C77A4D">
        <w:fldChar w:fldCharType="end"/>
      </w:r>
      <w:r>
        <w:t xml:space="preserve">. In the absence of an additional thermal channel, subtracting only </w:t>
      </w:r>
      <m:oMath>
        <m:sSub>
          <m:sSubPr>
            <m:ctrlPr>
              <w:rPr>
                <w:rFonts w:ascii="Cambria Math" w:hAnsi="Cambria Math"/>
                <w:i/>
              </w:rPr>
            </m:ctrlPr>
          </m:sSubPr>
          <m:e>
            <m:r>
              <w:rPr>
                <w:rFonts w:ascii="Cambria Math" w:hAnsi="Cambria Math"/>
              </w:rPr>
              <m:t>κ</m:t>
            </m:r>
          </m:e>
          <m:sub>
            <m:r>
              <w:rPr>
                <w:rFonts w:ascii="Cambria Math" w:hAnsi="Cambria Math"/>
                <w:vertAlign w:val="subscript"/>
              </w:rPr>
              <m:t>e</m:t>
            </m:r>
          </m:sub>
        </m:sSub>
      </m:oMath>
      <w:r>
        <w:t xml:space="preserve"> leaves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rPr>
          <m:t xml:space="preserve"> + </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An effective Lorenz number defined to include bipolar heat would instead absorb this term. Specifying the Lorenz convention is therefore essential, especially when comparing multiband Lorenz numbers </w:t>
      </w:r>
      <w:r w:rsidR="00C77A4D">
        <w:fldChar w:fldCharType="begin"/>
      </w:r>
      <w:r w:rsidR="00C77A4D">
        <w:instrText xml:space="preserve"> ADDIN ZOTERO_ITEM CSL_CITATION {"citationID":"FJvu9AXH","properties":{"unsorted":false,"formattedCitation":"\\super 4\\nosupersub{}","plainCitation":"4","noteIndex":0},"citationItems":[{"id":4775,"uris":["http://zotero.org/groups/6712166/items/5VIZSM75"],"itemData":{"id":4775,"type":"article-journal","container-title":"Physical Review B","DOI":"10.1103/PhysRevB.95.125206","ISSN":"2469-9950, 2469-9969","issue":"12","journalAbbreviation":"Phys. Rev. B","language":"en","license":"http://link.aps.org/licenses/aps-default-license","page":"125206","source":"DOI.org (Crossref)","title":"On the Lorenz number of multiband materials","volume":"95","author":[{"family":"Thesberg","given":"Mischa"},{"family":"Kosina","given":"Hans"},{"family":"Neophytou","given":"Neophytos"}],"issued":{"date-parts":[["2017",3,31]]}}}],"schema":"https://github.com/citation-style-language/schema/raw/master/csl-citation.json"} </w:instrText>
      </w:r>
      <w:r w:rsidR="00C77A4D">
        <w:fldChar w:fldCharType="separate"/>
      </w:r>
      <w:r w:rsidR="00C77A4D" w:rsidRPr="00C77A4D">
        <w:rPr>
          <w:vertAlign w:val="superscript"/>
        </w:rPr>
        <w:t>4</w:t>
      </w:r>
      <w:r w:rsidR="00C77A4D">
        <w:fldChar w:fldCharType="end"/>
      </w:r>
      <w:r>
        <w:t>.</w:t>
      </w:r>
    </w:p>
    <w:p w14:paraId="481B4B19" w14:textId="3A423EDD" w:rsidR="00B03F2C" w:rsidRDefault="00000000" w:rsidP="00406E59">
      <w:pPr>
        <w:spacing w:after="120" w:line="480" w:lineRule="auto"/>
        <w:jc w:val="both"/>
      </w:pPr>
      <w:r>
        <w:t>Single-material studies already treat bipolar transport explicitly</w:t>
      </w:r>
      <w:r w:rsidR="00C77A4D">
        <w:fldChar w:fldCharType="begin"/>
      </w:r>
      <w:r w:rsidR="00C77A4D">
        <w:instrText xml:space="preserve"> ADDIN ZOTERO_ITEM CSL_CITATION {"citationID":"DyPpkTqD","properties":{"unsorted":false,"formattedCitation":"\\super 3,5\\nosupersub{}","plainCitation":"3,5","noteIndex":0},"citationItems":[{"id":4774,"uris":["http://zotero.org/groups/6712166/items/H46DZ9EA"],"itemData":{"id":4774,"type":"article-journal","abstract":"Abstract\n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id":4776,"uris":["http://zotero.org/groups/6712166/items/BXIWLBXQ"],"itemData":{"id":4776,"type":"article-journal","abstract":"Cation substitutional doping is an effective approach to modifying the electronic and thermal transports in Bi2Te3-based thermoelectric alloys. Here we present a comprehensive analysis of the electrical and thermal conductivities of polycrystalline Pb-doped p-type bulk Bi0.48Sb1.52Te3. Pb doping significantly increased the electrical conductivity up to ~2700 S/cm at x = 0.02 in Bi0.48-xPbxSb1.52Te3 due to the increase in hole carrier concentration. Even though the total thermal conductivity increased as Pb was added, due to the increased hole carrier concentration, the thermal conductivity was reduced by 14–22% if the contribution of the increased hole carrier concentration was excluded. To further understand the origin of reduction in the thermal conductivity, we first estimated the contribution of bipolar conduction to thermal conductivity from a two-parabolic band model, which is an extension of the single parabolic band model. Thereafter, the contribution of additional point defect scattering caused by Pb substitution (Pb in the cation site) was analyzed using the Debye–Callaway model. We found that Pb doping significantly suppressed both the bipolar thermal conduction and lattice thermal conductivity simultaneously, while the bipolar contribution to the total thermal conductivity reduction increased at high temperatures. At Pb doping of x = 0.02, the bipolar thermal conductivity decreased by ~30% from 0.47 W/mK to 0.33 W/mK at 480 K, which accounts for 70% of the total reduction.","container-title":"Materials","DOI":"10.3390/ma10070763","ISSN":"1996-1944","issue":"7","journalAbbreviation":"Materials","language":"en","page":"763","source":"DOI.org (Crossref)","title":"Effect of Substitutional Pb Doping on Bipolar and Lattice Thermal Conductivity in p-Type Bi0.48Sb1.52Te3","volume":"10","author":[{"family":"Kim","given":"Hyun-sik"},{"family":"Lee","given":"Kyu Hyoung"},{"family":"Yoo","given":"Joonyeon"},{"family":"Youn","given":"Jehun"},{"family":"Roh","given":"Jong Wook"},{"family":"Kim","given":"Sang-il"},{"family":"Kim","given":"Sung Wng"}],"issued":{"date-parts":[["2017",7,6]]}}}],"schema":"https://github.com/citation-style-language/schema/raw/master/csl-citation.json"} </w:instrText>
      </w:r>
      <w:r w:rsidR="00C77A4D">
        <w:fldChar w:fldCharType="separate"/>
      </w:r>
      <w:r w:rsidR="00C77A4D" w:rsidRPr="00C77A4D">
        <w:rPr>
          <w:vertAlign w:val="superscript"/>
        </w:rPr>
        <w:t>3,5</w:t>
      </w:r>
      <w:r w:rsidR="00C77A4D">
        <w:fldChar w:fldCharType="end"/>
      </w:r>
      <w:r>
        <w:t>. Other mechanisms also affect subtraction: electrically resistive grain boundaries can produce an overestimate</w:t>
      </w:r>
      <w:r w:rsidR="00C77A4D">
        <w:fldChar w:fldCharType="begin"/>
      </w:r>
      <w:r w:rsidR="00C77A4D">
        <w:instrText xml:space="preserve"> ADDIN ZOTERO_ITEM CSL_CITATION {"citationID":"XI7Vo46l","properties":{"unsorted":false,"formattedCitation":"\\super 6\\nosupersub{}","plainCitation":"6","noteIndex":0},"citationItems":[{"id":4777,"uris":["http://zotero.org/groups/6712166/items/XMAZBB6A"],"itemData":{"id":4777,"type":"article-journal","abstract":"The inverse trend between carrier mobility and lattice thermal conductivity is found to be an artifact of grain boundary electrical resistance. A two-phase transport model is required to properly account for the effect.\n          , \n            \n              Reducing the thermal conductivity\n              κ\n              of a material\n              via\n              nano-structuring to create small grain sizes is one of the most common strategies to improve thermoelectric materials. In such polycrystalline materials heat carrying phonons are scattered at the grain boundaries, which directly improves the thermoelectric quality factor and ultimately the figure-of-merit\n              zT\n              . In some cases, however, such as in Mg\n              3\n              Sb\n              2\n              , SnSe, and Mg\n              2\n              Si an opposite trend is found where higher lattice thermal conductivity reported in small grain polycrystalline material than in large grain or single crystal materials. This unphysical result indicates a problem with the conventional use of the Wiedemann–Franz law. Here, we trace this problematic finding to the electrical resistance at the grain boundaries, which leads to an overestimation of the phonon or lattice contribution of the thermal conductivity\n              κ\n              L\n              . In materials with significant grain boundary electrical resistance, the estimated electronic contribution to the thermal conductivity\n              LσT\n              is low because the measured electrical conductivity\n              σ\n              is low. However within the grain electrons may still be transporting more heat than the total conductivity suggests, leading to an overestimation of\n              κ\n              L\n              if the conventional\n              κ\n              L\n              =\n              κ\n              −\n              LσT\n              is used with the measured values of\n              κ\n              and\n              σ\n              . The overestimation of\n              κ\n              L\n              in small-grain samples is shown to be pervasive across a broad range of thermoelectric materials, including Mg\n              3\n              Sb\n              2\n              , Mg\n              2\n              Si, PbTe, PbSe, SnSe, (Hf,Zr)CoSb, CoSb\n              3\n              , and Bi\n              2\n              Te\n              3\n              alloys, and a correction is necessary to properly understand and predict their charge and heat transport.","container-title":"Energy &amp; Environmental Science","DOI":"10.1039/C9EE03921J","ISSN":"1754-5692, 1754-5706","issue":"4","journalAbbreviation":"Energy Environ. Sci.","language":"en","page":"1250-1258","source":"DOI.org (Crossref)","title":"Systematic over-estimation of lattice thermal conductivity in materials with electrically-resistive grain boundaries","volume":"13","author":[{"family":"Kuo","given":"Jimmy Jiahong"},{"family":"Wood","given":"Max"},{"family":"Slade","given":"Tyler J."},{"family":"Kanatzidis","given":"Mercouri G."},{"family":"Snyder","given":"G. Jeffrey"}],"issued":{"date-parts":[["2020"]]}}}],"schema":"https://github.com/citation-style-language/schema/raw/master/csl-citation.json"} </w:instrText>
      </w:r>
      <w:r w:rsidR="00C77A4D">
        <w:fldChar w:fldCharType="separate"/>
      </w:r>
      <w:r w:rsidR="00C77A4D" w:rsidRPr="00C77A4D">
        <w:rPr>
          <w:vertAlign w:val="superscript"/>
        </w:rPr>
        <w:t>6</w:t>
      </w:r>
      <w:r w:rsidR="00C77A4D">
        <w:fldChar w:fldCharType="end"/>
      </w:r>
      <w:r>
        <w:t xml:space="preserve">, and departures from simple scattering can alter the Lorenz number </w:t>
      </w:r>
      <w:r w:rsidR="00C77A4D">
        <w:fldChar w:fldCharType="begin"/>
      </w:r>
      <w:r w:rsidR="00C77A4D">
        <w:instrText xml:space="preserve"> ADDIN ZOTERO_ITEM CSL_CITATION {"citationID":"BrIDod4d","properties":{"unsorted":false,"formattedCitation":"\\super 7\\nosupersub{}","plainCitation":"7","noteIndex":0},"citationItems":[{"id":4778,"uris":["http://zotero.org/groups/6712166/items/FDHC5PRZ"],"itemData":{"id":4778,"type":"article-journal","container-title":"Nature Communications","DOI":"10.1038/s41467-025-66578-y","ISSN":"2041-1723","issue":"1","journalAbbreviation":"Nat Commun","language":"en","page":"11528","source":"DOI.org (Crossref)","title":"Hidden in plain heat: anomalous Lorenz number in the thermoelectric alloy Bi0.4Sb1.6Te3","title-short":"Hidden in plain heat","volume":"16","author":[{"family":"Candolfi","given":"Christophe"},{"family":"Wiendlocha","given":"Bartlomiej"},{"family":"Ohorodniichuk","given":"Viktoriia"},{"family":"Levinský","given":"Petr"},{"family":"Migot","given":"Sylvie"},{"family":"Steciuk","given":"Gwladys"},{"family":"Terzi","given":"Ilayda"},{"family":"Wieder","given":"Arthur"},{"family":"Dauscher","given":"Anne"},{"family":"El Oualid","given":"Soufiane"},{"family":"Lenoir","given":"Bertrand"}],"issued":{"date-parts":[["2025",11,21]]}}}],"schema":"https://github.com/citation-style-language/schema/raw/master/csl-citation.json"} </w:instrText>
      </w:r>
      <w:r w:rsidR="00C77A4D">
        <w:fldChar w:fldCharType="separate"/>
      </w:r>
      <w:r w:rsidR="00C77A4D" w:rsidRPr="00C77A4D">
        <w:rPr>
          <w:vertAlign w:val="superscript"/>
        </w:rPr>
        <w:t>7</w:t>
      </w:r>
      <w:r w:rsidR="00C77A4D">
        <w:fldChar w:fldCharType="end"/>
      </w:r>
      <w:r>
        <w:t>. We quantify the results of applying one conventional subtraction uniformly to a frozen literature-derived corpus and compare them with a stated joint model. We do not establish which subtraction each source author used.</w:t>
      </w:r>
    </w:p>
    <w:p w14:paraId="5A1CE8EE" w14:textId="7A9392FD" w:rsidR="00B03F2C" w:rsidRDefault="00000000" w:rsidP="00406E59">
      <w:pPr>
        <w:spacing w:after="120" w:line="480" w:lineRule="auto"/>
        <w:jc w:val="both"/>
      </w:pPr>
      <w:r>
        <w:t>Amortised simulation-based inference</w:t>
      </w:r>
      <w:r w:rsidR="00C77A4D">
        <w:fldChar w:fldCharType="begin"/>
      </w:r>
      <w:r w:rsidR="00C77A4D">
        <w:instrText xml:space="preserve"> ADDIN ZOTERO_ITEM CSL_CITATION {"citationID":"R6JkVD7p","properties":{"unsorted":false,"formattedCitation":"\\super 8,9\\nosupersub{}","plainCitation":"8,9","noteIndex":0},"citationItems":[{"id":4779,"uris":["http://zotero.org/groups/6712166/items/QQWLJE93"],"itemData":{"id":4779,"type":"paper-conference","container-title":"Advances in Neural Information Processing Systems","publisher":"Curran Associates, Inc.","title":"Fast \\epsilon -free Inference of Simulation Models with Bayesian Conditional Density Estimation","URL":"https://proceedings.neurips.cc/paper_files/paper/2016/file/6aca97005c68f1206823815f66102863-Paper.pdf","volume":"29","author":[{"family":"Papamakarios","given":"George"},{"family":"Murray","given":"Iain"}],"editor":[{"family":"Lee","given":"D."},{"family":"Sugiyama","given":"M."},{"family":"Luxburg","given":"U."},{"family":"Guyon","given":"I."},{"family":"Garnett","given":"R."}],"issued":{"date-parts":[["2016"]]}}},{"id":4780,"uris":["http://zotero.org/groups/6712166/items/6EBWMRAY"],"itemData":{"id":4780,"type":"article-journal","abstract":"Many domains of science have developed complex simulations to describe phenomena of interest. While these simulations provide high-fidelity models, they are poorly suited for inference and lead to challenging inverse problems. We review the rapidly developing field of simulation-based inference and identify the forces giving additional momentum to the field. Finally, we describe how the frontier is expanding so that a broad audience can appreciate the profound influence these developments may have on science.","container-title":"Proceedings of the National Academy of Sciences","DOI":"10.1073/pnas.1912789117","ISSN":"0027-8424, 1091-6490","issue":"48","journalAbbreviation":"Proc. Natl. Acad. Sci. U.S.A.","language":"en","page":"30055-30062","source":"DOI.org (Crossref)","title":"The frontier of simulation-based inference","volume":"117","author":[{"family":"Cranmer","given":"Kyle"},{"family":"Brehmer","given":"Johann"},{"family":"Louppe","given":"Gilles"}],"issued":{"date-parts":[["2020",12]]}}}],"schema":"https://github.com/citation-style-language/schema/raw/master/csl-citation.json"} </w:instrText>
      </w:r>
      <w:r w:rsidR="00C77A4D">
        <w:fldChar w:fldCharType="separate"/>
      </w:r>
      <w:r w:rsidR="00C77A4D" w:rsidRPr="00C77A4D">
        <w:rPr>
          <w:vertAlign w:val="superscript"/>
        </w:rPr>
        <w:t>8,9</w:t>
      </w:r>
      <w:r w:rsidR="00C77A4D">
        <w:fldChar w:fldCharType="end"/>
      </w:r>
      <w:r>
        <w:t xml:space="preserve"> makes repeated approximate inference practical after training on simulator output. Its uncertainty must be checked against held-out simulations</w:t>
      </w:r>
      <w:r w:rsidR="00C77A4D">
        <w:fldChar w:fldCharType="begin"/>
      </w:r>
      <w:r w:rsidR="00734974">
        <w:instrText xml:space="preserve"> ADDIN ZOTERO_ITEM CSL_CITATION {"citationID":"IyOgQJd1","properties":{"unsorted":false,"formattedCitation":"\\super 10,11\\nosupersub{}","plainCitation":"10,11","noteIndex":0},"citationItems":[{"id":4781,"uris":["http://zotero.org/groups/6712166/items/KAZ35DFD"],"itemData":{"id":4781,"type":"article","abstract":"Verifying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schema":"https://github.com/citation-style-language/schema/raw/master/csl-citation.json"} </w:instrText>
      </w:r>
      <w:r w:rsidR="00C77A4D">
        <w:fldChar w:fldCharType="separate"/>
      </w:r>
      <w:r w:rsidR="00734974" w:rsidRPr="00734974">
        <w:rPr>
          <w:vertAlign w:val="superscript"/>
        </w:rPr>
        <w:t>10,11</w:t>
      </w:r>
      <w:r w:rsidR="00C77A4D">
        <w:fldChar w:fldCharType="end"/>
      </w:r>
      <w:r>
        <w:t>. Here we distinguish tests of raw Gaussian ellipsoids from coverage of the constrained draws and derived heat channels used in the analysis.</w:t>
      </w:r>
    </w:p>
    <w:p w14:paraId="2220CD0D" w14:textId="39701347" w:rsidR="00B03F2C" w:rsidRDefault="00000000" w:rsidP="00406E59">
      <w:pPr>
        <w:spacing w:after="120" w:line="480" w:lineRule="auto"/>
        <w:jc w:val="both"/>
      </w:pPr>
      <w:r>
        <w:t xml:space="preserve">The inferred thermal decomposition depends on the assumptions of the forward model. The reference model imposes two structural restrictions: the two bands share their mobility prefactor, mobility temperature exponent and scattering exponent, and the lattice term can only decrease with temperature. Genuine lattice upturns have been reported, for example in cubic GeTe </w:t>
      </w:r>
      <w:r w:rsidR="00C77A4D">
        <w:fldChar w:fldCharType="begin"/>
      </w:r>
      <w:r w:rsidR="00C77A4D">
        <w:instrText xml:space="preserve"> ADDIN ZOTERO_ITEM CSL_CITATION {"citationID":"QRj8EA0M","properties":{"unsorted":false,"formattedCitation":"\\super 12\\nosupersub{}","plainCitation":"12","noteIndex":0},"citationItems":[{"id":4785,"uris":["http://zotero.org/groups/6712166/items/F2TSRPFF"],"itemData":{"id":4785,"type":"article-journal","container-title":"Nature Communications","DOI":"10.1038/s41467-024-51377-8","ISSN":"2041-1723","issue":"1","journalAbbreviation":"Nat Commun","language":"en","page":"6981","source":"DOI.org (Crossref)","title":"Anomalous lattice thermal conductivity increase with temperature in cubic GeTe correlated with strengthening of second-nearest neighbor bonds","volume":"15","author":[{"family":"Kielar","given":"Samuel"},{"family":"Li","given":"Chen"},{"family":"Huang","given":"Han"},{"family":"Hu","given":"Renjiu"},{"family":"Slebodnick","given":"Carla"},{"family":"Alatas","given":"Ahmet"},{"family":"Tian","given":"Zhiting"}],"issued":{"date-parts":[["2024",8,14]]}}}],"schema":"https://github.com/citation-style-language/schema/raw/master/csl-citation.json"} </w:instrText>
      </w:r>
      <w:r w:rsidR="00C77A4D">
        <w:fldChar w:fldCharType="separate"/>
      </w:r>
      <w:r w:rsidR="00C77A4D" w:rsidRPr="00C77A4D">
        <w:rPr>
          <w:vertAlign w:val="superscript"/>
        </w:rPr>
        <w:t>12</w:t>
      </w:r>
      <w:r w:rsidR="00C77A4D">
        <w:fldChar w:fldCharType="end"/>
      </w:r>
      <w:r>
        <w:t xml:space="preserve">, and synthetic stress tests </w:t>
      </w:r>
      <w:r>
        <w:lastRenderedPageBreak/>
        <w:t>show that both restrictions can bias channel estimates. We therefore train five further estimators that relax them, separately and together, and use independent same-model simulations, shared stress tests and selection-controlled corpus comparisons to ask which conclusions survive the change of model.</w:t>
      </w:r>
    </w:p>
    <w:p w14:paraId="5F67365A" w14:textId="77777777" w:rsidR="00B03F2C" w:rsidRDefault="00000000" w:rsidP="00406E59">
      <w:pPr>
        <w:spacing w:after="120" w:line="480" w:lineRule="auto"/>
        <w:jc w:val="both"/>
      </w:pPr>
      <w:r>
        <w:t>The analysis provides a reproducible transport model, a corpus comparison of four thermal estimates, a six-model robustness analysis that separates the direction of the bipolar-associated shift from its magnitude, and conditional posterior summaries of an effective scattering exponent. Conclusions remain conditional on the priors, observation model, Gaussian approximation and the families of carrier and lattice behaviour that were tested.</w:t>
      </w:r>
    </w:p>
    <w:p w14:paraId="159CF13E" w14:textId="77777777" w:rsidR="00B03F2C" w:rsidRDefault="00000000" w:rsidP="007D7635">
      <w:pPr>
        <w:pStyle w:val="Heading1"/>
        <w:spacing w:line="480" w:lineRule="auto"/>
      </w:pPr>
      <w:r>
        <w:t>2. Methods</w:t>
      </w:r>
    </w:p>
    <w:p w14:paraId="40DF8322" w14:textId="77777777" w:rsidR="00B03F2C" w:rsidRDefault="00000000" w:rsidP="007D7635">
      <w:pPr>
        <w:pStyle w:val="Heading2"/>
        <w:spacing w:line="480" w:lineRule="auto"/>
      </w:pPr>
      <w:r>
        <w:t>2.1 Corpus</w:t>
      </w:r>
    </w:p>
    <w:p w14:paraId="59B67E40" w14:textId="14873045" w:rsidR="00B03F2C" w:rsidRDefault="00000000" w:rsidP="007D7635">
      <w:pPr>
        <w:spacing w:after="120" w:line="480" w:lineRule="auto"/>
        <w:jc w:val="both"/>
      </w:pPr>
      <w:r>
        <w:t>The analysis set contains 13,031 literature-derived transport records from 2,715 source papers in Starrydata</w:t>
      </w:r>
      <w:r w:rsidR="00C77A4D">
        <w:fldChar w:fldCharType="begin"/>
      </w:r>
      <w:r w:rsidR="001C2327">
        <w:instrText xml:space="preserve"> ADDIN ZOTERO_ITEM CSL_CITATION {"citationID":"JggOQT6W","properties":{"unsorted":false,"formattedCitation":"\\super 13\\nosupersub{}","plainCitation":"13","noteIndex":0},"citationItems":[{"id":4786,"uris":["http://zotero.org/groups/6712166/items/J9UT3263"],"itemData":{"id":4786,"type":"article-journal","container-title":"Science and Technology of Advanced Materials: Methods","DOI":"10.1080/27660400.2025.2506976","ISSN":"2766-0400","issue":"1","journalAbbreviation":"Science and Technology of Advanced Materials: Methods","language":"en","page":"2506976","source":"DOI.org (Crossref)","title":"Starrydata: from published plots to shared materials data","title-short":"Starrydata","volume":"5","author":[{"family":"Katsura","given":"Yukari"},{"family":"Kumagai","given":"Masaya"},{"family":"Mato","given":"Tomoya"},{"family":"Takada","given":"Yu"},{"family":"Ando","given":"Yuki"},{"family":"Fujita","given":"Erina"},{"family":"Hosono","given":"Fumikazu"},{"family":"Koyama","given":"Eiji"},{"family":"Mudasar","given":"Farhan"},{"family":"Phuong","given":"Ton Nu Thanh"},{"family":"Saito","given":"Naoto"},{"family":"Sakamoto","given":"Yoshihiro"},{"family":"Tanaka","given":"Atsumi"},{"family":"Yana","given":"Dewi"},{"family":"Kimura","given":"Kaoru"},{"family":"Tsuda","given":"Koji"},{"family":"Demura","given":"Masahiko"}],"issued":{"date-parts":[["2025",12,31]]}}}],"schema":"https://github.com/citation-style-language/schema/raw/master/csl-citation.json"} </w:instrText>
      </w:r>
      <w:r w:rsidR="00C77A4D">
        <w:fldChar w:fldCharType="separate"/>
      </w:r>
      <w:r w:rsidR="001C2327" w:rsidRPr="001C2327">
        <w:rPr>
          <w:vertAlign w:val="superscript"/>
        </w:rPr>
        <w:t>13</w:t>
      </w:r>
      <w:r w:rsidR="00C77A4D">
        <w:fldChar w:fldCharType="end"/>
      </w:r>
      <w:r>
        <w:t xml:space="preserve"> . Each record contains </w:t>
      </w:r>
      <m:oMath>
        <m:r>
          <w:rPr>
            <w:rFonts w:ascii="Cambria Math" w:hAnsi="Cambria Math"/>
          </w:rPr>
          <m:t>σ(T)</m:t>
        </m:r>
      </m:oMath>
      <w:r>
        <w:t xml:space="preserve">, </w:t>
      </w:r>
      <m:oMath>
        <m:r>
          <w:rPr>
            <w:rFonts w:ascii="Cambria Math" w:hAnsi="Cambria Math"/>
          </w:rPr>
          <m:t>S(T)</m:t>
        </m:r>
      </m:oMath>
      <w:r>
        <w:t xml:space="preserve"> and total </w:t>
      </w:r>
      <m:oMath>
        <m:r>
          <w:rPr>
            <w:rFonts w:ascii="Cambria Math" w:hAnsi="Cambria Math"/>
          </w:rPr>
          <m:t>κ(T)</m:t>
        </m:r>
      </m:oMath>
      <w:r>
        <w:t xml:space="preserve">, together with a sample identifier, source DOI and family label. We verify the released sample list against the official </w:t>
      </w:r>
      <w:proofErr w:type="spellStart"/>
      <w:r>
        <w:t>ThermoelectricMaterials</w:t>
      </w:r>
      <w:proofErr w:type="spellEnd"/>
      <w:r>
        <w:t xml:space="preserve"> export with database snapshot 9 October 2026, joining on source paper and sample rather than integer sample identifier alone. The dated release, SHA-256 checksums and selection manifest are archived.</w:t>
      </w:r>
    </w:p>
    <w:p w14:paraId="4916415B" w14:textId="77777777" w:rsidR="00B03F2C" w:rsidRDefault="00000000" w:rsidP="007D7635">
      <w:pPr>
        <w:spacing w:after="120" w:line="480" w:lineRule="auto"/>
        <w:jc w:val="both"/>
      </w:pPr>
      <w:r>
        <w:t xml:space="preserve">The released sample list defines a literature cohort rather than an exhaustive census of </w:t>
      </w:r>
      <w:proofErr w:type="spellStart"/>
      <w:r>
        <w:t>Starrydata</w:t>
      </w:r>
      <w:proofErr w:type="spellEnd"/>
      <w:r>
        <w:t xml:space="preserve">. Eligibility requires a common temperature span of at least 200 K, a 300 K lower floor, an upper endpoint at or below 1250 K and a lower endpoint at or below 500 K. Conductivity is used when available; </w:t>
      </w:r>
      <w:proofErr w:type="gramStart"/>
      <w:r>
        <w:t>otherwise</w:t>
      </w:r>
      <w:proofErr w:type="gramEnd"/>
      <w:r>
        <w:t xml:space="preserve"> resistivity is inverted after interpolation. The underlying historical selection included an unavailable plausibility-screen implementation, so the list and source-verification criteria, rather than a reconstructed database-wide selection rule, define reproducibility. Records without a source-matched, unambiguous usable curve for every required channel, or failing transport reproduction, are excluded.</w:t>
      </w:r>
    </w:p>
    <w:p w14:paraId="75D60D4F" w14:textId="5542AB25" w:rsidR="00B03F2C" w:rsidRDefault="00000000" w:rsidP="007D7635">
      <w:pPr>
        <w:spacing w:after="120" w:line="480" w:lineRule="auto"/>
        <w:jc w:val="both"/>
      </w:pPr>
      <w:r>
        <w:t xml:space="preserve">The total thermal-conductivity field is distinguished from source-reported lattice conductivity. Canonical property labels, SI units and temperature coverage are checked before comparison on the 16-point grid. Identical repeated points may be collapsed; conflicting values at one temperature require </w:t>
      </w:r>
      <w:r>
        <w:lastRenderedPageBreak/>
        <w:t xml:space="preserve">source review and are not interpolated automatically. Maximum discrepancies must not exceed 1% for </w:t>
      </w:r>
      <m:oMath>
        <m:r>
          <w:rPr>
            <w:rFonts w:ascii="Cambria Math" w:hAnsi="Cambria Math"/>
          </w:rPr>
          <m:t xml:space="preserve">σ </m:t>
        </m:r>
      </m:oMath>
      <w:r>
        <w:t xml:space="preserve">and </w:t>
      </w:r>
      <m:oMath>
        <m:r>
          <w:rPr>
            <w:rFonts w:ascii="Cambria Math" w:hAnsi="Cambria Math"/>
          </w:rPr>
          <m:t>κ</m:t>
        </m:r>
      </m:oMath>
      <w:r>
        <w:t>, with an absolute allowance of 0.001 S m</w:t>
      </w:r>
      <w:r>
        <w:rPr>
          <w:vertAlign w:val="superscript"/>
        </w:rPr>
        <w:t>−1</w:t>
      </w:r>
      <w:r>
        <w:t xml:space="preserve"> for near-zero </w:t>
      </w:r>
      <m:oMath>
        <m:r>
          <w:rPr>
            <w:rFonts w:ascii="Cambria Math" w:hAnsi="Cambria Math"/>
          </w:rPr>
          <m:t>σ</m:t>
        </m:r>
      </m:oMath>
      <w:r>
        <w:t>, and 1 µV K</w:t>
      </w:r>
      <w:r>
        <w:rPr>
          <w:vertAlign w:val="superscript"/>
        </w:rPr>
        <w:t>−1</w:t>
      </w:r>
      <w:r>
        <w:t xml:space="preserve"> for </w:t>
      </w:r>
      <w:r>
        <w:rPr>
          <w:i/>
          <w:iCs/>
        </w:rPr>
        <w:t>S</w:t>
      </w:r>
      <w:r>
        <w:t>. Endpoint rounding of up to 0.0001 K is allowed. Passing these checks establishes source consistency, not physical correctness of a measurement.</w:t>
      </w:r>
    </w:p>
    <w:p w14:paraId="2FC973F4" w14:textId="3209CAE9" w:rsidR="00B03F2C" w:rsidRDefault="00000000" w:rsidP="007D7635">
      <w:pPr>
        <w:spacing w:after="120" w:line="480" w:lineRule="auto"/>
        <w:jc w:val="both"/>
      </w:pPr>
      <w:r>
        <w:t xml:space="preserve">The 50 features are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vertAlign w:val="subscript"/>
                  </w:rPr>
                  <m:t>10</m:t>
                </m:r>
                <m:ctrlPr>
                  <w:rPr>
                    <w:rFonts w:ascii="Cambria Math" w:hAnsi="Cambria Math"/>
                  </w:rPr>
                </m:ctrlPr>
              </m:sub>
            </m:sSub>
          </m:fName>
          <m:e>
            <m:r>
              <w:rPr>
                <w:rFonts w:ascii="Cambria Math" w:hAnsi="Cambria Math"/>
              </w:rPr>
              <m:t>σ</m:t>
            </m:r>
          </m:e>
        </m:func>
      </m:oMath>
      <w:r>
        <w:t xml:space="preserve">, </w:t>
      </w:r>
      <m:oMath>
        <m:r>
          <w:rPr>
            <w:rFonts w:ascii="Cambria Math" w:hAnsi="Cambria Math"/>
          </w:rPr>
          <m:t>S</m:t>
        </m:r>
      </m:oMath>
      <w:r>
        <w:t xml:space="preserve"> in µV K</w:t>
      </w:r>
      <w:r>
        <w:rPr>
          <w:vertAlign w:val="superscript"/>
        </w:rPr>
        <w:t>−1</w:t>
      </w:r>
      <w:r>
        <w:t xml:space="preserve"> and ln </w:t>
      </w:r>
      <m:oMath>
        <m:r>
          <w:rPr>
            <w:rFonts w:ascii="Cambria Math" w:hAnsi="Cambria Math"/>
          </w:rPr>
          <m:t>κ</m:t>
        </m:r>
      </m:oMath>
      <w:r>
        <w:t xml:space="preserve"> at 16 temperatures, followed by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hi</m:t>
            </m:r>
          </m:sub>
        </m:sSub>
        <m:r>
          <w:rPr>
            <w:rFonts w:ascii="Cambria Math" w:hAnsi="Cambria Math"/>
          </w:rPr>
          <m:t>/1000</m:t>
        </m:r>
      </m:oMath>
      <w:r>
        <w:t xml:space="preserve"> and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lo</m:t>
            </m:r>
          </m:sub>
        </m:sSub>
        <m:r>
          <w:rPr>
            <w:rFonts w:ascii="Cambria Math" w:hAnsi="Cambria Math"/>
          </w:rPr>
          <m:t>/1000</m:t>
        </m:r>
      </m:oMath>
      <w:r>
        <w:t>, in that order. Frozen numerical values preserve the downstream analysis against later database changes.</w:t>
      </w:r>
    </w:p>
    <w:p w14:paraId="5E7232FA" w14:textId="77777777" w:rsidR="00B03F2C" w:rsidRDefault="00000000" w:rsidP="007D7635">
      <w:pPr>
        <w:pStyle w:val="Heading2"/>
        <w:spacing w:line="480" w:lineRule="auto"/>
      </w:pPr>
      <w:r>
        <w:t>2.2 Forward model</w:t>
      </w:r>
    </w:p>
    <w:p w14:paraId="5E1A8AC4" w14:textId="7999EF65" w:rsidR="00B03F2C" w:rsidRDefault="00000000" w:rsidP="007D7635">
      <w:pPr>
        <w:spacing w:after="120" w:line="480" w:lineRule="auto"/>
        <w:jc w:val="both"/>
      </w:pPr>
      <w:r>
        <w:t xml:space="preserve">The simulator is a two-band single-parabolic-band model, following the transport framework used for bipolar conduction [3]. Carrier densities are solved from charge neutrality,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maj</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vertAlign w:val="subscript"/>
              </w:rPr>
              <m:t>maj</m:t>
            </m:r>
          </m:sub>
        </m:sSub>
        <m:r>
          <w:rPr>
            <w:rFonts w:ascii="Cambria Math" w:hAnsi="Cambria Math"/>
          </w:rPr>
          <m:t xml:space="preserve">,T) - </m:t>
        </m:r>
        <m:sSub>
          <m:sSubPr>
            <m:ctrlPr>
              <w:rPr>
                <w:rFonts w:ascii="Cambria Math" w:hAnsi="Cambria Math"/>
                <w:i/>
                <w:iCs/>
              </w:rPr>
            </m:ctrlPr>
          </m:sSubPr>
          <m:e>
            <m:r>
              <w:rPr>
                <w:rFonts w:ascii="Cambria Math" w:hAnsi="Cambria Math"/>
              </w:rPr>
              <m:t>n</m:t>
            </m:r>
          </m:e>
          <m:sub>
            <m:r>
              <w:rPr>
                <w:rFonts w:ascii="Cambria Math" w:hAnsi="Cambria Math"/>
              </w:rPr>
              <m:t>min</m:t>
            </m:r>
          </m:sub>
        </m:sSub>
        <m:r>
          <w:rPr>
            <w:rFonts w:ascii="Cambria Math" w:hAnsi="Cambria Math"/>
            <w:vertAlign w:val="subscript"/>
          </w:rPr>
          <m:t xml:space="preserve"> </m:t>
        </m:r>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min</m:t>
            </m:r>
          </m:sub>
        </m:sSub>
        <m:r>
          <w:rPr>
            <w:rFonts w:ascii="Cambria Math" w:hAnsi="Cambria Math"/>
          </w:rPr>
          <m:t xml:space="preserve">,T) = </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vertAlign w:val="subscript"/>
              </w:rPr>
              <m:t>net</m:t>
            </m:r>
          </m:sub>
        </m:sSub>
      </m:oMath>
      <w:r>
        <w:t xml:space="preserve">, where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net</m:t>
            </m:r>
          </m:sub>
        </m:sSub>
      </m:oMath>
      <w:r>
        <w:t xml:space="preserve"> &gt; 0 is the magnitude of the net dopant density and </w:t>
      </w:r>
      <m:oMath>
        <m:sSub>
          <m:sSubPr>
            <m:ctrlPr>
              <w:rPr>
                <w:rFonts w:ascii="Cambria Math" w:hAnsi="Cambria Math"/>
                <w:i/>
                <w:vertAlign w:val="subscript"/>
              </w:rPr>
            </m:ctrlPr>
          </m:sSubPr>
          <m:e>
            <m:r>
              <w:rPr>
                <w:rFonts w:ascii="Cambria Math" w:hAnsi="Cambria Math"/>
                <w:vertAlign w:val="subscript"/>
              </w:rPr>
              <m:t>η</m:t>
            </m:r>
          </m:e>
          <m:sub>
            <m:r>
              <w:rPr>
                <w:rFonts w:ascii="Cambria Math" w:hAnsi="Cambria Math"/>
                <w:vertAlign w:val="subscript"/>
              </w:rPr>
              <m:t>min</m:t>
            </m:r>
          </m:sub>
        </m:sSub>
        <m:r>
          <w:rPr>
            <w:rFonts w:ascii="Cambria Math" w:hAnsi="Cambria Math"/>
          </w:rPr>
          <m:t xml:space="preserve"> = -</m:t>
        </m:r>
        <m:sSub>
          <m:sSubPr>
            <m:ctrlPr>
              <w:rPr>
                <w:rFonts w:ascii="Cambria Math" w:hAnsi="Cambria Math"/>
                <w:i/>
              </w:rPr>
            </m:ctrlPr>
          </m:sSubPr>
          <m:e>
            <m:r>
              <w:rPr>
                <w:rFonts w:ascii="Cambria Math" w:hAnsi="Cambria Math"/>
              </w:rPr>
              <m:t>η</m:t>
            </m:r>
          </m:e>
          <m:sub>
            <m:r>
              <w:rPr>
                <w:rFonts w:ascii="Cambria Math" w:hAnsi="Cambria Math"/>
              </w:rPr>
              <m:t>maj</m:t>
            </m:r>
          </m:sub>
        </m:sSub>
        <m:r>
          <w:rPr>
            <w:rFonts w:ascii="Cambria Math" w:hAnsi="Cambria Math"/>
          </w:rPr>
          <m:t xml:space="preserve"> - </m:t>
        </m:r>
        <m:sSub>
          <m:sSubPr>
            <m:ctrlPr>
              <w:rPr>
                <w:rFonts w:ascii="Cambria Math" w:hAnsi="Cambria Math"/>
                <w:i/>
                <w:iCs/>
              </w:rPr>
            </m:ctrlPr>
          </m:sSubPr>
          <m:e>
            <m:r>
              <w:rPr>
                <w:rFonts w:ascii="Cambria Math" w:hAnsi="Cambria Math"/>
              </w:rPr>
              <m:t>E</m:t>
            </m:r>
            <m:ctrlPr>
              <w:rPr>
                <w:rFonts w:ascii="Cambria Math" w:hAnsi="Cambria Math"/>
                <w:i/>
              </w:rPr>
            </m:ctrlPr>
          </m:e>
          <m:sub>
            <m:r>
              <w:rPr>
                <w:rFonts w:ascii="Cambria Math" w:hAnsi="Cambria Math"/>
                <w:vertAlign w:val="subscript"/>
              </w:rPr>
              <m:t>g</m:t>
            </m:r>
          </m:sub>
        </m:sSub>
        <m:r>
          <w:rPr>
            <w:rFonts w:ascii="Cambria Math" w:hAnsi="Cambria Math"/>
          </w:rPr>
          <m:t>/(</m:t>
        </m:r>
        <m:sSub>
          <m:sSubPr>
            <m:ctrlPr>
              <w:rPr>
                <w:rFonts w:ascii="Cambria Math" w:hAnsi="Cambria Math"/>
                <w:i/>
                <w:iCs/>
              </w:rPr>
            </m:ctrlPr>
          </m:sSubPr>
          <m:e>
            <m:r>
              <w:rPr>
                <w:rFonts w:ascii="Cambria Math" w:hAnsi="Cambria Math"/>
              </w:rPr>
              <m:t>k</m:t>
            </m:r>
            <m:ctrlPr>
              <w:rPr>
                <w:rFonts w:ascii="Cambria Math" w:hAnsi="Cambria Math"/>
                <w:i/>
              </w:rPr>
            </m:ctrlPr>
          </m:e>
          <m:sub>
            <m:r>
              <w:rPr>
                <w:rFonts w:ascii="Cambria Math" w:hAnsi="Cambria Math"/>
                <w:vertAlign w:val="subscript"/>
              </w:rPr>
              <m:t>B</m:t>
            </m:r>
          </m:sub>
        </m:sSub>
        <m:r>
          <w:rPr>
            <w:rFonts w:ascii="Cambria Math" w:hAnsi="Cambria Math"/>
          </w:rPr>
          <m:t>T)</m:t>
        </m:r>
      </m:oMath>
      <w:r>
        <w:t xml:space="preserve">, by bisection at each temperature, so thermally activated behaviour in which </w:t>
      </w:r>
      <m:oMath>
        <m:r>
          <w:rPr>
            <w:rFonts w:ascii="Cambria Math" w:hAnsi="Cambria Math"/>
          </w:rPr>
          <m:t>σ</m:t>
        </m:r>
      </m:oMath>
      <w:r>
        <w:t xml:space="preserve"> rises with temperature emerges from the physics rather than being imposed. The solver expands its bracket and checks the neutrality residual. For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net</m:t>
            </m:r>
          </m:sub>
        </m:sSub>
      </m:oMath>
      <w:r>
        <w:t xml:space="preserve"> = 10</w:t>
      </w:r>
      <w:r>
        <w:rPr>
          <w:vertAlign w:val="superscript"/>
        </w:rPr>
        <w:t>21</w:t>
      </w:r>
      <w:r>
        <w:t xml:space="preserve"> cm</w:t>
      </w:r>
      <w:r>
        <w:rPr>
          <w:vertAlign w:val="superscript"/>
        </w:rPr>
        <w:t>−3</w:t>
      </w:r>
      <w:r>
        <w:t xml:space="preserve"> and majority mass 10</w:t>
      </w:r>
      <w:r>
        <w:rPr>
          <w:vertAlign w:val="superscript"/>
        </w:rPr>
        <w:t>−1.3</w:t>
      </w:r>
      <w:r>
        <w:t xml:space="preserve"> </w:t>
      </w:r>
      <m:oMath>
        <m:sSub>
          <m:sSubPr>
            <m:ctrlPr>
              <w:rPr>
                <w:rFonts w:ascii="Cambria Math" w:hAnsi="Cambria Math"/>
                <w:i/>
                <w:iCs/>
              </w:rPr>
            </m:ctrlPr>
          </m:sSubPr>
          <m:e>
            <m:r>
              <w:rPr>
                <w:rFonts w:ascii="Cambria Math" w:hAnsi="Cambria Math"/>
              </w:rPr>
              <m:t>m</m:t>
            </m:r>
          </m:e>
          <m:sub>
            <m:r>
              <w:rPr>
                <w:rFonts w:ascii="Cambria Math" w:hAnsi="Cambria Math"/>
                <w:vertAlign w:val="subscript"/>
              </w:rPr>
              <m:t>e</m:t>
            </m:r>
          </m:sub>
        </m:sSub>
      </m:oMath>
      <w:r>
        <w:t xml:space="preserve"> at 300 K, </w:t>
      </w:r>
      <m:oMath>
        <m:r>
          <w:rPr>
            <w:rFonts w:ascii="Cambria Math" w:hAnsi="Cambria Math"/>
          </w:rPr>
          <m:t>η</m:t>
        </m:r>
      </m:oMath>
      <w:r>
        <w:t xml:space="preserve"> ≈ 281.43 is resolved rather than silently limited to 40. Forward inputs are promoted to double precision. The sign head assigns holes or electrons to the majority band and reverses the signed Seebeck coefficients accordingly. In the physical hole/electron convention, </w:t>
      </w:r>
      <m:oMath>
        <m:r>
          <w:rPr>
            <w:rFonts w:ascii="Cambria Math" w:hAnsi="Cambria Math"/>
          </w:rPr>
          <m:t>p - n</m:t>
        </m:r>
      </m:oMath>
      <w:r>
        <w:t xml:space="preserve"> equals </w:t>
      </w:r>
      <m:oMath>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vertAlign w:val="subscript"/>
              </w:rPr>
              <m:t>net</m:t>
            </m:r>
          </m:sub>
        </m:sSub>
      </m:oMath>
      <w:r>
        <w:t xml:space="preserve"> for p-type and </w:t>
      </w:r>
      <m:oMath>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vertAlign w:val="subscript"/>
              </w:rPr>
              <m:t>net</m:t>
            </m:r>
          </m:sub>
        </m:sSub>
      </m:oMath>
      <w:r>
        <w:t xml:space="preserve"> for n-type material.</w:t>
      </w:r>
    </w:p>
    <w:p w14:paraId="3B4A7B43" w14:textId="58E40771" w:rsidR="00B03F2C" w:rsidRDefault="00000000" w:rsidP="007D7635">
      <w:pPr>
        <w:spacing w:after="120" w:line="480" w:lineRule="auto"/>
        <w:jc w:val="both"/>
      </w:pPr>
      <w:r>
        <w:t xml:space="preserve">The corrected implementation uses </w:t>
      </w:r>
      <w:proofErr w:type="spellStart"/>
      <w:r>
        <w:t>unnormalised</w:t>
      </w:r>
      <w:proofErr w:type="spellEnd"/>
      <w:r>
        <w:t xml:space="preserve"> Fermi–Dirac integrals. Within </w:t>
      </w:r>
      <m:oMath>
        <m:r>
          <w:rPr>
            <w:rFonts w:ascii="Cambria Math" w:hAnsi="Cambria Math"/>
          </w:rPr>
          <m:t>-20 ≤ η ≤ 50</m:t>
        </m:r>
      </m:oMath>
      <w:r>
        <w:t xml:space="preserve">, a quadrature table has spacing 0.01 in order and 0.025 in </w:t>
      </w:r>
      <m:oMath>
        <m:r>
          <w:rPr>
            <w:rFonts w:ascii="Cambria Math" w:hAnsi="Cambria Math"/>
          </w:rPr>
          <m:t>η</m:t>
        </m:r>
      </m:oMath>
      <w:r>
        <w:t xml:space="preserve">, with cubic interpolation in order and linear interpolation in η on log integrals. Quadrature uses </w:t>
      </w:r>
      <m:oMath>
        <m:r>
          <w:rPr>
            <w:rFonts w:ascii="Cambria Math" w:hAnsi="Cambria Math"/>
          </w:rPr>
          <m:t xml:space="preserve">ε = </m:t>
        </m:r>
        <m:sSup>
          <m:sSupPr>
            <m:ctrlPr>
              <w:rPr>
                <w:rFonts w:ascii="Cambria Math" w:hAnsi="Cambria Math"/>
                <w:i/>
                <w:iCs/>
              </w:rPr>
            </m:ctrlPr>
          </m:sSupPr>
          <m:e>
            <m:r>
              <w:rPr>
                <w:rFonts w:ascii="Cambria Math" w:hAnsi="Cambria Math"/>
              </w:rPr>
              <m:t>u</m:t>
            </m:r>
            <m:ctrlPr>
              <w:rPr>
                <w:rFonts w:ascii="Cambria Math" w:hAnsi="Cambria Math"/>
                <w:i/>
              </w:rPr>
            </m:ctrlPr>
          </m:e>
          <m:sup>
            <m:r>
              <w:rPr>
                <w:rFonts w:ascii="Cambria Math" w:hAnsi="Cambria Math"/>
                <w:vertAlign w:val="superscript"/>
              </w:rPr>
              <m:t>4</m:t>
            </m:r>
          </m:sup>
        </m:sSup>
      </m:oMath>
      <w:r>
        <w:t xml:space="preserve"> and 512 Gauss–Legendre nodes. Explicit Boltzmann and Sommerfeld expansions supply the tails; values are not clamped. Independent numerical integration on 63 selected order–η combinations gave a maximum relative integral discrepancy of 1.56 × 10</w:t>
      </w:r>
      <w:r>
        <w:rPr>
          <w:vertAlign w:val="superscript"/>
        </w:rPr>
        <w:t>−5</w:t>
      </w:r>
      <w:r>
        <w:t>. This finite check is not a uniform error bound over every parameter combination.</w:t>
      </w:r>
    </w:p>
    <w:p w14:paraId="33678F0F" w14:textId="4D18D17D" w:rsidR="00B03F2C" w:rsidRDefault="00000000" w:rsidP="007D7635">
      <w:pPr>
        <w:spacing w:after="120" w:line="480" w:lineRule="auto"/>
        <w:jc w:val="both"/>
      </w:pPr>
      <w:r>
        <w:t xml:space="preserve">Relaxation time is </w:t>
      </w:r>
      <m:oMath>
        <m:r>
          <w:rPr>
            <w:rFonts w:ascii="Cambria Math" w:hAnsi="Cambria Math"/>
          </w:rPr>
          <m:t xml:space="preserve">τ ∝ </m:t>
        </m:r>
        <m:sSup>
          <m:sSupPr>
            <m:ctrlPr>
              <w:rPr>
                <w:rFonts w:ascii="Cambria Math" w:hAnsi="Cambria Math"/>
                <w:i/>
              </w:rPr>
            </m:ctrlPr>
          </m:sSupPr>
          <m:e>
            <m:r>
              <w:rPr>
                <w:rFonts w:ascii="Cambria Math" w:hAnsi="Cambria Math"/>
              </w:rPr>
              <m:t>ε</m:t>
            </m:r>
          </m:e>
          <m:sup>
            <m:r>
              <w:rPr>
                <w:rFonts w:ascii="Cambria Math" w:hAnsi="Cambria Math"/>
                <w:vertAlign w:val="superscript"/>
              </w:rPr>
              <m:t>r</m:t>
            </m:r>
          </m:sup>
        </m:sSup>
      </m:oMath>
      <w:r>
        <w:t xml:space="preserve">. The mobility of band </w:t>
      </w:r>
      <w:r>
        <w:rPr>
          <w:i/>
          <w:iCs/>
        </w:rPr>
        <w:t>j</w:t>
      </w:r>
      <w:r>
        <w:t xml:space="preserve"> is</w:t>
      </w:r>
    </w:p>
    <w:p w14:paraId="26E8047F" w14:textId="77777777" w:rsidR="00B03F2C" w:rsidRDefault="00000000" w:rsidP="007D7635">
      <w:pPr>
        <w:tabs>
          <w:tab w:val="center" w:pos="4513"/>
          <w:tab w:val="right" w:pos="9026"/>
        </w:tabs>
        <w:spacing w:before="80" w:after="120" w:line="480" w:lineRule="auto"/>
      </w:pPr>
      <w:r>
        <w:lastRenderedPageBreak/>
        <w:tab/>
      </w:r>
      <m:oMath>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,300</m:t>
            </m:r>
          </m:sub>
        </m:sSub>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300 K</m:t>
                </m:r>
              </m:den>
            </m:f>
            <m:r>
              <m:rPr>
                <m:sty m:val="p"/>
              </m:rPr>
              <w:rPr>
                <w:rFonts w:ascii="Cambria Math" w:hAnsi="Cambria Math"/>
              </w:rPr>
              <m:t>)</m:t>
            </m:r>
          </m:e>
          <m:sup>
            <m:sSub>
              <m:sSubPr>
                <m:ctrlPr>
                  <w:rPr>
                    <w:rFonts w:ascii="Cambria Math" w:hAnsi="Cambria Math"/>
                  </w:rPr>
                </m:ctrlPr>
              </m:sSubPr>
              <m:e>
                <m:r>
                  <w:rPr>
                    <w:rFonts w:ascii="Cambria Math" w:hAnsi="Cambria Math"/>
                  </w:rPr>
                  <m:t>p</m:t>
                </m:r>
              </m:e>
              <m:sub>
                <m:r>
                  <w:rPr>
                    <w:rFonts w:ascii="Cambria Math" w:hAnsi="Cambria Math"/>
                  </w:rPr>
                  <m:t>j</m:t>
                </m:r>
              </m:sub>
            </m:sSub>
          </m:sup>
        </m:sSup>
        <m:f>
          <m:fPr>
            <m:ctrlPr>
              <w:rPr>
                <w:rFonts w:ascii="Cambria Math" w:hAnsi="Cambria Math"/>
              </w:rPr>
            </m:ctrlPr>
          </m:fPr>
          <m:num>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num>
          <m:den>
            <m:sSub>
              <m:sSubPr>
                <m:ctrlPr>
                  <w:rPr>
                    <w:rFonts w:ascii="Cambria Math" w:hAnsi="Cambria Math"/>
                  </w:rPr>
                </m:ctrlPr>
              </m:sSubPr>
              <m:e>
                <m:r>
                  <w:rPr>
                    <w:rFonts w:ascii="Cambria Math" w:hAnsi="Cambria Math"/>
                  </w:rPr>
                  <m:t>F</m:t>
                </m:r>
              </m:e>
              <m:sub>
                <m:r>
                  <m:rPr>
                    <m:sty m:val="p"/>
                  </m:rP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den>
        </m:f>
        <m:f>
          <m:fPr>
            <m:ctrlPr>
              <w:rPr>
                <w:rFonts w:ascii="Cambria Math" w:hAnsi="Cambria Math"/>
              </w:rPr>
            </m:ctrlPr>
          </m:fPr>
          <m:num>
            <m:r>
              <m:rPr>
                <m:sty m:val="p"/>
              </m:rPr>
              <w:rPr>
                <w:rFonts w:ascii="Cambria Math" w:hAnsi="Cambria Math"/>
              </w:rPr>
              <m:t>Γ(3/2)</m:t>
            </m:r>
          </m:num>
          <m:den>
            <m:r>
              <m:rPr>
                <m:sty m:val="p"/>
              </m:rPr>
              <w:rPr>
                <w:rFonts w:ascii="Cambria Math" w:hAnsi="Cambria Math"/>
              </w:rPr>
              <m:t>Γ(</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+3/2)</m:t>
            </m:r>
          </m:den>
        </m:f>
      </m:oMath>
      <w:r>
        <w:tab/>
        <w:t>(1)</w:t>
      </w:r>
    </w:p>
    <w:p w14:paraId="2E015202" w14:textId="78573553" w:rsidR="00B03F2C" w:rsidRDefault="00000000" w:rsidP="007D7635">
      <w:pPr>
        <w:spacing w:after="120" w:line="480" w:lineRule="auto"/>
      </w:pPr>
      <w:r>
        <w:t xml:space="preserve">where the last factor makes </w:t>
      </w:r>
      <m:oMath>
        <m:sSub>
          <m:sSubPr>
            <m:ctrlPr>
              <w:rPr>
                <w:rFonts w:ascii="Cambria Math" w:hAnsi="Cambria Math"/>
                <w:i/>
              </w:rPr>
            </m:ctrlPr>
          </m:sSubPr>
          <m:e>
            <m:r>
              <w:rPr>
                <w:rFonts w:ascii="Cambria Math" w:hAnsi="Cambria Math"/>
              </w:rPr>
              <m:t>μ</m:t>
            </m:r>
          </m:e>
          <m:sub>
            <m:r>
              <w:rPr>
                <w:rFonts w:ascii="Cambria Math" w:hAnsi="Cambria Math"/>
                <w:vertAlign w:val="subscript"/>
              </w:rPr>
              <m:t>j,300</m:t>
            </m:r>
          </m:sub>
        </m:sSub>
      </m:oMath>
      <w:r>
        <w:t xml:space="preserve"> the non-degenerate 300 K mobility irrespective of </w:t>
      </w:r>
      <m:oMath>
        <m:r>
          <w:rPr>
            <w:rFonts w:ascii="Cambria Math" w:hAnsi="Cambria Math"/>
          </w:rPr>
          <m:t>r</m:t>
        </m:r>
      </m:oMath>
      <w:r>
        <w:t>, so that its prior can be set from literature values. Total thermal conductivity is</w:t>
      </w:r>
    </w:p>
    <w:p w14:paraId="03B3D05A" w14:textId="77777777" w:rsidR="00B03F2C" w:rsidRDefault="00000000" w:rsidP="007D7635">
      <w:pPr>
        <w:tabs>
          <w:tab w:val="center" w:pos="4513"/>
          <w:tab w:val="right" w:pos="9026"/>
        </w:tabs>
        <w:spacing w:before="80" w:after="120" w:line="480" w:lineRule="auto"/>
      </w:pPr>
      <w:r>
        <w:tab/>
      </w: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bip</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, </m:t>
        </m:r>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min</m:t>
            </m:r>
          </m:sub>
        </m:sSub>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300 K</m:t>
                </m:r>
              </m:num>
              <m:den>
                <m:r>
                  <w:rPr>
                    <w:rFonts w:ascii="Cambria Math" w:hAnsi="Cambria Math"/>
                  </w:rPr>
                  <m:t>T</m:t>
                </m:r>
              </m:den>
            </m:f>
            <m:r>
              <m:rPr>
                <m:sty m:val="p"/>
              </m:rPr>
              <w:rPr>
                <w:rFonts w:ascii="Cambria Math" w:hAnsi="Cambria Math"/>
              </w:rPr>
              <m:t>)</m:t>
            </m:r>
          </m:e>
          <m:sup>
            <m:r>
              <w:rPr>
                <w:rFonts w:ascii="Cambria Math" w:hAnsi="Cambria Math"/>
              </w:rPr>
              <m:t>w</m:t>
            </m:r>
          </m:sup>
        </m:sSup>
      </m:oMath>
      <w:r>
        <w:tab/>
        <w:t>(2)</w:t>
      </w:r>
    </w:p>
    <w:p w14:paraId="244CB3F6" w14:textId="77777777" w:rsidR="00B03F2C" w:rsidRDefault="00000000" w:rsidP="007D7635">
      <w:pPr>
        <w:spacing w:after="120" w:line="480" w:lineRule="auto"/>
      </w:pPr>
      <w:r>
        <w:t xml:space="preserve">with </w:t>
      </w:r>
      <w:r>
        <w:rPr>
          <w:i/>
          <w:iCs/>
        </w:rPr>
        <w:t>w</w:t>
      </w:r>
      <w:r>
        <w:t xml:space="preserve"> ≥ 0 in the reference model. The bipolar term is</w:t>
      </w:r>
    </w:p>
    <w:p w14:paraId="2DA09EBD" w14:textId="77777777" w:rsidR="00B03F2C" w:rsidRDefault="00000000" w:rsidP="007D7635">
      <w:pPr>
        <w:tabs>
          <w:tab w:val="center" w:pos="4513"/>
          <w:tab w:val="right" w:pos="9026"/>
        </w:tabs>
        <w:spacing w:before="80" w:after="120" w:line="480" w:lineRule="auto"/>
      </w:pPr>
      <w:r>
        <w:tab/>
      </w:r>
      <m:oMath>
        <m:sSub>
          <m:sSubPr>
            <m:ctrlPr>
              <w:rPr>
                <w:rFonts w:ascii="Cambria Math" w:hAnsi="Cambria Math"/>
              </w:rPr>
            </m:ctrlPr>
          </m:sSubPr>
          <m:e>
            <m:r>
              <w:rPr>
                <w:rFonts w:ascii="Cambria Math" w:hAnsi="Cambria Math"/>
              </w:rPr>
              <m:t>κ</m:t>
            </m:r>
          </m:e>
          <m:sub>
            <m:r>
              <m:rPr>
                <m:sty m:val="p"/>
              </m:rPr>
              <w:rPr>
                <w:rFonts w:ascii="Cambria Math" w:hAnsi="Cambria Math"/>
              </w:rPr>
              <m:t>bip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p</m:t>
                </m:r>
              </m:sub>
            </m:sSub>
            <m:sSub>
              <m:sSubPr>
                <m:ctrlPr>
                  <w:rPr>
                    <w:rFonts w:ascii="Cambria Math" w:hAnsi="Cambria Math"/>
                  </w:rPr>
                </m:ctrlPr>
              </m:sSubPr>
              <m:e>
                <m:r>
                  <w:rPr>
                    <w:rFonts w:ascii="Cambria Math" w:hAnsi="Cambria Math"/>
                  </w:rPr>
                  <m:t>σ</m:t>
                </m:r>
              </m:e>
              <m:sub>
                <m:r>
                  <m:rPr>
                    <m:sty m:val="p"/>
                  </m:rPr>
                  <w:rPr>
                    <w:rFonts w:ascii="Cambria Math" w:hAnsi="Cambria Math"/>
                  </w:rPr>
                  <m:t>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n</m:t>
                </m:r>
              </m:sub>
            </m:sSub>
          </m:den>
        </m:f>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n</m:t>
                </m:r>
              </m:sub>
            </m:sSub>
            <m:r>
              <m:rPr>
                <m:sty m:val="p"/>
              </m:rPr>
              <w:rPr>
                <w:rFonts w:ascii="Cambria Math" w:hAnsi="Cambria Math"/>
              </w:rPr>
              <m:t>)</m:t>
            </m:r>
          </m:e>
          <m:sup>
            <m:r>
              <m:rPr>
                <m:sty m:val="p"/>
              </m:rPr>
              <w:rPr>
                <w:rFonts w:ascii="Cambria Math" w:hAnsi="Cambria Math"/>
              </w:rPr>
              <m:t>2</m:t>
            </m:r>
          </m:sup>
        </m:sSup>
        <m:r>
          <w:rPr>
            <w:rFonts w:ascii="Cambria Math" w:hAnsi="Cambria Math"/>
          </w:rPr>
          <m:t>T</m:t>
        </m:r>
      </m:oMath>
      <w:r>
        <w:tab/>
        <w:t>(3)</w:t>
      </w:r>
    </w:p>
    <w:p w14:paraId="05F67F3F" w14:textId="42CA2262" w:rsidR="00B03F2C" w:rsidRDefault="00000000" w:rsidP="007D7635">
      <w:pPr>
        <w:spacing w:after="120" w:line="480" w:lineRule="auto"/>
        <w:jc w:val="both"/>
      </w:pPr>
      <w:r>
        <w:t>The model reproduces both analytic Lorenz limits to better than 5 × 10</w:t>
      </w:r>
      <w:r>
        <w:rPr>
          <w:vertAlign w:val="superscript"/>
        </w:rPr>
        <w:t>−3</w:t>
      </w:r>
      <w:r>
        <w:t xml:space="preserve"> at </w:t>
      </w:r>
      <m:oMath>
        <m:r>
          <w:rPr>
            <w:rFonts w:ascii="Cambria Math" w:hAnsi="Cambria Math"/>
          </w:rPr>
          <m:t>r</m:t>
        </m:r>
      </m:oMath>
      <w:r>
        <w:t xml:space="preserve"> = −1.0, 0.0 and +2.0, and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peaks at equal channel conductivity when the total is held fixed.</w:t>
      </w:r>
    </w:p>
    <w:p w14:paraId="5C7C4B68" w14:textId="301327DD" w:rsidR="00B03F2C" w:rsidRDefault="00000000" w:rsidP="007D7635">
      <w:pPr>
        <w:spacing w:after="120" w:line="480" w:lineRule="auto"/>
        <w:jc w:val="both"/>
      </w:pPr>
      <w:r>
        <w:t xml:space="preserve">The reference simulator shares </w:t>
      </w:r>
      <m:oMath>
        <m:r>
          <w:rPr>
            <w:rFonts w:ascii="Cambria Math" w:hAnsi="Cambria Math"/>
          </w:rPr>
          <m:t>r</m:t>
        </m:r>
      </m:oMath>
      <w:r>
        <w:t xml:space="preserve">, the mobility temperature exponent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μ</m:t>
            </m:r>
          </m:sub>
        </m:sSub>
      </m:oMath>
      <w:r>
        <w:t xml:space="preserve"> and the non-degenerate 300 K mobility between bands; masses and Fermi levels may differ. Section 2.7 defines the extended models that relax these equalities and the monotone lattice form.</w:t>
      </w:r>
    </w:p>
    <w:p w14:paraId="2765C57A" w14:textId="77777777" w:rsidR="00B03F2C" w:rsidRDefault="00000000" w:rsidP="007D7635">
      <w:pPr>
        <w:pStyle w:val="Heading2"/>
        <w:spacing w:line="480" w:lineRule="auto"/>
      </w:pPr>
      <w:r>
        <w:t>2.3 Prior</w:t>
      </w:r>
    </w:p>
    <w:p w14:paraId="065593FE" w14:textId="0C45B76F" w:rsidR="00B03F2C" w:rsidRDefault="00000000" w:rsidP="007D7635">
      <w:pPr>
        <w:spacing w:after="120" w:line="480" w:lineRule="auto"/>
        <w:jc w:val="both"/>
      </w:pPr>
      <w:r>
        <w:t xml:space="preserve">Ten continuous parameters and a binary majority-carrier sign are inferred in the reference model. Uniform draws within Supplementary Table 16 are independent except for the doping-dependent mobility interval; each sign has probability one half. Measurement endpoints are sampled within their bounds and rejected until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hi</m:t>
            </m:r>
          </m:sub>
        </m:sSub>
        <m:r>
          <w:rPr>
            <w:rFonts w:ascii="Cambria Math" w:hAnsi="Cambria Math"/>
          </w:rPr>
          <m:t xml:space="preserve"> - </m:t>
        </m:r>
        <m:sSub>
          <m:sSubPr>
            <m:ctrlPr>
              <w:rPr>
                <w:rFonts w:ascii="Cambria Math" w:hAnsi="Cambria Math"/>
                <w:i/>
                <w:iCs/>
              </w:rPr>
            </m:ctrlPr>
          </m:sSubPr>
          <m:e>
            <m:r>
              <w:rPr>
                <w:rFonts w:ascii="Cambria Math" w:hAnsi="Cambria Math"/>
              </w:rPr>
              <m:t>T</m:t>
            </m:r>
            <m:ctrlPr>
              <w:rPr>
                <w:rFonts w:ascii="Cambria Math" w:hAnsi="Cambria Math"/>
                <w:i/>
              </w:rPr>
            </m:ctrlPr>
          </m:e>
          <m:sub>
            <m:r>
              <w:rPr>
                <w:rFonts w:ascii="Cambria Math" w:hAnsi="Cambria Math"/>
                <w:vertAlign w:val="subscript"/>
              </w:rPr>
              <m:t>lo</m:t>
            </m:r>
          </m:sub>
        </m:sSub>
        <m:r>
          <w:rPr>
            <w:rFonts w:ascii="Cambria Math" w:hAnsi="Cambria Math"/>
          </w:rPr>
          <m:t xml:space="preserve"> ≥ 200</m:t>
        </m:r>
      </m:oMath>
      <w:r>
        <w:t xml:space="preserve"> K. The prior also requires maximum </w:t>
      </w:r>
      <m:oMath>
        <m:r>
          <w:rPr>
            <w:rFonts w:ascii="Cambria Math" w:hAnsi="Cambria Math"/>
          </w:rPr>
          <m:t>zT ≤ 3.5</m:t>
        </m:r>
      </m:oMath>
      <w:r>
        <w:t xml:space="preserve"> on the 16-point window grid. Bounds were fixed during this project’s model development, rather than independently selected on a new real-data corpus.</w:t>
      </w:r>
    </w:p>
    <w:p w14:paraId="1C1B335E" w14:textId="77777777" w:rsidR="00B03F2C" w:rsidRDefault="00000000" w:rsidP="007D7635">
      <w:pPr>
        <w:spacing w:after="120" w:line="480" w:lineRule="auto"/>
        <w:jc w:val="both"/>
      </w:pPr>
      <w:r>
        <w:t xml:space="preserve">For each simulated observation, 8–20 uniformly spaced temperature points are used. Independent factors exp(ε), with ε ∼ </w:t>
      </w:r>
      <w:proofErr w:type="gramStart"/>
      <w:r>
        <w:t>Normal(</w:t>
      </w:r>
      <w:proofErr w:type="gramEnd"/>
      <w:r>
        <w:t>0, 0.02</w:t>
      </w:r>
      <w:r>
        <w:rPr>
          <w:vertAlign w:val="superscript"/>
        </w:rPr>
        <w:t>2</w:t>
      </w:r>
      <w:r>
        <w:t xml:space="preserve">), perturb each property before interpolation onto 16 feature temperatures. This induces interpolation correlations but lacks shared calibration errors, additive </w:t>
      </w:r>
      <w:proofErr w:type="spellStart"/>
      <w:r>
        <w:t>Seebeck</w:t>
      </w:r>
      <w:proofErr w:type="spellEnd"/>
      <w:r>
        <w:t xml:space="preserve"> error and property-specific uncertainty. It is not a complete experimental-error model.</w:t>
      </w:r>
    </w:p>
    <w:p w14:paraId="5A8E6A8C" w14:textId="77777777" w:rsidR="00B03F2C" w:rsidRDefault="00000000" w:rsidP="007D7635">
      <w:pPr>
        <w:pStyle w:val="Heading2"/>
        <w:spacing w:line="480" w:lineRule="auto"/>
      </w:pPr>
      <w:r>
        <w:lastRenderedPageBreak/>
        <w:t>2.4 Amortised posterior</w:t>
      </w:r>
    </w:p>
    <w:p w14:paraId="249A6F0D" w14:textId="754AFDBC" w:rsidR="00B03F2C" w:rsidRDefault="00000000" w:rsidP="007D7635">
      <w:pPr>
        <w:spacing w:after="120" w:line="480" w:lineRule="auto"/>
        <w:jc w:val="both"/>
      </w:pPr>
      <w:r>
        <w:t xml:space="preserve">The network has three hidden layers of 256 </w:t>
      </w:r>
      <w:proofErr w:type="spellStart"/>
      <w:r>
        <w:t>SiLU</w:t>
      </w:r>
      <w:proofErr w:type="spellEnd"/>
      <w:r>
        <w:t xml:space="preserve"> units</w:t>
      </w:r>
      <w:r w:rsidR="001C2327">
        <w:fldChar w:fldCharType="begin"/>
      </w:r>
      <w:r w:rsidR="001C2327">
        <w:instrText xml:space="preserve"> ADDIN ZOTERO_ITEM CSL_CITATION {"citationID":"JfVvqlnK","properties":{"unsorted":false,"formattedCitation":"\\super 14\\nosupersub{}","plainCitation":"14","noteIndex":0},"citationItems":[{"id":4787,"uris":["http://zotero.org/groups/6712166/items/HPC2FUNT"],"itemData":{"id":4787,"type":"article-journal","container-title":"Neural Networks","DOI":"10.1016/j.neunet.2017.12.012","ISSN":"08936080","journalAbbreviation":"Neural Networks","language":"en","page":"3-11","source":"DOI.org (Crossref)","title":"Sigmoid-weighted linear units for neural network function approximation in reinforcement learning","volume":"107","author":[{"family":"Elfwing","given":"Stefan"},{"family":"Uchibe","given":"Eiji"},{"family":"Doya","given":"Kenji"}],"issued":{"date-parts":[["2018",11]]}}}],"schema":"https://github.com/citation-style-language/schema/raw/master/csl-citation.json"} </w:instrText>
      </w:r>
      <w:r w:rsidR="001C2327">
        <w:fldChar w:fldCharType="separate"/>
      </w:r>
      <w:r w:rsidR="001C2327" w:rsidRPr="001C2327">
        <w:rPr>
          <w:vertAlign w:val="superscript"/>
        </w:rPr>
        <w:t>14</w:t>
      </w:r>
      <w:r w:rsidR="001C2327">
        <w:fldChar w:fldCharType="end"/>
      </w:r>
      <w:r>
        <w:t xml:space="preserve">. It predicts </w:t>
      </w:r>
      <m:oMath>
        <m:r>
          <w:rPr>
            <w:rFonts w:ascii="Cambria Math" w:hAnsi="Cambria Math"/>
          </w:rPr>
          <m:t>D</m:t>
        </m:r>
      </m:oMath>
      <w:r>
        <w:t xml:space="preserve"> standardised means, </w:t>
      </w:r>
      <m:oMath>
        <m:r>
          <w:rPr>
            <w:rFonts w:ascii="Cambria Math" w:hAnsi="Cambria Math"/>
          </w:rPr>
          <m:t>D</m:t>
        </m:r>
      </m:oMath>
      <w:r>
        <w:t xml:space="preserve"> log diagonal and </w:t>
      </w:r>
      <m:oMath>
        <m:r>
          <w:rPr>
            <w:rFonts w:ascii="Cambria Math" w:hAnsi="Cambria Math"/>
          </w:rPr>
          <m:t>D(D - 1)/2</m:t>
        </m:r>
      </m:oMath>
      <w:r>
        <w:t xml:space="preserve"> off-diagonal entries of a lower-triangular precision factor </w:t>
      </w:r>
      <m:oMath>
        <m:r>
          <w:rPr>
            <w:rFonts w:ascii="Cambria Math" w:hAnsi="Cambria Math"/>
          </w:rPr>
          <m:t>A</m:t>
        </m:r>
      </m:oMath>
      <w:r>
        <w:t xml:space="preserve">, plus a Bernoulli sign logit; </w:t>
      </w:r>
      <m:oMath>
        <m:r>
          <w:rPr>
            <w:rFonts w:ascii="Cambria Math" w:hAnsi="Cambria Math"/>
          </w:rPr>
          <m:t>D = 10</m:t>
        </m:r>
      </m:oMath>
      <w:r>
        <w:t xml:space="preserve"> for the reference model. Precision is </w:t>
      </w:r>
      <m:oMath>
        <m:r>
          <w:rPr>
            <w:rFonts w:ascii="Cambria Math" w:hAnsi="Cambria Math"/>
          </w:rPr>
          <m:t>A</m:t>
        </m:r>
        <m:sSup>
          <m:sSupPr>
            <m:ctrlPr>
              <w:rPr>
                <w:rFonts w:ascii="Cambria Math" w:hAnsi="Cambria Math"/>
                <w:i/>
                <w:iCs/>
              </w:rPr>
            </m:ctrlPr>
          </m:sSupPr>
          <m:e>
            <m:r>
              <w:rPr>
                <w:rFonts w:ascii="Cambria Math" w:hAnsi="Cambria Math"/>
              </w:rPr>
              <m:t>A</m:t>
            </m:r>
          </m:e>
          <m:sup>
            <m:r>
              <w:rPr>
                <w:rFonts w:ascii="Cambria Math" w:hAnsi="Cambria Math"/>
                <w:vertAlign w:val="superscript"/>
              </w:rPr>
              <m:t>T</m:t>
            </m:r>
          </m:sup>
        </m:sSup>
      </m:oMath>
      <w:r>
        <w:t xml:space="preserve">; Gaussian draws solve </w:t>
      </w:r>
      <m:oMath>
        <m:sSup>
          <m:sSupPr>
            <m:ctrlPr>
              <w:rPr>
                <w:rFonts w:ascii="Cambria Math" w:hAnsi="Cambria Math"/>
                <w:i/>
                <w:iCs/>
              </w:rPr>
            </m:ctrlPr>
          </m:sSupPr>
          <m:e>
            <m:r>
              <w:rPr>
                <w:rFonts w:ascii="Cambria Math" w:hAnsi="Cambria Math"/>
              </w:rPr>
              <m:t>A</m:t>
            </m:r>
          </m:e>
          <m:sup>
            <m:r>
              <w:rPr>
                <w:rFonts w:ascii="Cambria Math" w:hAnsi="Cambria Math"/>
                <w:vertAlign w:val="superscript"/>
              </w:rPr>
              <m:t>T</m:t>
            </m:r>
          </m:sup>
        </m:sSup>
        <m:r>
          <w:rPr>
            <w:rFonts w:ascii="Cambria Math" w:hAnsi="Cambria Math"/>
          </w:rPr>
          <m:t>v = ε</m:t>
        </m:r>
      </m:oMath>
      <w:r>
        <w:t xml:space="preserve"> before restoring parameter scale. Continuous and sign heads factorise conditionally on the features. Diagonal log factors are clipped to [−3, 6] before exponentiation; strictly lower-triangular factors are unconstrained. Continuous-head weights and biases are initialised to zero. A single Gaussian cannot generally represent multimodal or strongly non-Gaussian posteriors. The per-example training objective is</w:t>
      </w:r>
    </w:p>
    <w:p w14:paraId="53A318AB" w14:textId="77777777" w:rsidR="00B03F2C" w:rsidRDefault="00000000" w:rsidP="007D7635">
      <w:pPr>
        <w:tabs>
          <w:tab w:val="center" w:pos="4513"/>
          <w:tab w:val="right" w:pos="9026"/>
        </w:tabs>
        <w:spacing w:before="80" w:after="120" w:line="480" w:lineRule="auto"/>
      </w:pPr>
      <w:r>
        <w:tab/>
      </w:r>
      <m:oMath>
        <m:r>
          <m:rPr>
            <m:scr m:val="script"/>
          </m:rP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T</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μ</m:t>
            </m:r>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D</m:t>
            </m:r>
          </m:num>
          <m:den>
            <m:r>
              <m:rPr>
                <m:sty m:val="p"/>
              </m:rPr>
              <w:rPr>
                <w:rFonts w:ascii="Cambria Math" w:hAnsi="Cambria Math"/>
              </w:rPr>
              <m:t>2</m:t>
            </m:r>
          </m:den>
        </m:f>
        <m:r>
          <m:rPr>
            <m:sty m:val="p"/>
          </m:rPr>
          <w:rPr>
            <w:rFonts w:ascii="Cambria Math" w:hAnsi="Cambria Math"/>
          </w:rPr>
          <m:t>ln(2π)+BCE(</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oMath>
      <w:r>
        <w:tab/>
        <w:t>(4)</w:t>
      </w:r>
    </w:p>
    <w:p w14:paraId="32F634E2" w14:textId="71B7B9E0" w:rsidR="00B03F2C" w:rsidRDefault="00000000" w:rsidP="007D7635">
      <w:pPr>
        <w:spacing w:after="120" w:line="480" w:lineRule="auto"/>
        <w:jc w:val="both"/>
      </w:pPr>
      <w:r>
        <w:t xml:space="preserve">where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ii</m:t>
            </m:r>
          </m:sub>
        </m:sSub>
      </m:oMath>
      <w:r>
        <w:t xml:space="preserve"> = exp(</w:t>
      </w:r>
      <w:r>
        <w:rPr>
          <w:i/>
          <w:iCs/>
        </w:rPr>
        <w:t>d</w:t>
      </w:r>
      <w:r>
        <w:rPr>
          <w:vertAlign w:val="subscript"/>
        </w:rPr>
        <w:t>i</w:t>
      </w:r>
      <w:r>
        <w:t xml:space="preserve">), </w:t>
      </w:r>
      <w:r>
        <w:rPr>
          <w:i/>
          <w:iCs/>
        </w:rPr>
        <w:t>y</w:t>
      </w:r>
      <w:r>
        <w:t xml:space="preserve"> are the standardised continuous parameters, </w:t>
      </w:r>
      <m:oMath>
        <m:r>
          <w:rPr>
            <w:rFonts w:ascii="Cambria Math" w:hAnsi="Cambria Math"/>
          </w:rPr>
          <m:t>s</m:t>
        </m:r>
      </m:oMath>
      <w:r>
        <w:t xml:space="preserve"> the carrier sign and </w:t>
      </w:r>
      <m:oMath>
        <m:r>
          <w:rPr>
            <w:rFonts w:ascii="Cambria Math" w:hAnsi="Cambria Math"/>
          </w:rPr>
          <m:t>a</m:t>
        </m:r>
      </m:oMath>
      <w:r>
        <w:t xml:space="preserve"> its logit. No experimental channel labels enter the loss.</w:t>
      </w:r>
    </w:p>
    <w:p w14:paraId="2A5796FF" w14:textId="77777777" w:rsidR="00B03F2C" w:rsidRDefault="00000000" w:rsidP="007D7635">
      <w:pPr>
        <w:spacing w:after="120" w:line="480" w:lineRule="auto"/>
        <w:jc w:val="both"/>
      </w:pPr>
      <w:r>
        <w:t>The corrected reference run uses 600,000 simulations generated with seed 2001. A seed-3 permutation allocates 588,000 for training and 12,000 for validation. Normalisation uses training examples only. The architecture is retained for comparability; architecture experiments using a different simulator do not validate this checkpoint.</w:t>
      </w:r>
    </w:p>
    <w:p w14:paraId="7D4886C1" w14:textId="05283A0A" w:rsidR="00B03F2C" w:rsidRDefault="00000000" w:rsidP="007D7635">
      <w:pPr>
        <w:spacing w:after="120" w:line="480" w:lineRule="auto"/>
        <w:jc w:val="both"/>
      </w:pPr>
      <w:r>
        <w:t>Training uses AdamW</w:t>
      </w:r>
      <w:r w:rsidR="001C2327">
        <w:fldChar w:fldCharType="begin"/>
      </w:r>
      <w:r w:rsidR="0050691B">
        <w:instrText xml:space="preserve"> ADDIN ZOTERO_ITEM CSL_CITATION {"citationID":"CaKRY6gN","properties":{"unsorted":false,"formattedCitation":"\\super 15\\nosupersub{}","plainCitation":"15","noteIndex":0},"citationItems":[{"id":4800,"uris":["http://zotero.org/groups/6712166/items/GDS3GUQ8"],"itemData":{"id":4800,"type":"paper-conference","abstract":"L$_2$ regularization and weight decay regularization are equivalent for standard stochastic gradient descent (when rescaled by the learning rate), but as we demonstrate this is \\emph{not} the case for adaptive gradient algorithms, such as Adam. While common implementations of these algorithms employ L$_2$ regularization (often calling it ``weight decay'' in what may be misleading due to the inequivalence we expose), we propose a simple modification to recover the original formulation of weight decay regularization by \\emph{decoupling} the weight decay from the optimization steps taken w.r.t. the loss function. We provide empirical evidence that our proposed modification (i) decouples the optimal choice of weight decay factor from the setting of the learning rate for both standard SGD and Adam and (ii) substantially improves Adam's generalization performance, allowing it to compete with SGD with momentum on image classification datasets (on which it was previously typically outperformed by the latter). Our proposed decoupled weight decay has already been adopted by many researchers, and the community has implemented it in TensorFlow and PyTorch; the complete source code for our experiments is available at \\url{https://github.com/loshchil/AdamW-and-SGDW}","event-title":"International Conference on Learning Representations","language":"en","source":"openreview.net","title":"Decoupled Weight Decay Regularization","URL":"https://openreview.net/forum?id=Bkg6RiCqY7","author":[{"family":"Loshchilov","given":"Ilya"},{"family":"Hutter","given":"Frank"}],"accessed":{"date-parts":[["2026",10,12]]},"issued":{"date-parts":[["2019"]]}}}],"schema":"https://github.com/citation-style-language/schema/raw/master/csl-citation.json"} </w:instrText>
      </w:r>
      <w:r w:rsidR="001C2327">
        <w:fldChar w:fldCharType="separate"/>
      </w:r>
      <w:r w:rsidR="00734974" w:rsidRPr="00734974">
        <w:rPr>
          <w:vertAlign w:val="superscript"/>
        </w:rPr>
        <w:t>15</w:t>
      </w:r>
      <w:r w:rsidR="001C2327">
        <w:fldChar w:fldCharType="end"/>
      </w:r>
      <w:r>
        <w:t xml:space="preserve"> , initial learning rate 0.0015, weight decay 10</w:t>
      </w:r>
      <w:r>
        <w:rPr>
          <w:vertAlign w:val="superscript"/>
        </w:rPr>
        <w:t>−5</w:t>
      </w:r>
      <w:r>
        <w:t xml:space="preserve">, batches of 1024 and gradient clipping at norm 5. </w:t>
      </w:r>
      <w:proofErr w:type="spellStart"/>
      <w:r>
        <w:t>ReduceLROnPlateau</w:t>
      </w:r>
      <w:proofErr w:type="spellEnd"/>
      <w:r>
        <w:t xml:space="preserve"> has factor 0.5 and patience 6. The cap is 900 epochs; early stopping requires 50 epochs without an improvement of at least 10</w:t>
      </w:r>
      <w:r>
        <w:rPr>
          <w:vertAlign w:val="superscript"/>
        </w:rPr>
        <w:t>−4</w:t>
      </w:r>
      <w:r>
        <w:t xml:space="preserve">. The run stopped by </w:t>
      </w:r>
      <w:proofErr w:type="spellStart"/>
      <w:r>
        <w:t>epoch_cap</w:t>
      </w:r>
      <w:proofErr w:type="spellEnd"/>
      <w:r>
        <w:t xml:space="preserve"> after 900 epochs, selecting epoch 890 (one-based; stored index 889) with validation negative log likelihood −7.1647 in standardised coordinates. Training seed is 0; device and library versions are archived.</w:t>
      </w:r>
    </w:p>
    <w:p w14:paraId="62669D50" w14:textId="77777777" w:rsidR="00B03F2C" w:rsidRDefault="00000000" w:rsidP="007D7635">
      <w:pPr>
        <w:spacing w:after="120" w:line="480" w:lineRule="auto"/>
        <w:jc w:val="both"/>
      </w:pPr>
      <w:r>
        <w:t>The full precision factor represents correlations, but physical degeneracies remain, including density–mobility and lattice amplitude–floor trade-offs. The availability of a covariance estimate does not establish accurate uncertainty; independent diagnostics test selected consequences.</w:t>
      </w:r>
    </w:p>
    <w:p w14:paraId="15ADE201" w14:textId="77777777" w:rsidR="00B03F2C" w:rsidRDefault="00000000" w:rsidP="002E19BD">
      <w:pPr>
        <w:keepNext/>
        <w:spacing w:before="160" w:after="80" w:line="480" w:lineRule="auto"/>
      </w:pPr>
      <w:r>
        <w:rPr>
          <w:b/>
        </w:rPr>
        <w:lastRenderedPageBreak/>
        <w:t>Computational environment and reproducibility</w:t>
      </w:r>
    </w:p>
    <w:p w14:paraId="4AC3EEF8" w14:textId="736FFC67" w:rsidR="00B03F2C" w:rsidRDefault="00000000" w:rsidP="002E19BD">
      <w:pPr>
        <w:spacing w:after="120" w:line="480" w:lineRule="auto"/>
        <w:jc w:val="both"/>
      </w:pPr>
      <w:r>
        <w:t>The archived extended-model runs used Python 3.11.9, NumPy 2.4.6</w:t>
      </w:r>
      <w:r w:rsidR="001C2327">
        <w:t xml:space="preserve"> </w:t>
      </w:r>
      <w:r w:rsidR="001C2327">
        <w:fldChar w:fldCharType="begin"/>
      </w:r>
      <w:r w:rsidR="001C2327">
        <w:instrText xml:space="preserve"> ADDIN ZOTERO_ITEM CSL_CITATION {"citationID":"ZpIjP72M","properties":{"unsorted":false,"formattedCitation":"\\super 16\\nosupersub{}","plainCitation":"16","noteIndex":0},"citationItems":[{"id":4790,"uris":["http://zotero.org/groups/6712166/items/LNNDKF4U"],"itemData":{"id":4790,"type":"article-journal","abstract":"Abstract\n            \n              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waves\n              1\n              and in the first imaging of a black hole\n              2\n              .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analysis.","container-title":"Nature","DOI":"10.1038/s41586-020-2649-2","ISSN":"0028-0836, 1476-4687","issue":"7825","journalAbbreviation":"Nature","language":"en","page":"357-362","source":"DOI.org (Crossref)","title":"Array programming with NumPy","volume":"585","author":[{"family":"Harris","given":"Charles R."},{"family":"Millman","given":"K. Jarrod"},{"family":"Van Der Walt","given":"Stéfan J."},{"family":"Gommers","given":"Ralf"},{"family":"Virtanen","given":"Pauli"},{"family":"Cournapeau","given":"David"},{"family":"Wieser","given":"Eric"},{"family":"Taylor","given":"Julian"},{"family":"Berg","given":"Sebastian"},{"family":"Smith","given":"Nathaniel J."},{"family":"Kern","given":"Robert"},{"family":"Picus","given":"Matti"},{"family":"Hoyer","given":"Stephan"},{"family":"Van Kerkwijk","given":"Marten H."},{"family":"Brett","given":"Matthew"},{"family":"Haldane","given":"Allan"},{"family":"Del Río","given":"Jaime Fernández"},{"family":"Wiebe","given":"Mark"},{"family":"Peterson","given":"Pearu"},{"family":"Gérard-Marchant","given":"Pierre"},{"family":"Sheppard","given":"Kevin"},{"family":"Reddy","given":"Tyler"},{"family":"Weckesser","given":"Warren"},{"family":"Abbasi","given":"Hameer"},{"family":"Gohlke","given":"Christoph"},{"family":"Oliphant","given":"Travis E."}],"issued":{"date-parts":[["2020",9,17]]}}}],"schema":"https://github.com/citation-style-language/schema/raw/master/csl-citation.json"} </w:instrText>
      </w:r>
      <w:r w:rsidR="001C2327">
        <w:fldChar w:fldCharType="separate"/>
      </w:r>
      <w:r w:rsidR="001C2327" w:rsidRPr="001C2327">
        <w:rPr>
          <w:vertAlign w:val="superscript"/>
        </w:rPr>
        <w:t>16</w:t>
      </w:r>
      <w:r w:rsidR="001C2327">
        <w:fldChar w:fldCharType="end"/>
      </w:r>
      <w:r>
        <w:t xml:space="preserve"> , SciPy 1.17.1 </w:t>
      </w:r>
      <w:r w:rsidR="001C2327">
        <w:fldChar w:fldCharType="begin"/>
      </w:r>
      <w:r w:rsidR="001C2327">
        <w:instrText xml:space="preserve"> ADDIN ZOTERO_ITEM CSL_CITATION {"citationID":"BDapOE3n","properties":{"unsorted":false,"formattedCitation":"\\super 17\\nosupersub{}","plainCitation":"17","noteIndex":0},"citationItems":[{"id":4791,"uris":["http://zotero.org/groups/6712166/items/G9WY423K"],"itemData":{"id":4791,"type":"article-journal","abstract":"Abstract\n            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Methods","DOI":"10.1038/s41592-019-0686-2","ISSN":"1548-7091, 1548-7105","issue":"3","journalAbbreviation":"Nat Methods","language":"en","page":"261-272","source":"DOI.org (Crossref)","title":"SciPy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Van Der Walt","given":"Stéfan J."},{"family":"Brett","given":"Matthew"},{"family":"Wilson","given":"Joshua"},{"family":"Millman","given":"K.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H."},{"family":"Pedregosa","given":"Fabian"},{"family":"Van Mulbregt","given":"Paul"},{"literal":"SciPy 1.0 Contributors"},{"family":"Vijaykumar","given":"Aditya"},{"family":"Bardelli","given":"Alessandro Pietro"},{"family":"Rothberg","given":"Alex"},{"family":"Hilboll","given":"Andreas"},{"family":"Kloeckner","given":"Andreas"},{"family":"Scopatz","given":"Anthony"},{"family":"Lee","given":"Antony"},{"family":"Rokem","given":"Ariel"},{"family":"Woods","given":"C. Nathan"},{"family":"Fulton","given":"Chad"},{"family":"Masson","given":"Charles"},{"family":"Häggström","given":"Christian"},{"family":"Fitzgerald","given":"Clark"},{"family":"Nicholson","given":"David A."},{"family":"Hagen","given":"David R."},{"family":"Pasechnik","given":"Dmitrii V."},{"family":"Olivetti","given":"Emanuele"},{"family":"Martin","given":"Eric"},{"family":"Wieser","given":"Eric"},{"family":"Silva","given":"Fabrice"},{"family":"Lenders","given":"Felix"},{"family":"Wilhelm","given":"Florian"},{"family":"Young","given":"G."},{"family":"Price","given":"Gavin A."},{"family":"Ingold","given":"Gert-Ludwig"},{"family":"Allen","given":"Gregory E."},{"family":"Lee","given":"Gregory R."},{"family":"Audren","given":"Hervé"},{"family":"Probst","given":"Irvin"},{"family":"Dietrich","given":"Jörg P."},{"family":"Silterra","given":"Jacob"},{"family":"Webber","given":"James T"},{"family":"Slavič","given":"Janko"},{"family":"Nothman","given":"Joel"},{"family":"Buchner","given":"Johannes"},{"family":"Kulick","given":"Johannes"},{"family":"Schönberger","given":"Johannes L."},{"family":"De Miranda Cardoso","given":"José Vinícius"},{"family":"Reimer","given":"Joscha"},{"family":"Harrington","given":"Joseph"},{"family":"Rodríguez","given":"Juan Luis Cano"},{"family":"Nunez-Iglesias","given":"Juan"},{"family":"Kuczynski","given":"Justin"},{"family":"Tritz","given":"Kevin"},{"family":"Thoma","given":"Martin"},{"family":"Newville","given":"Matthew"},{"family":"Kümmerer","given":"Matthias"},{"family":"Bolingbroke","given":"Maximilian"},{"family":"Tartre","given":"Michael"},{"family":"Pak","given":"Mikhail"},{"family":"Smith","given":"Nathaniel J."},{"family":"Nowaczyk","given":"Nikolai"},{"family":"Shebanov","given":"Nikolay"},{"family":"Pavlyk","given":"Oleksandr"},{"family":"Brodtkorb","given":"Per A."},{"family":"Lee","given":"Perry"},{"family":"McGibbon","given":"Robert T."},{"family":"Feldbauer","given":"Roman"},{"family":"Lewis","given":"Sam"},{"family":"Tygier","given":"Sam"},{"family":"Sievert","given":"Scott"},{"family":"Vigna","given":"Sebastiano"},{"family":"Peterson","given":"Stefan"},{"family":"More","given":"Surhud"},{"family":"Pudlik","given":"Tadeusz"},{"family":"Oshima","given":"Takuya"},{"family":"Pingel","given":"Thomas J."},{"family":"Robitaille","given":"Thomas P."},{"family":"Spura","given":"Thomas"},{"family":"Jones","given":"Thouis R."},{"family":"Cera","given":"Tim"},{"family":"Leslie","given":"Tim"},{"family":"Zito","given":"Tiziano"},{"family":"Krauss","given":"Tom"},{"family":"Upadhyay","given":"Utkarsh"},{"family":"Halchenko","given":"Yaroslav O."},{"family":"Vázquez-Baeza","given":"Yoshiki"}],"issued":{"date-parts":[["2020",3,2]]}}}],"schema":"https://github.com/citation-style-language/schema/raw/master/csl-citation.json"} </w:instrText>
      </w:r>
      <w:r w:rsidR="001C2327">
        <w:fldChar w:fldCharType="separate"/>
      </w:r>
      <w:r w:rsidR="001C2327" w:rsidRPr="001C2327">
        <w:rPr>
          <w:vertAlign w:val="superscript"/>
        </w:rPr>
        <w:t>17</w:t>
      </w:r>
      <w:r w:rsidR="001C2327">
        <w:fldChar w:fldCharType="end"/>
      </w:r>
      <w:r>
        <w:t xml:space="preserve"> and </w:t>
      </w:r>
      <w:proofErr w:type="spellStart"/>
      <w:r>
        <w:t>PyTorch</w:t>
      </w:r>
      <w:proofErr w:type="spellEnd"/>
      <w:r>
        <w:t xml:space="preserve"> 2.11.0+cu128 </w:t>
      </w:r>
      <w:r w:rsidR="001C2327">
        <w:fldChar w:fldCharType="begin"/>
      </w:r>
      <w:r w:rsidR="00734974">
        <w:instrText xml:space="preserve"> ADDIN ZOTERO_ITEM CSL_CITATION {"citationID":"ILXCgpgD","properties":{"unsorted":false,"formattedCitation":"\\super 18\\nosupersub{}","plainCitation":"18","noteIndex":0},"citationItems":[{"id":4801,"uris":["http://zotero.org/groups/6712166/items/PGYQ4RT9"],"itemData":{"id":4801,"type":"article-journal","container-title":"Advances in Neural Information Processing Systems","language":"en","source":"proceedings.neurips.cc","title":"PyTorch: An Imperative Style, High-Performance Deep Learning Library","title-short":"PyTorch","URL":"https://proceedings.neurips.cc/paper_files/paper/2019/hash/bdbca288fee7f92f2bfa9f7012727740-Abstract.html?ref=blog.hippoai.org","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accessed":{"date-parts":[["2026",10,12]]},"issued":{"date-parts":[["2019"]]}}}],"schema":"https://github.com/citation-style-language/schema/raw/master/csl-citation.json"} </w:instrText>
      </w:r>
      <w:r w:rsidR="001C2327">
        <w:fldChar w:fldCharType="separate"/>
      </w:r>
      <w:r w:rsidR="00734974" w:rsidRPr="00734974">
        <w:rPr>
          <w:vertAlign w:val="superscript"/>
        </w:rPr>
        <w:t>18</w:t>
      </w:r>
      <w:r w:rsidR="001C2327">
        <w:fldChar w:fldCharType="end"/>
      </w:r>
      <w:r>
        <w:t xml:space="preserve">, with CUDA 12.8 on an NVIDIA GeForce RTX 5060 Laptop GPU. Reference-training metadata independently record CUDA execution under the same </w:t>
      </w:r>
      <w:proofErr w:type="spellStart"/>
      <w:r>
        <w:t>PyTorch</w:t>
      </w:r>
      <w:proofErr w:type="spellEnd"/>
      <w:r>
        <w:t xml:space="preserve"> build. Training uses single precision, while the physical forward calculations use double precision. The training code seeds its random generators, requests deterministic </w:t>
      </w:r>
      <w:proofErr w:type="spellStart"/>
      <w:r>
        <w:t>PyTorch</w:t>
      </w:r>
      <w:proofErr w:type="spellEnd"/>
      <w:r>
        <w:t xml:space="preserve"> algorithms, disables TF32 and configures four CPU threads. These controls do not guarantee bitwise equality across environments. Supplementary computational details distinguish recorded specifications from unrecorded fields.</w:t>
      </w:r>
    </w:p>
    <w:p w14:paraId="59B3792F" w14:textId="77777777" w:rsidR="00B03F2C" w:rsidRDefault="00000000" w:rsidP="00103115">
      <w:pPr>
        <w:pStyle w:val="Heading2"/>
        <w:spacing w:line="480" w:lineRule="auto"/>
      </w:pPr>
      <w:r>
        <w:t>2.5 Calibration</w:t>
      </w:r>
    </w:p>
    <w:p w14:paraId="553CD8CA" w14:textId="77777777" w:rsidR="00B03F2C" w:rsidRDefault="00000000" w:rsidP="00103115">
      <w:pPr>
        <w:spacing w:after="120" w:line="480" w:lineRule="auto"/>
        <w:jc w:val="both"/>
      </w:pPr>
      <w:r>
        <w:t>Independent sets of 6,000 simulations each use seeds 2002 and 2003. The first estimates empirical Mahalanobis thresholds for a diagnostic rank map. The second tests these and raw Gaussian thresholds. This map relabels ellipsoid probabilities; it is not used to modify the constrained sampler.</w:t>
      </w:r>
    </w:p>
    <w:p w14:paraId="1A55999F" w14:textId="77777777" w:rsidR="00B03F2C" w:rsidRDefault="00000000" w:rsidP="00103115">
      <w:pPr>
        <w:spacing w:after="120" w:line="480" w:lineRule="auto"/>
        <w:jc w:val="both"/>
      </w:pPr>
      <w:r>
        <w:t>The reference run uses 588,000 training, 12,000 validation, 6,000 diagnostic calibration and 6,000 independent test simulations: 612,000 base-model examples. Training data can be regenerated from the archived seed and configuration; training configuration and ellipsoid diagnostics are summarised in Supplementary Table 17 and Supplementary Table 18.</w:t>
      </w:r>
    </w:p>
    <w:p w14:paraId="60F3333D" w14:textId="7F0D2856" w:rsidR="00B03F2C" w:rsidRDefault="00000000" w:rsidP="00103115">
      <w:pPr>
        <w:spacing w:after="120" w:line="480" w:lineRule="auto"/>
        <w:jc w:val="both"/>
      </w:pPr>
      <w:r>
        <w:t xml:space="preserve">We also assess empirical coverage of nominal 95% marginal intervals for all continuous parameters and pointwise intervals for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the unipolar Lorenz number and total </w:t>
      </w:r>
      <m:oMath>
        <m:r>
          <w:rPr>
            <w:rFonts w:ascii="Cambria Math" w:hAnsi="Cambria Math"/>
          </w:rPr>
          <m:t>κ</m:t>
        </m:r>
      </m:oMath>
      <w:r>
        <w:t>, using the final constrained draws. Rates are conditional on scored independent test curves, with unscored counts reported separately. These finite-sample checks are not full joint simulation-based rank calibration</w:t>
      </w:r>
      <w:r w:rsidR="001C2327">
        <w:fldChar w:fldCharType="begin"/>
      </w:r>
      <w:r w:rsidR="001C2327">
        <w:instrText xml:space="preserve"> ADDIN ZOTERO_ITEM CSL_CITATION {"citationID":"3JKm8qJ6","properties":{"unsorted":false,"formattedCitation":"\\super 10\\nosupersub{}","plainCitation":"10","noteIndex":0},"citationItems":[{"id":4781,"uris":["http://zotero.org/groups/6712166/items/KAZ35DFD"],"itemData":{"id":4781,"type":"article","abstract":"Verifying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schema":"https://github.com/citation-style-language/schema/raw/master/csl-citation.json"} </w:instrText>
      </w:r>
      <w:r w:rsidR="001C2327">
        <w:fldChar w:fldCharType="separate"/>
      </w:r>
      <w:r w:rsidR="001C2327" w:rsidRPr="001C2327">
        <w:rPr>
          <w:vertAlign w:val="superscript"/>
        </w:rPr>
        <w:t>10</w:t>
      </w:r>
      <w:r w:rsidR="001C2327">
        <w:fldChar w:fldCharType="end"/>
      </w:r>
      <w:r>
        <w:t xml:space="preserve"> ; coverage and other posterior-quality metrics assess different properties</w:t>
      </w:r>
      <w:r w:rsidR="001C2327">
        <w:fldChar w:fldCharType="begin"/>
      </w:r>
      <w:r w:rsidR="007A414E">
        <w:instrText xml:space="preserve"> ADDIN ZOTERO_ITEM CSL_CITATION {"citationID":"RvGjczTl","properties":{"unsorted":false,"formattedCitation":"\\super 11,19\\nosupersub{}","plainCitation":"11,19","noteIndex":0},"citationItems":[{"id":4799,"uris":["http://zotero.org/groups/6712166/items/Y4N9HZH6"],"itemData":{"id":4799,"type":"article-journal","abstract":"We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id":4802,"uris":["http://zotero.org/groups/6712166/items/VQANVE24"],"itemData":{"id":4802,"type":"paper-conference","abstract":"Recent advances in probabilistic modelling have led to a large number of simulation-based inference algorithms which do not require numerical evaluation of likelihoods. However, a public benchmark with appropriate performance metrics for such ’likelihood-free’ algorithms has been lacking. This has made it difficult to compare algorithms and identify their strengths and weaknesses. We set out to fill this gap: We provide a benchmark with inference tasks and suitable performance metrics, with an initial selection of algorithms including recent approaches employing neural networks and classical Approximate Bayesian Computation methods. We found that the choice of performance metric is critical, that even state-of-the-art algorithms have substantial room for improvement, and that sequential estimation improves sample efficiency. Neural network-based approaches generally exhibit better performance, but there is no uniformly best algorithm. We provide practical advice and highlight the potential of the benchmark to diagnose problems and improve algorithms. The results can be explored interactively on a companion website. All code is open source, making it possible to contribute further benchmark tasks and inference algorithms.","container-title":"Proceedings of The 24th International Conference on Artificial Intelligence and Statistics","event-title":"International Conference on Artificial Intelligence and Statistics","ISSN":"2640-3498","language":"en","page":"343-351","publisher":"PMLR","source":"proceedings.mlr.press","title":"Benchmarking Simulation-Based Inference","URL":"https://proceedings.mlr.press/v130/lueckmann21a.html","author":[{"family":"Lueckmann","given":"Jan-Matthis"},{"family":"Boelts","given":"Jan"},{"family":"Greenberg","given":"David"},{"family":"Goncalves","given":"Pedro"},{"family":"Macke","given":"Jakob"}],"accessed":{"date-parts":[["2026",10,12]]},"issued":{"date-parts":[["2021",3,18]]}}}],"schema":"https://github.com/citation-style-language/schema/raw/master/csl-citation.json"} </w:instrText>
      </w:r>
      <w:r w:rsidR="001C2327">
        <w:fldChar w:fldCharType="separate"/>
      </w:r>
      <w:r w:rsidR="007A414E" w:rsidRPr="007A414E">
        <w:rPr>
          <w:vertAlign w:val="superscript"/>
        </w:rPr>
        <w:t>11,19</w:t>
      </w:r>
      <w:r w:rsidR="001C2327">
        <w:fldChar w:fldCharType="end"/>
      </w:r>
      <w:r>
        <w:t xml:space="preserve"> .</w:t>
      </w:r>
    </w:p>
    <w:p w14:paraId="6D019A20" w14:textId="4EB2E88F" w:rsidR="00B03F2C" w:rsidRDefault="00000000" w:rsidP="00103115">
      <w:pPr>
        <w:spacing w:after="120" w:line="480" w:lineRule="auto"/>
        <w:jc w:val="both"/>
      </w:pPr>
      <w:r>
        <w:t xml:space="preserve">Prior restriction changes the distribution, so ellipsoid coverage cannot certify the constrained sampler. Marginal or pointwise coverage also differs from simultaneous coverage of an entire curve. These tests characterise approximation error rather than declare calibration by construction. On 5,996 scored independent test curves out of 6,000, nominal 95% pointwise coverage was 94.2% for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93.2% for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89.3% for </w:t>
      </w:r>
      <m:oMath>
        <m:sSub>
          <m:sSubPr>
            <m:ctrlPr>
              <w:rPr>
                <w:rFonts w:ascii="Cambria Math" w:hAnsi="Cambria Math"/>
                <w:i/>
                <w:iCs/>
              </w:rPr>
            </m:ctrlPr>
          </m:sSubPr>
          <m:e>
            <m:r>
              <w:rPr>
                <w:rFonts w:ascii="Cambria Math" w:hAnsi="Cambria Math"/>
              </w:rPr>
              <m:t>L</m:t>
            </m:r>
          </m:e>
          <m:sub>
            <m:r>
              <w:rPr>
                <w:rFonts w:ascii="Cambria Math" w:hAnsi="Cambria Math"/>
                <w:vertAlign w:val="subscript"/>
              </w:rPr>
              <m:t>uni</m:t>
            </m:r>
          </m:sub>
        </m:sSub>
        <m:r>
          <w:rPr>
            <w:rFonts w:ascii="Cambria Math" w:hAnsi="Cambria Math"/>
          </w:rPr>
          <m:t xml:space="preserve"> </m:t>
        </m:r>
      </m:oMath>
      <w:r>
        <w:t xml:space="preserve">and 98.7% for total </w:t>
      </w:r>
      <m:oMath>
        <m:r>
          <w:rPr>
            <w:rFonts w:ascii="Cambria Math" w:hAnsi="Cambria Math"/>
          </w:rPr>
          <m:t>κ</m:t>
        </m:r>
      </m:oMath>
      <w:r>
        <w:t>. Parameter coverages ranged from 84.4% to 90.5%.</w:t>
      </w:r>
    </w:p>
    <w:p w14:paraId="7182BE33" w14:textId="77777777" w:rsidR="00B03F2C" w:rsidRDefault="00000000" w:rsidP="002E19BD">
      <w:pPr>
        <w:pStyle w:val="Heading2"/>
        <w:spacing w:line="480" w:lineRule="auto"/>
      </w:pPr>
      <w:r>
        <w:lastRenderedPageBreak/>
        <w:t>2.6 Applicability domain and statistics</w:t>
      </w:r>
    </w:p>
    <w:p w14:paraId="3FC79F0B" w14:textId="045F1044" w:rsidR="00B03F2C" w:rsidRDefault="00000000" w:rsidP="002E19BD">
      <w:pPr>
        <w:spacing w:after="120" w:line="480" w:lineRule="auto"/>
        <w:jc w:val="both"/>
      </w:pPr>
      <w:r>
        <w:t xml:space="preserve">For each curve, up to 8,192 Gaussian proposals are considered in batches until 128 draws satisfy the conditional prior and 16-point </w:t>
      </w:r>
      <m:oMath>
        <m:r>
          <w:rPr>
            <w:rFonts w:ascii="Cambria Math" w:hAnsi="Cambria Math"/>
          </w:rPr>
          <m:t>zT</m:t>
        </m:r>
      </m:oMath>
      <w:r>
        <w:t xml:space="preserve"> restriction. At least 64 are needed for scoring. The sign is sampled from the Bernoulli head. Draws are propagated through the corrected training simulator. A nested-prefix draw-count check on 509 independent test cases with all 256 draws retained gave lattice coverage 94.4% with 128 draws and 95.0% with 256; bipolar coverage changed from 91.8% to 93.2%. The median absolute change in the lattice point estimate was 0.0030 W m</w:t>
      </w:r>
      <w:r>
        <w:rPr>
          <w:vertAlign w:val="superscript"/>
        </w:rPr>
        <w:t>−1</w:t>
      </w:r>
      <w:r>
        <w:t xml:space="preserve"> K</w:t>
      </w:r>
      <w:r>
        <w:rPr>
          <w:vertAlign w:val="superscript"/>
        </w:rPr>
        <w:t>−1</w:t>
      </w:r>
      <w:r>
        <w:t>. This finite subset check does not establish convergence for every real curve.</w:t>
      </w:r>
    </w:p>
    <w:p w14:paraId="682D2DDA" w14:textId="77777777" w:rsidR="00B03F2C" w:rsidRDefault="00000000" w:rsidP="002E19BD">
      <w:pPr>
        <w:spacing w:after="120" w:line="480" w:lineRule="auto"/>
        <w:jc w:val="both"/>
      </w:pPr>
      <w:r>
        <w:t>The fit screen counts how many of 48 observed values lie inside the pointwise 2.5th–97.5th percentile bands of latent simulated curves. Containment of at least 0.75 admits a curve. Observation noise is not added. This operational screen is not a calibrated significance test, and omission of noise does not make every downstream conclusion conservative.</w:t>
      </w:r>
    </w:p>
    <w:p w14:paraId="284501A1" w14:textId="6684D0D0" w:rsidR="00B03F2C" w:rsidRDefault="00000000" w:rsidP="002E19BD">
      <w:pPr>
        <w:spacing w:after="120" w:line="480" w:lineRule="auto"/>
        <w:jc w:val="both"/>
      </w:pPr>
      <w:r>
        <w:t xml:space="preserve">Every accepted draw satisfies conditional mobility bounds and maximum </w:t>
      </w:r>
      <m:oMath>
        <m:r>
          <w:rPr>
            <w:rFonts w:ascii="Cambria Math" w:hAnsi="Cambria Math"/>
          </w:rPr>
          <m:t>zT</m:t>
        </m:r>
      </m:oMath>
      <w:r>
        <w:t xml:space="preserve"> ≤ 3.5 on the stated grid. Computationally unscored curves are distinguished from scored exclusions. Neither category alone identifies a physical cause of disagreement.</w:t>
      </w:r>
    </w:p>
    <w:p w14:paraId="7A5C3382" w14:textId="77777777" w:rsidR="00B03F2C" w:rsidRDefault="00000000" w:rsidP="002E19BD">
      <w:pPr>
        <w:spacing w:after="120" w:line="480" w:lineRule="auto"/>
        <w:jc w:val="both"/>
      </w:pPr>
      <w:r>
        <w:t>Main intervals use 2,000 percentile bootstrap resamples of source papers, seed 2024. Only papers represented in the finite reported subset are sampled. All curves of a sampled paper are retained, including multiplicity when it is selected more than once. The estimand is a median over curves, not an equal-paper-weighted median.</w:t>
      </w:r>
    </w:p>
    <w:p w14:paraId="3E310101" w14:textId="77777777" w:rsidR="00B03F2C" w:rsidRDefault="00000000" w:rsidP="002E19BD">
      <w:pPr>
        <w:spacing w:after="120" w:line="480" w:lineRule="auto"/>
        <w:jc w:val="both"/>
      </w:pPr>
      <w:r>
        <w:t xml:space="preserve">These intervals describe variation of posterior summaries across sampled papers, without full within-curve uncertainty. A nested analysis, seed 2025, also selects one matched posterior draw per unique curve in each paper resample. Repeated copies of a curve share that selected draw. Draw-specific non-positive endpoints are omitted from that </w:t>
      </w:r>
      <w:proofErr w:type="spellStart"/>
      <w:r>
        <w:t>resample’s</w:t>
      </w:r>
      <w:proofErr w:type="spellEnd"/>
      <w:r>
        <w:t xml:space="preserve"> logarithmic statistic and their counts are archived; the valid-draw population can therefore differ from the summary-based one.</w:t>
      </w:r>
    </w:p>
    <w:p w14:paraId="79006A16" w14:textId="77777777" w:rsidR="00B03F2C" w:rsidRDefault="00000000" w:rsidP="002E19BD">
      <w:pPr>
        <w:spacing w:after="120" w:line="480" w:lineRule="auto"/>
        <w:jc w:val="both"/>
      </w:pPr>
      <w:r>
        <w:lastRenderedPageBreak/>
        <w:t>For C − B, the nested 95% interval is [−0.184, −0.149], with bootstrap median −0.166; the summary-based estimate is −0.166 [−0.184, −0.151]. A slope of a median curve and a median of draw-specific slopes are distinct nonlinear estimands, not exact reconstructions of one another.</w:t>
      </w:r>
    </w:p>
    <w:p w14:paraId="1FF2CF52" w14:textId="77777777" w:rsidR="00B03F2C" w:rsidRDefault="00000000" w:rsidP="002E19BD">
      <w:pPr>
        <w:spacing w:after="120" w:line="480" w:lineRule="auto"/>
        <w:jc w:val="both"/>
      </w:pPr>
      <w:r>
        <w:t>Headline slopes use the finite-window log slope</w:t>
      </w:r>
    </w:p>
    <w:p w14:paraId="4108440C" w14:textId="77777777" w:rsidR="00B03F2C" w:rsidRDefault="00000000" w:rsidP="002E19BD">
      <w:pPr>
        <w:tabs>
          <w:tab w:val="center" w:pos="4513"/>
          <w:tab w:val="right" w:pos="9026"/>
        </w:tabs>
        <w:spacing w:before="80" w:after="120" w:line="480" w:lineRule="auto"/>
      </w:pPr>
      <w:r>
        <w:tab/>
      </w:r>
      <m:oMath>
        <m:r>
          <m:rPr>
            <m:sty m:val="p"/>
          </m:rPr>
          <w:rPr>
            <w:rFonts w:ascii="Cambria Math" w:hAnsi="Cambria Math"/>
          </w:rPr>
          <m:t>slope=</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(750 K)/</m:t>
            </m:r>
            <m:sSub>
              <m:sSubPr>
                <m:ctrlPr>
                  <w:rPr>
                    <w:rFonts w:ascii="Cambria Math" w:hAnsi="Cambria Math"/>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(400 K)]</m:t>
            </m:r>
          </m:num>
          <m:den>
            <m:r>
              <m:rPr>
                <m:sty m:val="p"/>
              </m:rPr>
              <w:rPr>
                <w:rFonts w:ascii="Cambria Math" w:hAnsi="Cambria Math"/>
              </w:rPr>
              <m:t>ln(750/400)</m:t>
            </m:r>
          </m:den>
        </m:f>
      </m:oMath>
      <w:r>
        <w:tab/>
        <w:t>(5)</w:t>
      </w:r>
    </w:p>
    <w:p w14:paraId="7527503B" w14:textId="77777777" w:rsidR="00B03F2C" w:rsidRDefault="00000000" w:rsidP="002E19BD">
      <w:pPr>
        <w:spacing w:after="120" w:line="480" w:lineRule="auto"/>
        <w:jc w:val="both"/>
      </w:pPr>
      <w:r>
        <w:t>for each estimate X. Of 4,273 admitted curves spanning 400–750 K, 4,248 have positive finite endpoints for all four estimates (1,216 papers). The remaining 25 are excluded from logarithmic comparisons rather than floored. Counts for other analyses are stated separately.</w:t>
      </w:r>
    </w:p>
    <w:p w14:paraId="003DD967" w14:textId="77777777" w:rsidR="00B03F2C" w:rsidRDefault="00000000" w:rsidP="002E19BD">
      <w:pPr>
        <w:pStyle w:val="Heading2"/>
        <w:spacing w:line="480" w:lineRule="auto"/>
      </w:pPr>
      <w:r>
        <w:t>2.7 Extended carrier and thermal models</w:t>
      </w:r>
    </w:p>
    <w:p w14:paraId="5FCA0288" w14:textId="050754CB" w:rsidR="00B03F2C" w:rsidRDefault="00000000" w:rsidP="002E19BD">
      <w:pPr>
        <w:spacing w:after="120" w:line="480" w:lineRule="auto"/>
        <w:jc w:val="both"/>
      </w:pPr>
      <w:r>
        <w:t xml:space="preserve">Five extended models relax the reference restrictions. The carrier extensions are motivated by the sensitivity of bipolar transport to the separate carrier conductivities and mobilities </w:t>
      </w:r>
      <w:r w:rsidR="001C2327">
        <w:fldChar w:fldCharType="begin"/>
      </w:r>
      <w:r w:rsidR="001C2327">
        <w:instrText xml:space="preserve"> ADDIN ZOTERO_ITEM CSL_CITATION {"citationID":"UvbOATlP","properties":{"unsorted":false,"formattedCitation":"\\super 3\\nosupersub{}","plainCitation":"3","noteIndex":0},"citationItems":[{"id":4774,"uris":["http://zotero.org/groups/6712166/items/H46DZ9EA"],"itemData":{"id":4774,"type":"article-journal","abstract":"Abstract\n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schema":"https://github.com/citation-style-language/schema/raw/master/csl-citation.json"} </w:instrText>
      </w:r>
      <w:r w:rsidR="001C2327">
        <w:fldChar w:fldCharType="separate"/>
      </w:r>
      <w:r w:rsidR="001C2327" w:rsidRPr="001C2327">
        <w:rPr>
          <w:vertAlign w:val="superscript"/>
        </w:rPr>
        <w:t>3</w:t>
      </w:r>
      <w:r w:rsidR="001C2327">
        <w:fldChar w:fldCharType="end"/>
      </w:r>
      <w:r>
        <w:t xml:space="preserve">. In the </w:t>
      </w:r>
      <w:r w:rsidRPr="002E19BD">
        <w:t>independent-band</w:t>
      </w:r>
      <w:r>
        <w:t xml:space="preserve"> variants, the minority band receives its own temperature exponent</w:t>
      </w:r>
      <w:r w:rsidR="002E19BD">
        <w:rPr>
          <w:vertAlign w:val="subscript"/>
        </w:rPr>
        <w:t xml:space="preserve"> </w:t>
      </w:r>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μ,min</m:t>
            </m:r>
          </m:sub>
        </m:sSub>
      </m:oMath>
      <w:r>
        <w:t xml:space="preserve">, uniform on [−3.5, 2], and scattering exponent </w:t>
      </w:r>
      <m:oMath>
        <m:sSub>
          <m:sSubPr>
            <m:ctrlPr>
              <w:rPr>
                <w:rFonts w:ascii="Cambria Math" w:hAnsi="Cambria Math"/>
                <w:i/>
              </w:rPr>
            </m:ctrlPr>
          </m:sSubPr>
          <m:e>
            <m:r>
              <w:rPr>
                <w:rFonts w:ascii="Cambria Math" w:hAnsi="Cambria Math"/>
              </w:rPr>
              <m:t>r</m:t>
            </m:r>
          </m:e>
          <m:sub>
            <m:r>
              <w:rPr>
                <w:rFonts w:ascii="Cambria Math" w:hAnsi="Cambria Math"/>
              </w:rPr>
              <m:t>min</m:t>
            </m:r>
          </m:sub>
        </m:sSub>
      </m:oMath>
      <w:r>
        <w:t xml:space="preserve">, uniform on [−1, 2], which enter both its mobility (equation 1) and its transport integrals. </w:t>
      </w:r>
      <m:oMath>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vertAlign w:val="subscript"/>
              </w:rPr>
              <m:t>10</m:t>
            </m:r>
          </m:sub>
        </m:sSub>
      </m:oMath>
      <w:r>
        <w:t xml:space="preserve"> of the minority-to-majority non-degenerate 300 K mobility-prefactor ratio is uniform on [−1, 1]; the majority prefactor keeps the doping-dependent prior. The prefactor ratio is not a fixed ratio of actual mobilities at all temperatures. The reference model is recovered when the ratio is one and the exponents match, and this nesting was checked numerically, including on the released mobility-ratio stress cases.</w:t>
      </w:r>
    </w:p>
    <w:p w14:paraId="63D00B80" w14:textId="170E8758" w:rsidR="00B03F2C" w:rsidRDefault="00000000" w:rsidP="002E19BD">
      <w:pPr>
        <w:spacing w:after="120" w:line="480" w:lineRule="auto"/>
        <w:jc w:val="both"/>
      </w:pPr>
      <w:r>
        <w:t xml:space="preserve">The </w:t>
      </w:r>
      <w:r w:rsidR="002E19BD" w:rsidRPr="002E19BD">
        <w:rPr>
          <w:b/>
          <w:bCs/>
          <w:iCs/>
        </w:rPr>
        <w:t>rising-channel</w:t>
      </w:r>
      <w:r>
        <w:t xml:space="preserve"> variants keep the reference lattice form and add a distinct contribution</w:t>
      </w:r>
    </w:p>
    <w:p w14:paraId="3F560B89" w14:textId="77777777" w:rsidR="00B03F2C" w:rsidRDefault="00000000" w:rsidP="002E19BD">
      <w:pPr>
        <w:tabs>
          <w:tab w:val="center" w:pos="4513"/>
          <w:tab w:val="right" w:pos="9026"/>
        </w:tabs>
        <w:spacing w:before="80" w:after="120" w:line="480" w:lineRule="auto"/>
      </w:pPr>
      <w:r>
        <w:tab/>
      </w:r>
      <m:oMath>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bip</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m:rPr>
                <m:sty m:val="p"/>
              </m:rPr>
              <w:rPr>
                <w:rFonts w:ascii="Cambria Math" w:hAnsi="Cambria Math"/>
              </w:rPr>
              <m:t>extra</m:t>
            </m:r>
          </m:sub>
        </m:sSub>
        <m:r>
          <m:rPr>
            <m:sty m:val="p"/>
          </m:rPr>
          <w:rPr>
            <w:rFonts w:ascii="Cambria Math" w:hAnsi="Cambria Math"/>
          </w:rPr>
          <m:t>, </m:t>
        </m:r>
        <m:sSub>
          <m:sSubPr>
            <m:ctrlPr>
              <w:rPr>
                <w:rFonts w:ascii="Cambria Math" w:hAnsi="Cambria Math"/>
              </w:rPr>
            </m:ctrlPr>
          </m:sSubPr>
          <m:e>
            <m:r>
              <w:rPr>
                <w:rFonts w:ascii="Cambria Math" w:hAnsi="Cambria Math"/>
              </w:rPr>
              <m:t>κ</m:t>
            </m:r>
          </m:e>
          <m:sub>
            <m:r>
              <m:rPr>
                <m:sty m:val="p"/>
              </m:rPr>
              <w:rPr>
                <w:rFonts w:ascii="Cambria Math" w:hAnsi="Cambria Math"/>
              </w:rPr>
              <m:t>extra</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rPr>
                  <m:t>T</m:t>
                </m:r>
              </m:num>
              <m:den>
                <m:r>
                  <m:rPr>
                    <m:sty m:val="p"/>
                  </m:rPr>
                  <w:rPr>
                    <w:rFonts w:ascii="Cambria Math" w:hAnsi="Cambria Math"/>
                  </w:rPr>
                  <m:t>300 K</m:t>
                </m:r>
              </m:den>
            </m:f>
            <m:r>
              <m:rPr>
                <m:sty m:val="p"/>
              </m:rPr>
              <w:rPr>
                <w:rFonts w:ascii="Cambria Math" w:hAnsi="Cambria Math"/>
              </w:rPr>
              <m:t>)</m:t>
            </m:r>
          </m:e>
          <m:sup>
            <m:r>
              <m:rPr>
                <m:sty m:val="p"/>
              </m:rPr>
              <w:rPr>
                <w:rFonts w:ascii="Cambria Math" w:hAnsi="Cambria Math"/>
              </w:rPr>
              <m:t>3</m:t>
            </m:r>
          </m:sup>
        </m:sSup>
      </m:oMath>
      <w:r>
        <w:tab/>
        <w:t>(6)</w:t>
      </w:r>
    </w:p>
    <w:p w14:paraId="63055F09" w14:textId="6B0BF85C" w:rsidR="00B03F2C" w:rsidRDefault="00000000" w:rsidP="002E19BD">
      <w:pPr>
        <w:spacing w:after="120" w:line="480" w:lineRule="auto"/>
        <w:jc w:val="both"/>
      </w:pPr>
      <w:r>
        <w:t xml:space="preserve">with </w:t>
      </w:r>
      <w:r>
        <w:rPr>
          <w:i/>
          <w:iCs/>
        </w:rPr>
        <w:t>B</w:t>
      </w:r>
      <w:r>
        <w:t xml:space="preserve"> uniform on [0, 0.05] W m</w:t>
      </w:r>
      <w:r>
        <w:rPr>
          <w:vertAlign w:val="superscript"/>
        </w:rPr>
        <w:t>−1</w:t>
      </w:r>
      <w:r>
        <w:t xml:space="preserve"> K</w:t>
      </w:r>
      <w:r>
        <w:rPr>
          <w:vertAlign w:val="superscript"/>
        </w:rPr>
        <w:t>−1</w:t>
      </w:r>
      <w:r>
        <w:t xml:space="preserve">, so </w:t>
      </w:r>
      <m:oMath>
        <m:sSub>
          <m:sSubPr>
            <m:ctrlPr>
              <w:rPr>
                <w:rFonts w:ascii="Cambria Math" w:hAnsi="Cambria Math"/>
                <w:i/>
              </w:rPr>
            </m:ctrlPr>
          </m:sSubPr>
          <m:e>
            <m:r>
              <w:rPr>
                <w:rFonts w:ascii="Cambria Math" w:hAnsi="Cambria Math"/>
              </w:rPr>
              <m:t>κ</m:t>
            </m:r>
          </m:e>
          <m:sub>
            <m:r>
              <w:rPr>
                <w:rFonts w:ascii="Cambria Math" w:hAnsi="Cambria Math"/>
                <w:vertAlign w:val="subscript"/>
              </w:rPr>
              <m:t>extra</m:t>
            </m:r>
          </m:sub>
        </m:sSub>
      </m:oMath>
      <w:r>
        <w:t xml:space="preserve"> is at most 0.78125 W m</w:t>
      </w:r>
      <w:r>
        <w:rPr>
          <w:vertAlign w:val="superscript"/>
        </w:rPr>
        <w:t>−1</w:t>
      </w:r>
      <w:r>
        <w:t xml:space="preserve"> K</w:t>
      </w:r>
      <w:r>
        <w:rPr>
          <w:vertAlign w:val="superscript"/>
        </w:rPr>
        <w:t>−1</w:t>
      </w:r>
      <w:r>
        <w:t xml:space="preserve"> at 750 K. The extra term is not identified as phonon or radiative heat; the cubic shape is a chosen hypothesis. Because </w:t>
      </w:r>
      <w:r>
        <w:rPr>
          <w:i/>
          <w:iCs/>
        </w:rPr>
        <w:t>B</w:t>
      </w:r>
      <w:r>
        <w:t xml:space="preserve"> has a continuous non-negative prior, its posterior positivity is not evidence that a separate mechanism exists. In this family the lattice term itself remains non-increasing.</w:t>
      </w:r>
    </w:p>
    <w:p w14:paraId="601BB50F" w14:textId="1D940C56" w:rsidR="00B03F2C" w:rsidRDefault="00000000" w:rsidP="002E19BD">
      <w:pPr>
        <w:spacing w:after="120" w:line="480" w:lineRule="auto"/>
        <w:jc w:val="both"/>
      </w:pPr>
      <w:r>
        <w:lastRenderedPageBreak/>
        <w:t xml:space="preserve">The </w:t>
      </w:r>
      <w:r w:rsidRPr="002E19BD">
        <w:rPr>
          <w:b/>
          <w:bCs/>
        </w:rPr>
        <w:t>flexible-lattice</w:t>
      </w:r>
      <w:r>
        <w:t xml:space="preserve"> variants replace equation 2’s lattice term by a positive monotonicity-preserving piecewise cubic Hermite interpolant (PCHIP)</w:t>
      </w:r>
      <w:r w:rsidR="001C2327">
        <w:fldChar w:fldCharType="begin"/>
      </w:r>
      <w:r w:rsidR="007A414E">
        <w:instrText xml:space="preserve"> ADDIN ZOTERO_ITEM CSL_CITATION {"citationID":"PjRSaXV0","properties":{"unsorted":false,"formattedCitation":"\\super 20\\nosupersub{}","plainCitation":"20","noteIndex":0},"citationItems":[{"id":4796,"uris":["http://zotero.org/groups/6712166/items/Q3NMZRAK"],"itemData":{"id":4796,"type":"article-journal","abstract":"A method is described for producing monotone piecewise cubic interpolants to monotone data which is completely local and which is extremely simple to implement.","container-title":"SIAM Journal on Scientific and Statistical Computing","DOI":"10.1137/0905021","ISSN":"0196-5204, 2168-3417","issue":"2","journalAbbreviation":"SIAM J. Sci. and Stat. Comput.","language":"en","page":"300-304","source":"DOI.org (Crossref)","title":"A Method for Constructing Local Monotone Piecewise Cubic Interpolants","volume":"5","author":[{"family":"Fritsch","given":"F. N."},{"family":"Butland","given":"J."}],"issued":{"date-parts":[["1984",6]]}}}],"schema":"https://github.com/citation-style-language/schema/raw/master/csl-citation.json"} </w:instrText>
      </w:r>
      <w:r w:rsidR="001C2327">
        <w:fldChar w:fldCharType="separate"/>
      </w:r>
      <w:r w:rsidR="007A414E" w:rsidRPr="007A414E">
        <w:rPr>
          <w:vertAlign w:val="superscript"/>
        </w:rPr>
        <w:t>20</w:t>
      </w:r>
      <w:r w:rsidR="001C2327">
        <w:fldChar w:fldCharType="end"/>
      </w:r>
      <w:r>
        <w:t xml:space="preserve">  in log conductivity versus log temperature,</w:t>
      </w:r>
    </w:p>
    <w:p w14:paraId="21FDE3A8" w14:textId="77777777" w:rsidR="00B03F2C" w:rsidRDefault="00000000" w:rsidP="002E19BD">
      <w:pPr>
        <w:tabs>
          <w:tab w:val="center" w:pos="4513"/>
          <w:tab w:val="right" w:pos="9026"/>
        </w:tabs>
        <w:spacing w:before="80" w:after="120" w:line="480" w:lineRule="auto"/>
      </w:pPr>
      <w:r>
        <w:tab/>
      </w:r>
      <m:oMath>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sSub>
          <m:sSubPr>
            <m:ctrlPr>
              <w:rPr>
                <w:rFonts w:ascii="Cambria Math" w:hAnsi="Cambria Math"/>
              </w:rPr>
            </m:ctrlPr>
          </m:sSubPr>
          <m:e>
            <m:r>
              <w:rPr>
                <w:rFonts w:ascii="Cambria Math" w:hAnsi="Cambria Math"/>
              </w:rPr>
              <m:t>κ</m:t>
            </m:r>
          </m:e>
          <m:sub>
            <m:r>
              <m:rPr>
                <m:sty m:val="p"/>
              </m:rP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 xml:space="preserve">(ln </m:t>
        </m:r>
        <m:r>
          <w:rPr>
            <w:rFonts w:ascii="Cambria Math" w:hAnsi="Cambria Math"/>
          </w:rPr>
          <m:t>T</m:t>
        </m:r>
        <m:r>
          <m:rPr>
            <m:sty m:val="p"/>
          </m:rPr>
          <w:rPr>
            <w:rFonts w:ascii="Cambria Math" w:hAnsi="Cambria Math"/>
          </w:rPr>
          <m:t>), </m:t>
        </m:r>
        <m:r>
          <w:rPr>
            <w:rFonts w:ascii="Cambria Math" w:hAnsi="Cambria Math"/>
          </w:rPr>
          <m:t>g</m:t>
        </m:r>
        <m:r>
          <m:rPr>
            <m:sty m:val="p"/>
          </m:rPr>
          <w:rPr>
            <w:rFonts w:ascii="Cambria Math" w:hAnsi="Cambria Math"/>
          </w:rPr>
          <m:t xml:space="preserve">(ln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, </m:t>
        </m:r>
        <m:r>
          <w:rPr>
            <w:rFonts w:ascii="Cambria Math" w:hAnsi="Cambria Math"/>
          </w:rPr>
          <m:t>k</m:t>
        </m:r>
        <m:r>
          <m:rPr>
            <m:sty m:val="p"/>
          </m:rPr>
          <w:rPr>
            <w:rFonts w:ascii="Cambria Math" w:hAnsi="Cambria Math"/>
          </w:rPr>
          <m:t>=1,…,6</m:t>
        </m:r>
      </m:oMath>
      <w:r>
        <w:tab/>
        <w:t>(7)</w:t>
      </w:r>
    </w:p>
    <w:p w14:paraId="24136A64" w14:textId="40BCE30E" w:rsidR="00B03F2C" w:rsidRDefault="00000000" w:rsidP="002E19BD">
      <w:pPr>
        <w:spacing w:after="120" w:line="480" w:lineRule="auto"/>
        <w:jc w:val="both"/>
      </w:pPr>
      <w:r>
        <w:t xml:space="preserve">with nodes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k</m:t>
            </m:r>
          </m:sub>
        </m:sSub>
      </m:oMath>
      <w:r>
        <w:t xml:space="preserve"> = 285, 400, 550, 750, 1000 and 1250 K and node values </w:t>
      </w:r>
      <m:oMath>
        <m:sSub>
          <m:sSubPr>
            <m:ctrlPr>
              <w:rPr>
                <w:rFonts w:ascii="Cambria Math" w:hAnsi="Cambria Math"/>
                <w:i/>
                <w:iCs/>
              </w:rPr>
            </m:ctrlPr>
          </m:sSubPr>
          <m:e>
            <m:r>
              <w:rPr>
                <w:rFonts w:ascii="Cambria Math" w:hAnsi="Cambria Math"/>
              </w:rPr>
              <m:t>g</m:t>
            </m:r>
          </m:e>
          <m:sub>
            <m:r>
              <w:rPr>
                <w:rFonts w:ascii="Cambria Math" w:hAnsi="Cambria Math"/>
                <w:vertAlign w:val="subscript"/>
              </w:rPr>
              <m:t>k</m:t>
            </m:r>
          </m:sub>
        </m:sSub>
      </m:oMath>
      <w:r>
        <w:t xml:space="preserve"> independently uniform on [−3, 2] (0.001–100 W m</w:t>
      </w:r>
      <w:r>
        <w:rPr>
          <w:vertAlign w:val="superscript"/>
        </w:rPr>
        <w:t>−1</w:t>
      </w:r>
      <w:r>
        <w:t xml:space="preserve"> K</w:t>
      </w:r>
      <w:r>
        <w:rPr>
          <w:vertAlign w:val="superscript"/>
        </w:rPr>
        <w:t>−1</w:t>
      </w:r>
      <w:r>
        <w:t>). This permits increasing, decreasing and turning lattice curves while guaranteeing positivity. It does not exactly nest the floor-plus-power-law family, and knot placement and the broad independent-node prior are assumptions. The support was widened after inspecting the inherited benchmarks: 44 of 1,000 narrow-gap upturn curves exceeded an initial upper bound of 30 W m</w:t>
      </w:r>
      <w:r>
        <w:rPr>
          <w:vertAlign w:val="superscript"/>
        </w:rPr>
        <w:t>−1</w:t>
      </w:r>
      <w:r>
        <w:t xml:space="preserve"> K</w:t>
      </w:r>
      <w:r>
        <w:rPr>
          <w:vertAlign w:val="superscript"/>
        </w:rPr>
        <w:t>−1</w:t>
      </w:r>
      <w:r>
        <w:t>, and two of 6,000 base test curves fell below an initial lower bound of 0.01 W m</w:t>
      </w:r>
      <w:r>
        <w:rPr>
          <w:vertAlign w:val="superscript"/>
        </w:rPr>
        <w:t>−1</w:t>
      </w:r>
      <w:r>
        <w:t xml:space="preserve"> K</w:t>
      </w:r>
      <w:r>
        <w:rPr>
          <w:vertAlign w:val="superscript"/>
        </w:rPr>
        <w:t>−1</w:t>
      </w:r>
      <w:r>
        <w:t>. The inherited stress sets are therefore development benchmarks rather than untouched tests of model choice; the narrower-prior run is archived separately and excluded from all tables.</w:t>
      </w:r>
    </w:p>
    <w:p w14:paraId="17E54750" w14:textId="2AF15C08" w:rsidR="00B03F2C" w:rsidRDefault="00000000" w:rsidP="002E19BD">
      <w:pPr>
        <w:spacing w:after="120" w:line="480" w:lineRule="auto"/>
        <w:jc w:val="both"/>
      </w:pPr>
      <w:r>
        <w:t>The five variants are independent bands (</w:t>
      </w:r>
      <m:oMath>
        <m:r>
          <w:rPr>
            <w:rFonts w:ascii="Cambria Math" w:hAnsi="Cambria Math"/>
          </w:rPr>
          <m:t>D</m:t>
        </m:r>
      </m:oMath>
      <w:r>
        <w:t xml:space="preserve"> = 13), rising channel (11), flexible lattice (13), independent bands with a rising channel (14), and independent bands with a flexible lattice (16); the reference model has 10 continuous parameters. All other prior components, the observation model and the peak-</w:t>
      </w:r>
      <w:proofErr w:type="spellStart"/>
      <w:r>
        <w:rPr>
          <w:i/>
          <w:iCs/>
        </w:rPr>
        <w:t>zT</w:t>
      </w:r>
      <w:proofErr w:type="spellEnd"/>
      <w:r>
        <w:t xml:space="preserve"> restriction are unchanged. The variants differ in dimension, prior range and attribution as well as in physical hypothesis, so performance differences cannot be ascribed to one mechanism independently of these choices.</w:t>
      </w:r>
    </w:p>
    <w:p w14:paraId="51ED7864" w14:textId="77777777" w:rsidR="00B03F2C" w:rsidRDefault="00000000" w:rsidP="002E19BD">
      <w:pPr>
        <w:pStyle w:val="Heading2"/>
        <w:spacing w:line="480" w:lineRule="auto"/>
      </w:pPr>
      <w:r>
        <w:t>2.8 Extended-model training, testing and comparison populations</w:t>
      </w:r>
    </w:p>
    <w:p w14:paraId="1E30743D" w14:textId="77777777" w:rsidR="00B03F2C" w:rsidRDefault="00000000" w:rsidP="002E19BD">
      <w:pPr>
        <w:spacing w:after="120" w:line="480" w:lineRule="auto"/>
        <w:jc w:val="both"/>
      </w:pPr>
      <w:r>
        <w:t xml:space="preserve">Each variant is trained exactly as the reference model (Section 2.4), with the dimension-adjusted precision head, 588,000 training and 12,000 validation simulations, and the same split, optimiser and </w:t>
      </w:r>
      <w:proofErr w:type="gramStart"/>
      <w:r>
        <w:t>early-stopping</w:t>
      </w:r>
      <w:proofErr w:type="gramEnd"/>
      <w:r>
        <w:t xml:space="preserve"> rule. Training seeds are 6101, 6111, 6121, 6131, 6141 in the order above; runs completed 178–900 epochs (Supplementary Table 1, Supplementary Fig. 1). Only one training seed per variant was evaluated, and reaching the epoch cap is not a convergence certificate. Validation NLL values are not comparable across targets of different dimension. The reference checkpoint is not retrained; its archived inference arrays are the comparator.</w:t>
      </w:r>
    </w:p>
    <w:p w14:paraId="43E80ED1" w14:textId="77777777" w:rsidR="00B03F2C" w:rsidRDefault="00000000" w:rsidP="002E19BD">
      <w:pPr>
        <w:spacing w:after="120" w:line="480" w:lineRule="auto"/>
        <w:jc w:val="both"/>
      </w:pPr>
      <w:r>
        <w:lastRenderedPageBreak/>
        <w:t>Each variant is tested on 6,000 new independently seeded simulations from its own prior. Shared stress sets assess selected departures: a 1,000-curve narrow-gap set (gaps 0.10–0.50 eV) with increasing true lattice conductivity; a matching narrow-gap control with decreasing lattice conductivity; the inherited minority mobility-prefactor sets at ratios 0.1 and 10; the inherited wide-gap upturn set (seed 2004, gaps 1.5–3.55 eV); and two 1,000-curve narrow-gap transfer sets generated from the independent-band rising-channel and independent-band flexible-lattice models and inferred by all six estimators with a common seed of 7300. Pointwise coverage is conditional on scored curves; unscored and admitted counts are reported explicitly. Common-case comparisons use the curves scored by every model, and slope errors use the further subset admitted by every model with finite endpoints.</w:t>
      </w:r>
    </w:p>
    <w:p w14:paraId="388D4CC8" w14:textId="45FB08C4" w:rsidR="00B03F2C" w:rsidRDefault="00000000" w:rsidP="002E19BD">
      <w:pPr>
        <w:spacing w:after="120" w:line="480" w:lineRule="auto"/>
        <w:jc w:val="both"/>
      </w:pPr>
      <w:r>
        <w:t xml:space="preserve">On the corpus, each model produces A, B and C as defined in Section 3.2, together with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 xml:space="preserve"> = </w:t>
      </w:r>
      <m:oMath>
        <m:r>
          <w:rPr>
            <w:rFonts w:ascii="Cambria Math" w:hAnsi="Cambria Math"/>
          </w:rPr>
          <m:t xml:space="preserve">B - </m:t>
        </m:r>
        <m:r>
          <m:rPr>
            <m:sty m:val="p"/>
          </m:rPr>
          <w:rPr>
            <w:rFonts w:ascii="Cambria Math" w:hAnsi="Cambria Math"/>
          </w:rPr>
          <m:t>median</m:t>
        </m:r>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vertAlign w:val="subscript"/>
          </w:rPr>
          <m:t>)</m:t>
        </m:r>
      </m:oMath>
      <w:r>
        <w:t xml:space="preserve"> and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all</m:t>
            </m:r>
          </m:sub>
          <m:sup>
            <m:r>
              <w:rPr>
                <w:rFonts w:ascii="Cambria Math" w:hAnsi="Cambria Math"/>
              </w:rPr>
              <m:t>'</m:t>
            </m:r>
          </m:sup>
        </m:sSubSup>
      </m:oMath>
      <w:r>
        <w:t xml:space="preserve">, which also subtracts median </w:t>
      </w:r>
      <m:oMath>
        <m:sSub>
          <m:sSubPr>
            <m:ctrlPr>
              <w:rPr>
                <w:rFonts w:ascii="Cambria Math" w:hAnsi="Cambria Math"/>
                <w:i/>
              </w:rPr>
            </m:ctrlPr>
          </m:sSubPr>
          <m:e>
            <m:r>
              <w:rPr>
                <w:rFonts w:ascii="Cambria Math" w:hAnsi="Cambria Math"/>
              </w:rPr>
              <m:t>κ</m:t>
            </m:r>
          </m:e>
          <m:sub>
            <m:r>
              <w:rPr>
                <w:rFonts w:ascii="Cambria Math" w:hAnsi="Cambria Math"/>
                <w:vertAlign w:val="subscript"/>
              </w:rPr>
              <m:t>extra</m:t>
            </m:r>
          </m:sub>
        </m:sSub>
      </m:oMath>
      <w:r>
        <w:t xml:space="preserve">. Three populations are compared: the </w:t>
      </w:r>
      <w:r w:rsidRPr="002E19BD">
        <w:rPr>
          <w:b/>
          <w:bCs/>
        </w:rPr>
        <w:t xml:space="preserve">native </w:t>
      </w:r>
      <w:r>
        <w:t xml:space="preserve">set of each model (admission and five positive finite endpoints); the </w:t>
      </w:r>
      <w:r w:rsidRPr="002E19BD">
        <w:rPr>
          <w:b/>
          <w:bCs/>
        </w:rPr>
        <w:t>baseline-common</w:t>
      </w:r>
      <w:r>
        <w:t xml:space="preserve"> set, which additionally requires reference admission and finite reference estimates; and the </w:t>
      </w:r>
      <w:r>
        <w:rPr>
          <w:i/>
          <w:iCs/>
        </w:rPr>
        <w:t>all-model-</w:t>
      </w:r>
      <w:r w:rsidRPr="002E19BD">
        <w:rPr>
          <w:b/>
          <w:bCs/>
        </w:rPr>
        <w:t>common</w:t>
      </w:r>
      <w:r>
        <w:t xml:space="preserve"> set, which requires admission and finite estimates in all six models. The paired change subtracts the reference C − B curve by curve on the same population. Intervals use the same 2,000-resample paper-clustered bootstrap and do not integrate over physical-model choice.</w:t>
      </w:r>
    </w:p>
    <w:p w14:paraId="1FC75ADE" w14:textId="77777777" w:rsidR="00B03F2C" w:rsidRDefault="00000000" w:rsidP="00416240">
      <w:pPr>
        <w:pStyle w:val="Heading2"/>
        <w:spacing w:line="480" w:lineRule="auto"/>
      </w:pPr>
      <w:r>
        <w:t>2.9 Source consistency and ancillary transport data</w:t>
      </w:r>
    </w:p>
    <w:p w14:paraId="3DF5B1B1" w14:textId="77777777" w:rsidR="00B03F2C" w:rsidRDefault="00000000" w:rsidP="00416240">
      <w:pPr>
        <w:spacing w:line="480" w:lineRule="auto"/>
      </w:pPr>
      <w:r>
        <w:t>Source verification is applied before model-specific screening. The final observation matrix and each model’s retained posterior arrays share the same row order, with immutable file hashes and source-paper/sample identities. Accepted records reproduce all three measured channels within the tolerances in Section 2.1; the quality criteria and reproduction conventions are summarised in Supplementary Table 31. The cohort is not a random sample of materials, and verification of digitised values does not establish experimental accuracy or validate inherited family labels.</w:t>
      </w:r>
    </w:p>
    <w:p w14:paraId="15AEB23D" w14:textId="388D292A" w:rsidR="00B03F2C" w:rsidRDefault="00000000" w:rsidP="00416240">
      <w:pPr>
        <w:spacing w:line="480" w:lineRule="auto"/>
      </w:pPr>
      <w:r>
        <w:t xml:space="preserve">We also join auxiliary curves by source paper and sample. Supplementary Table 32 reports their availability in the analysed cohort. Power factor and </w:t>
      </w:r>
      <m:oMath>
        <m:r>
          <w:rPr>
            <w:rFonts w:ascii="Cambria Math" w:hAnsi="Cambria Math"/>
          </w:rPr>
          <m:t>zT</m:t>
        </m:r>
      </m:oMath>
      <w:r>
        <w:t xml:space="preserve"> provide internal consistency checks against </w:t>
      </w:r>
      <m:oMath>
        <m:r>
          <w:rPr>
            <w:rFonts w:ascii="Cambria Math" w:hAnsi="Cambria Math"/>
          </w:rPr>
          <m:t>S²σ</m:t>
        </m:r>
      </m:oMath>
      <w:r>
        <w:t xml:space="preserve"> and </w:t>
      </w:r>
      <m:oMath>
        <m:r>
          <w:rPr>
            <w:rFonts w:ascii="Cambria Math" w:hAnsi="Cambria Math"/>
          </w:rPr>
          <m:t>S²σT/κ</m:t>
        </m:r>
      </m:oMath>
      <w:r>
        <w:t xml:space="preserve">, respectively. Comparisons require at least five overlapping grid points and </w:t>
      </w:r>
      <w:r>
        <w:lastRenderedPageBreak/>
        <w:t>canonical SI units. For multiple auxiliary curves, all candidates are retained and the summary uses the smallest per-curve median symmetric relative difference. A difference above 20% is a descriptive review flag, not an automatic exclusion. These derived quantities reuse the fitted transport measurements and do not provide independent validation of the thermal decomposition (Supplementary Table 33).</w:t>
      </w:r>
    </w:p>
    <w:p w14:paraId="69F886F4" w14:textId="77777777" w:rsidR="00B03F2C" w:rsidRDefault="00000000" w:rsidP="00416240">
      <w:pPr>
        <w:pStyle w:val="Heading1"/>
        <w:spacing w:line="480" w:lineRule="auto"/>
      </w:pPr>
      <w:r>
        <w:t>3. Results</w:t>
      </w:r>
    </w:p>
    <w:p w14:paraId="7E5E32B3" w14:textId="77777777" w:rsidR="00B03F2C" w:rsidRDefault="00000000" w:rsidP="00416240">
      <w:pPr>
        <w:pStyle w:val="Heading2"/>
        <w:spacing w:line="480" w:lineRule="auto"/>
      </w:pPr>
      <w:r>
        <w:t>3.1 Operational fit screen</w:t>
      </w:r>
    </w:p>
    <w:p w14:paraId="7ECC0B16" w14:textId="77777777" w:rsidR="00B03F2C" w:rsidRDefault="00000000" w:rsidP="00416240">
      <w:pPr>
        <w:spacing w:after="120" w:line="480" w:lineRule="auto"/>
        <w:jc w:val="both"/>
      </w:pPr>
      <w:r>
        <w:t xml:space="preserve">The corpus contains 13,031 </w:t>
      </w:r>
      <w:proofErr w:type="gramStart"/>
      <w:r>
        <w:t>eligible</w:t>
      </w:r>
      <w:proofErr w:type="gramEnd"/>
      <w:r>
        <w:t>, 10,138 scored and 7,251 admitted curves under the reference model; 4,248 enter the finite paired slope comparison. Admitted curves come from 2,037 papers.</w:t>
      </w:r>
    </w:p>
    <w:p w14:paraId="74D25A2D" w14:textId="77777777" w:rsidR="00B03F2C" w:rsidRDefault="00000000" w:rsidP="00416240">
      <w:pPr>
        <w:spacing w:after="120" w:line="480" w:lineRule="auto"/>
        <w:jc w:val="both"/>
      </w:pPr>
      <w:r>
        <w:t>There are 2,893 unscored curves and 2,887 scored exclusions. Low retained-draw counts can reflect prior mismatch or approximation limits; screen failure can reflect observation error or forward-model mismatch. Neither is a diagnosis of multi-band transport.</w:t>
      </w:r>
    </w:p>
    <w:p w14:paraId="44DA750C" w14:textId="77777777" w:rsidR="00B03F2C" w:rsidRDefault="00000000" w:rsidP="00416240">
      <w:pPr>
        <w:spacing w:after="120" w:line="480" w:lineRule="auto"/>
        <w:jc w:val="both"/>
      </w:pPr>
      <w:r>
        <w:t>Selection on total containment necessarily increases containment within the admitted group. Supplementary Table 19 is therefore descriptive, not independent evidence of calibration.</w:t>
      </w:r>
    </w:p>
    <w:p w14:paraId="0BC91B37" w14:textId="77777777" w:rsidR="00B03F2C" w:rsidRDefault="00000000" w:rsidP="00416240">
      <w:pPr>
        <w:spacing w:after="120" w:line="480" w:lineRule="auto"/>
        <w:jc w:val="both"/>
      </w:pPr>
      <w:r>
        <w:t>Figure 1 reports outcomes by measurement ceiling among scored curves. Bins differ in composition, data quality and window coverage, so rates do not isolate the effect of temperature on physical validity.</w:t>
      </w:r>
    </w:p>
    <w:p w14:paraId="3D25B5E4" w14:textId="77777777" w:rsidR="00B03F2C" w:rsidRDefault="00000000">
      <w:pPr>
        <w:keepNext/>
        <w:spacing w:before="160" w:after="60"/>
        <w:jc w:val="center"/>
      </w:pPr>
      <w:r>
        <w:rPr>
          <w:noProof/>
        </w:rPr>
        <w:drawing>
          <wp:inline distT="0" distB="0" distL="0" distR="0" wp14:anchorId="4D477152" wp14:editId="48D32829">
            <wp:extent cx="5734050" cy="2162175"/>
            <wp:effectExtent l="0" t="0" r="0" b="0"/>
            <wp:docPr id="1" name="figure1_fit_screen" descr="figure1_fit_screen" title="figure1_fit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162175"/>
                    </a:xfrm>
                    <a:prstGeom prst="rect">
                      <a:avLst/>
                    </a:prstGeom>
                  </pic:spPr>
                </pic:pic>
              </a:graphicData>
            </a:graphic>
          </wp:inline>
        </w:drawing>
      </w:r>
    </w:p>
    <w:p w14:paraId="6ABFCC69" w14:textId="77777777" w:rsidR="00B03F2C" w:rsidRDefault="00000000">
      <w:pPr>
        <w:keepLines/>
        <w:spacing w:before="60" w:after="200" w:line="260" w:lineRule="auto"/>
        <w:jc w:val="both"/>
      </w:pPr>
      <w:r>
        <w:rPr>
          <w:b/>
          <w:bCs/>
          <w:sz w:val="20"/>
          <w:szCs w:val="20"/>
        </w:rPr>
        <w:t xml:space="preserve">Figure 1. </w:t>
      </w:r>
      <w:r>
        <w:rPr>
          <w:sz w:val="20"/>
          <w:szCs w:val="20"/>
        </w:rPr>
        <w:t>Fit-screen outcomes for the reference model. (a) Containment for scored curves and threshold 0.75. (b) Admission fractions among scored curves in measurement-ceiling bins, with 95% paper-clustered bootstrap intervals and bin counts.</w:t>
      </w:r>
    </w:p>
    <w:p w14:paraId="5B11B727" w14:textId="77777777" w:rsidR="00B03F2C" w:rsidRDefault="00000000" w:rsidP="00136703">
      <w:pPr>
        <w:pStyle w:val="Heading2"/>
        <w:spacing w:line="480" w:lineRule="auto"/>
      </w:pPr>
      <w:r>
        <w:lastRenderedPageBreak/>
        <w:t>3.2 Comparison of four lattice estimates</w:t>
      </w:r>
    </w:p>
    <w:p w14:paraId="51AC394B" w14:textId="7E60AE4D" w:rsidR="00B03F2C" w:rsidRDefault="00000000" w:rsidP="00136703">
      <w:pPr>
        <w:spacing w:after="120" w:line="480" w:lineRule="auto"/>
        <w:jc w:val="both"/>
      </w:pPr>
      <w:r>
        <w:t xml:space="preserve">We compare </w:t>
      </w:r>
      <m:oMath>
        <m:r>
          <w:rPr>
            <w:rFonts w:ascii="Cambria Math" w:hAnsi="Cambria Math"/>
          </w:rPr>
          <m:t xml:space="preserve">A = </m:t>
        </m:r>
        <m:sSub>
          <m:sSubPr>
            <m:ctrlPr>
              <w:rPr>
                <w:rFonts w:ascii="Cambria Math" w:hAnsi="Cambria Math"/>
                <w:i/>
              </w:rPr>
            </m:ctrlPr>
          </m:sSubPr>
          <m:e>
            <m:r>
              <w:rPr>
                <w:rFonts w:ascii="Cambria Math" w:hAnsi="Cambria Math"/>
              </w:rPr>
              <m:t>κ</m:t>
            </m:r>
          </m:e>
          <m:sub>
            <m:r>
              <w:rPr>
                <w:rFonts w:ascii="Cambria Math" w:hAnsi="Cambria Math"/>
                <w:vertAlign w:val="subscript"/>
              </w:rPr>
              <m:t>meas</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Kim</m:t>
            </m:r>
          </m:sub>
        </m:sSub>
        <m:sSub>
          <m:sSubPr>
            <m:ctrlPr>
              <w:rPr>
                <w:rFonts w:ascii="Cambria Math" w:hAnsi="Cambria Math"/>
                <w:i/>
              </w:rPr>
            </m:ctrlPr>
          </m:sSubPr>
          <m:e>
            <m:r>
              <w:rPr>
                <w:rFonts w:ascii="Cambria Math" w:hAnsi="Cambria Math"/>
              </w:rPr>
              <m:t>σ</m:t>
            </m:r>
          </m:e>
          <m:sub>
            <m:r>
              <w:rPr>
                <w:rFonts w:ascii="Cambria Math" w:hAnsi="Cambria Math"/>
                <w:vertAlign w:val="subscript"/>
              </w:rPr>
              <m:t>meas</m:t>
            </m:r>
          </m:sub>
        </m:sSub>
        <m:r>
          <w:rPr>
            <w:rFonts w:ascii="Cambria Math" w:hAnsi="Cambria Math"/>
          </w:rPr>
          <m:t>T</m:t>
        </m:r>
      </m:oMath>
      <w:r>
        <w:t xml:space="preserve">, </w:t>
      </w:r>
      <m:oMath>
        <m:r>
          <w:rPr>
            <w:rFonts w:ascii="Cambria Math" w:hAnsi="Cambria Math"/>
          </w:rPr>
          <m:t xml:space="preserve">B = </m:t>
        </m:r>
        <m:sSub>
          <m:sSubPr>
            <m:ctrlPr>
              <w:rPr>
                <w:rFonts w:ascii="Cambria Math" w:hAnsi="Cambria Math"/>
                <w:i/>
              </w:rPr>
            </m:ctrlPr>
          </m:sSubPr>
          <m:e>
            <m:r>
              <w:rPr>
                <w:rFonts w:ascii="Cambria Math" w:hAnsi="Cambria Math"/>
              </w:rPr>
              <m:t>κ</m:t>
            </m:r>
          </m:e>
          <m:sub>
            <m:r>
              <w:rPr>
                <w:rFonts w:ascii="Cambria Math" w:hAnsi="Cambria Math"/>
                <w:vertAlign w:val="subscript"/>
              </w:rPr>
              <m:t>meas</m:t>
            </m:r>
          </m:sub>
        </m:sSub>
        <m:r>
          <w:rPr>
            <w:rFonts w:ascii="Cambria Math" w:hAnsi="Cambria Math"/>
          </w:rPr>
          <m:t xml:space="preserve"> - </m:t>
        </m:r>
        <m:r>
          <m:rPr>
            <m:sty m:val="p"/>
          </m:rPr>
          <w:rPr>
            <w:rFonts w:ascii="Cambria Math" w:hAnsi="Cambria Math"/>
          </w:rPr>
          <m:t>median</m:t>
        </m:r>
        <m:d>
          <m:dPr>
            <m:ctrlPr>
              <w:rPr>
                <w:rFonts w:ascii="Cambria Math" w:hAnsi="Cambria Math"/>
                <w:i/>
              </w:rPr>
            </m:ctrlPr>
          </m:dPr>
          <m:e>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uni</m:t>
                </m:r>
              </m:sub>
            </m:sSub>
          </m:e>
        </m:d>
        <m:sSub>
          <m:sSubPr>
            <m:ctrlPr>
              <w:rPr>
                <w:rFonts w:ascii="Cambria Math" w:hAnsi="Cambria Math"/>
                <w:i/>
              </w:rPr>
            </m:ctrlPr>
          </m:sSubPr>
          <m:e>
            <m:r>
              <w:rPr>
                <w:rFonts w:ascii="Cambria Math" w:hAnsi="Cambria Math"/>
              </w:rPr>
              <m:t>σ</m:t>
            </m:r>
          </m:e>
          <m:sub>
            <m:r>
              <w:rPr>
                <w:rFonts w:ascii="Cambria Math" w:hAnsi="Cambria Math"/>
                <w:vertAlign w:val="subscript"/>
              </w:rPr>
              <m:t>meas</m:t>
            </m:r>
          </m:sub>
        </m:sSub>
        <m:r>
          <w:rPr>
            <w:rFonts w:ascii="Cambria Math" w:hAnsi="Cambria Math"/>
          </w:rPr>
          <m:t>T</m:t>
        </m:r>
      </m:oMath>
      <w:r>
        <w:t xml:space="preserve">, </w:t>
      </w:r>
      <m:oMath>
        <m:r>
          <w:rPr>
            <w:rFonts w:ascii="Cambria Math" w:hAnsi="Cambria Math"/>
          </w:rPr>
          <m:t xml:space="preserve">C = </m:t>
        </m:r>
        <m:r>
          <m:rPr>
            <m:sty m:val="p"/>
          </m:rPr>
          <w:rPr>
            <w:rFonts w:ascii="Cambria Math" w:hAnsi="Cambria Math"/>
          </w:rPr>
          <m:t>median</m:t>
        </m:r>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vertAlign w:val="subscript"/>
          </w:rPr>
          <m:t>,model</m:t>
        </m:r>
        <m:r>
          <w:rPr>
            <w:rFonts w:ascii="Cambria Math" w:hAnsi="Cambria Math"/>
          </w:rPr>
          <m:t>)</m:t>
        </m:r>
      </m:oMath>
      <w:r>
        <w:t xml:space="preserve">, and </w:t>
      </w:r>
      <m:oMath>
        <m:r>
          <w:rPr>
            <w:rFonts w:ascii="Cambria Math" w:hAnsi="Cambria Math"/>
          </w:rPr>
          <m:t xml:space="preserve">C' = B - </m:t>
        </m:r>
        <m:r>
          <m:rPr>
            <m:sty m:val="p"/>
          </m:rPr>
          <w:rPr>
            <w:rFonts w:ascii="Cambria Math" w:hAnsi="Cambria Math"/>
          </w:rPr>
          <m:t>median</m:t>
        </m:r>
        <m:r>
          <w:rPr>
            <w:rFonts w:ascii="Cambria Math" w:hAnsi="Cambria Math"/>
          </w:rPr>
          <m:t>(</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rPr>
          <m:t>)</m:t>
        </m:r>
      </m:oMath>
      <w:r>
        <w:t>. Medians are pointwise over valid draws. A is a retrospective conventional estimate; B changes its Lorenz number; C uses the parametric lattice term; C′ subtracts inferred bipolar heat additively.</w:t>
      </w:r>
    </w:p>
    <w:p w14:paraId="571EE230" w14:textId="584A4718" w:rsidR="00B03F2C" w:rsidRDefault="00000000" w:rsidP="00136703">
      <w:pPr>
        <w:spacing w:after="120" w:line="480" w:lineRule="auto"/>
        <w:jc w:val="both"/>
      </w:pPr>
      <m:oMath>
        <m:sSub>
          <m:sSubPr>
            <m:ctrlPr>
              <w:rPr>
                <w:rFonts w:ascii="Cambria Math" w:hAnsi="Cambria Math"/>
                <w:i/>
                <w:iCs/>
              </w:rPr>
            </m:ctrlPr>
          </m:sSubPr>
          <m:e>
            <m:r>
              <w:rPr>
                <w:rFonts w:ascii="Cambria Math" w:hAnsi="Cambria Math"/>
              </w:rPr>
              <m:t>L</m:t>
            </m:r>
          </m:e>
          <m:sub>
            <m:r>
              <w:rPr>
                <w:rFonts w:ascii="Cambria Math" w:hAnsi="Cambria Math"/>
                <w:vertAlign w:val="subscript"/>
              </w:rPr>
              <m:t>uni</m:t>
            </m:r>
          </m:sub>
        </m:sSub>
        <m:r>
          <w:rPr>
            <w:rFonts w:ascii="Cambria Math" w:hAnsi="Cambria Math"/>
          </w:rPr>
          <m:t xml:space="preserve"> = </m:t>
        </m:r>
        <m:sSub>
          <m:sSubPr>
            <m:ctrlPr>
              <w:rPr>
                <w:rFonts w:ascii="Cambria Math" w:hAnsi="Cambria Math"/>
                <w:i/>
              </w:rPr>
            </m:ctrlPr>
          </m:sSubPr>
          <m:e>
            <m:r>
              <w:rPr>
                <w:rFonts w:ascii="Cambria Math" w:hAnsi="Cambria Math"/>
              </w:rPr>
              <m:t>κ</m:t>
            </m:r>
          </m:e>
          <m:sub>
            <m:r>
              <w:rPr>
                <w:rFonts w:ascii="Cambria Math" w:hAnsi="Cambria Math"/>
                <w:vertAlign w:val="subscript"/>
              </w:rPr>
              <m:t>e,model</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vertAlign w:val="subscript"/>
              </w:rPr>
              <m:t>model</m:t>
            </m:r>
          </m:sub>
        </m:sSub>
        <m:r>
          <w:rPr>
            <w:rFonts w:ascii="Cambria Math" w:hAnsi="Cambria Math"/>
          </w:rPr>
          <m:t>T)</m:t>
        </m:r>
      </m:oMath>
      <w:r w:rsidR="00136703">
        <w:t xml:space="preserve"> excludes bipolar heat and is conductivity-weighted across bands. B applies this coefficient to measured conductivity, whereas the model total uses model conductivity. An effective Lorenz number that includes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vertAlign w:val="subscript"/>
              </w:rPr>
              <m:t>model</m:t>
            </m:r>
          </m:sub>
        </m:sSub>
        <m:r>
          <w:rPr>
            <w:rFonts w:ascii="Cambria Math" w:hAnsi="Cambria Math"/>
          </w:rPr>
          <m:t>T)</m:t>
        </m:r>
      </m:oMath>
      <w:r w:rsidR="00136703">
        <w:t xml:space="preserve"> is a different convention.</w:t>
      </w:r>
    </w:p>
    <w:p w14:paraId="56D83383" w14:textId="77777777" w:rsidR="00B03F2C" w:rsidRDefault="00000000" w:rsidP="00136703">
      <w:pPr>
        <w:spacing w:after="120" w:line="480" w:lineRule="auto"/>
        <w:jc w:val="both"/>
      </w:pPr>
      <w:r>
        <w:t>B − C contains thermal-fit residuals and differences between measured and model conductivity as well as bipolar heat. Sums of marginal posterior medians need not equal the median total. Model-total diagnostics therefore propagate channels using matched parameter draws.</w:t>
      </w:r>
    </w:p>
    <w:p w14:paraId="3F3D0DE5" w14:textId="77777777" w:rsidR="00B03F2C" w:rsidRDefault="00000000" w:rsidP="00136703">
      <w:pPr>
        <w:spacing w:after="120" w:line="480" w:lineRule="auto"/>
        <w:jc w:val="both"/>
      </w:pPr>
      <w:r>
        <w:t>C′ compares an additive subtraction on measured total conductivity, but its inferred Lorenz number and bipolar term still depend on the lattice prior. Its median slope is −0.688 [−0.715, −0.661]; median per-curve shifts are −0.140 [−0.167, −0.116] relative to B and −0.183 [−0.204, −0.157] relative to A. Ratios of population medians cannot apportion the C − B shift into mechanistic fractions.</w:t>
      </w:r>
    </w:p>
    <w:p w14:paraId="244AD3D9" w14:textId="77777777" w:rsidR="00B03F2C" w:rsidRDefault="00000000">
      <w:pPr>
        <w:keepNext/>
        <w:keepLines/>
        <w:spacing w:before="200" w:after="80" w:line="260" w:lineRule="auto"/>
        <w:jc w:val="both"/>
      </w:pPr>
      <w:r>
        <w:rPr>
          <w:b/>
          <w:bCs/>
          <w:sz w:val="20"/>
          <w:szCs w:val="20"/>
        </w:rPr>
        <w:t xml:space="preserve">Table 1. </w:t>
      </w:r>
      <w:r>
        <w:rPr>
          <w:sz w:val="20"/>
          <w:szCs w:val="20"/>
        </w:rPr>
        <w:t>Finite-window log slopes and per-curve differences on 4,248 paired curves (reference model). Intervals resample papers. Medians of differences need not equal differences of medians; successive median shifts need not add.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7"/>
        <w:gridCol w:w="1880"/>
        <w:gridCol w:w="3009"/>
      </w:tblGrid>
      <w:tr w:rsidR="00B03F2C" w14:paraId="1081F987" w14:textId="77777777">
        <w:trPr>
          <w:tblHeader/>
        </w:trPr>
        <w:tc>
          <w:tcPr>
            <w:tcW w:w="4137"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65ADF483" w14:textId="77777777" w:rsidR="00B03F2C" w:rsidRDefault="00000000">
            <w:r>
              <w:rPr>
                <w:b/>
                <w:bCs/>
                <w:sz w:val="18"/>
                <w:szCs w:val="18"/>
              </w:rPr>
              <w:t>Estimate or per-curve shift</w:t>
            </w:r>
          </w:p>
        </w:tc>
        <w:tc>
          <w:tcPr>
            <w:tcW w:w="188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D8A26C5" w14:textId="77777777" w:rsidR="00B03F2C" w:rsidRDefault="00000000">
            <w:pPr>
              <w:jc w:val="center"/>
            </w:pPr>
            <w:r>
              <w:rPr>
                <w:b/>
                <w:bCs/>
                <w:sz w:val="18"/>
                <w:szCs w:val="18"/>
              </w:rPr>
              <w:t>Median</w:t>
            </w:r>
          </w:p>
        </w:tc>
        <w:tc>
          <w:tcPr>
            <w:tcW w:w="3009"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17FE43F6" w14:textId="77777777" w:rsidR="00B03F2C" w:rsidRDefault="00000000">
            <w:pPr>
              <w:jc w:val="center"/>
            </w:pPr>
            <w:r>
              <w:rPr>
                <w:b/>
                <w:bCs/>
                <w:sz w:val="18"/>
                <w:szCs w:val="18"/>
              </w:rPr>
              <w:t>95% interval</w:t>
            </w:r>
          </w:p>
        </w:tc>
      </w:tr>
      <w:tr w:rsidR="00B03F2C" w14:paraId="21F10920"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4E7C9E" w14:textId="77777777" w:rsidR="00B03F2C" w:rsidRDefault="00000000">
            <w:r>
              <w:rPr>
                <w:sz w:val="18"/>
                <w:szCs w:val="18"/>
              </w:rPr>
              <w:t>A</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FABAB" w14:textId="77777777" w:rsidR="00B03F2C" w:rsidRDefault="00000000">
            <w:pPr>
              <w:jc w:val="center"/>
            </w:pPr>
            <w:r>
              <w:rPr>
                <w:sz w:val="18"/>
                <w:szCs w:val="18"/>
              </w:rPr>
              <w:t>−0.413</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972AB" w14:textId="77777777" w:rsidR="00B03F2C" w:rsidRDefault="00000000">
            <w:pPr>
              <w:jc w:val="center"/>
            </w:pPr>
            <w:r>
              <w:rPr>
                <w:sz w:val="18"/>
                <w:szCs w:val="18"/>
              </w:rPr>
              <w:t>[−0.439, −0.389]</w:t>
            </w:r>
          </w:p>
        </w:tc>
      </w:tr>
      <w:tr w:rsidR="00B03F2C" w14:paraId="2317AB8F"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F7E5E5" w14:textId="77777777" w:rsidR="00B03F2C" w:rsidRDefault="00000000">
            <w:r>
              <w:rPr>
                <w:sz w:val="18"/>
                <w:szCs w:val="18"/>
              </w:rPr>
              <w:t>B</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3B50CA" w14:textId="77777777" w:rsidR="00B03F2C" w:rsidRDefault="00000000">
            <w:pPr>
              <w:jc w:val="center"/>
            </w:pPr>
            <w:r>
              <w:rPr>
                <w:sz w:val="18"/>
                <w:szCs w:val="18"/>
              </w:rPr>
              <w:t>−0.405</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9743FB" w14:textId="77777777" w:rsidR="00B03F2C" w:rsidRDefault="00000000">
            <w:pPr>
              <w:jc w:val="center"/>
            </w:pPr>
            <w:r>
              <w:rPr>
                <w:sz w:val="18"/>
                <w:szCs w:val="18"/>
              </w:rPr>
              <w:t>[−0.430, −0.383]</w:t>
            </w:r>
          </w:p>
        </w:tc>
      </w:tr>
      <w:tr w:rsidR="00B03F2C" w14:paraId="649EDC02"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1D4957" w14:textId="77777777" w:rsidR="00B03F2C" w:rsidRDefault="00000000">
            <w:r>
              <w:rPr>
                <w:sz w:val="18"/>
                <w:szCs w:val="18"/>
              </w:rPr>
              <w:t>C</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38362" w14:textId="77777777" w:rsidR="00B03F2C" w:rsidRDefault="00000000">
            <w:pPr>
              <w:jc w:val="center"/>
            </w:pPr>
            <w:r>
              <w:rPr>
                <w:sz w:val="18"/>
                <w:szCs w:val="18"/>
              </w:rPr>
              <w:t>−0.643</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2410A1" w14:textId="77777777" w:rsidR="00B03F2C" w:rsidRDefault="00000000">
            <w:pPr>
              <w:jc w:val="center"/>
            </w:pPr>
            <w:r>
              <w:rPr>
                <w:sz w:val="18"/>
                <w:szCs w:val="18"/>
              </w:rPr>
              <w:t>[−0.665, −0.625]</w:t>
            </w:r>
          </w:p>
        </w:tc>
      </w:tr>
      <w:tr w:rsidR="00B03F2C" w14:paraId="1A25D45D"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6B2BAB" w14:textId="77777777" w:rsidR="00B03F2C" w:rsidRDefault="00000000">
            <w:r>
              <w:rPr>
                <w:sz w:val="18"/>
                <w:szCs w:val="18"/>
              </w:rPr>
              <w:t>C′</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770B06" w14:textId="77777777" w:rsidR="00B03F2C" w:rsidRDefault="00000000">
            <w:pPr>
              <w:jc w:val="center"/>
            </w:pPr>
            <w:r>
              <w:rPr>
                <w:sz w:val="18"/>
                <w:szCs w:val="18"/>
              </w:rPr>
              <w:t>−0.688</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EBF19" w14:textId="77777777" w:rsidR="00B03F2C" w:rsidRDefault="00000000">
            <w:pPr>
              <w:jc w:val="center"/>
            </w:pPr>
            <w:r>
              <w:rPr>
                <w:sz w:val="18"/>
                <w:szCs w:val="18"/>
              </w:rPr>
              <w:t>[−0.715, −0.661]</w:t>
            </w:r>
          </w:p>
        </w:tc>
      </w:tr>
      <w:tr w:rsidR="00B03F2C" w14:paraId="2976BB8B"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50A2B1" w14:textId="77777777" w:rsidR="00B03F2C" w:rsidRDefault="00000000">
            <w:r>
              <w:rPr>
                <w:sz w:val="18"/>
                <w:szCs w:val="18"/>
              </w:rPr>
              <w:t>B − A</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E2EE7" w14:textId="77777777" w:rsidR="00B03F2C" w:rsidRDefault="00000000">
            <w:pPr>
              <w:jc w:val="center"/>
            </w:pPr>
            <w:r>
              <w:rPr>
                <w:sz w:val="18"/>
                <w:szCs w:val="18"/>
              </w:rPr>
              <w:t>0.003</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DA1C26" w14:textId="77777777" w:rsidR="00B03F2C" w:rsidRDefault="00000000">
            <w:pPr>
              <w:jc w:val="center"/>
            </w:pPr>
            <w:r>
              <w:rPr>
                <w:sz w:val="18"/>
                <w:szCs w:val="18"/>
              </w:rPr>
              <w:t>[0.002, 0.005]</w:t>
            </w:r>
          </w:p>
        </w:tc>
      </w:tr>
      <w:tr w:rsidR="00B03F2C" w14:paraId="593BAECB"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057FF6" w14:textId="77777777" w:rsidR="00B03F2C" w:rsidRDefault="00000000">
            <w:r>
              <w:rPr>
                <w:sz w:val="18"/>
                <w:szCs w:val="18"/>
              </w:rPr>
              <w:t>C − B</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0AF09C" w14:textId="77777777" w:rsidR="00B03F2C" w:rsidRDefault="00000000">
            <w:pPr>
              <w:jc w:val="center"/>
            </w:pPr>
            <w:r>
              <w:rPr>
                <w:sz w:val="18"/>
                <w:szCs w:val="18"/>
              </w:rPr>
              <w:t>−0.166</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D6E43" w14:textId="77777777" w:rsidR="00B03F2C" w:rsidRDefault="00000000">
            <w:pPr>
              <w:jc w:val="center"/>
            </w:pPr>
            <w:r>
              <w:rPr>
                <w:sz w:val="18"/>
                <w:szCs w:val="18"/>
              </w:rPr>
              <w:t>[−0.184, −0.151]</w:t>
            </w:r>
          </w:p>
        </w:tc>
      </w:tr>
      <w:tr w:rsidR="00B03F2C" w14:paraId="3DF2D59B"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D9343" w14:textId="77777777" w:rsidR="00B03F2C" w:rsidRDefault="00000000">
            <w:r>
              <w:rPr>
                <w:sz w:val="18"/>
                <w:szCs w:val="18"/>
              </w:rPr>
              <w:t>C − A</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F7524C" w14:textId="77777777" w:rsidR="00B03F2C" w:rsidRDefault="00000000">
            <w:pPr>
              <w:jc w:val="center"/>
            </w:pPr>
            <w:r>
              <w:rPr>
                <w:sz w:val="18"/>
                <w:szCs w:val="18"/>
              </w:rPr>
              <w:t>−0.181</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1D0918" w14:textId="77777777" w:rsidR="00B03F2C" w:rsidRDefault="00000000">
            <w:pPr>
              <w:jc w:val="center"/>
            </w:pPr>
            <w:r>
              <w:rPr>
                <w:sz w:val="18"/>
                <w:szCs w:val="18"/>
              </w:rPr>
              <w:t>[−0.196, −0.167]</w:t>
            </w:r>
          </w:p>
        </w:tc>
      </w:tr>
      <w:tr w:rsidR="00B03F2C" w14:paraId="5EA80E69" w14:textId="77777777">
        <w:trPr>
          <w:cantSplit/>
        </w:trPr>
        <w:tc>
          <w:tcPr>
            <w:tcW w:w="4137"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F966C3" w14:textId="77777777" w:rsidR="00B03F2C" w:rsidRDefault="00000000">
            <w:r>
              <w:rPr>
                <w:sz w:val="18"/>
                <w:szCs w:val="18"/>
              </w:rPr>
              <w:t>C′ − B</w:t>
            </w:r>
          </w:p>
        </w:tc>
        <w:tc>
          <w:tcPr>
            <w:tcW w:w="188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E81D4F" w14:textId="77777777" w:rsidR="00B03F2C" w:rsidRDefault="00000000">
            <w:pPr>
              <w:jc w:val="center"/>
            </w:pPr>
            <w:r>
              <w:rPr>
                <w:sz w:val="18"/>
                <w:szCs w:val="18"/>
              </w:rPr>
              <w:t>−0.140</w:t>
            </w:r>
          </w:p>
        </w:tc>
        <w:tc>
          <w:tcPr>
            <w:tcW w:w="3009"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B92AB4" w14:textId="77777777" w:rsidR="00B03F2C" w:rsidRDefault="00000000">
            <w:pPr>
              <w:jc w:val="center"/>
            </w:pPr>
            <w:r>
              <w:rPr>
                <w:sz w:val="18"/>
                <w:szCs w:val="18"/>
              </w:rPr>
              <w:t>[−0.167, −0.116]</w:t>
            </w:r>
          </w:p>
        </w:tc>
      </w:tr>
      <w:tr w:rsidR="00B03F2C" w14:paraId="79D19206" w14:textId="77777777">
        <w:trPr>
          <w:cantSplit/>
        </w:trPr>
        <w:tc>
          <w:tcPr>
            <w:tcW w:w="4137"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03DB5DF" w14:textId="77777777" w:rsidR="00B03F2C" w:rsidRDefault="00000000">
            <w:r>
              <w:rPr>
                <w:sz w:val="18"/>
                <w:szCs w:val="18"/>
              </w:rPr>
              <w:t>C′ − A</w:t>
            </w:r>
          </w:p>
        </w:tc>
        <w:tc>
          <w:tcPr>
            <w:tcW w:w="188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A772327" w14:textId="77777777" w:rsidR="00B03F2C" w:rsidRDefault="00000000">
            <w:pPr>
              <w:jc w:val="center"/>
            </w:pPr>
            <w:r>
              <w:rPr>
                <w:sz w:val="18"/>
                <w:szCs w:val="18"/>
              </w:rPr>
              <w:t>−0.183</w:t>
            </w:r>
          </w:p>
        </w:tc>
        <w:tc>
          <w:tcPr>
            <w:tcW w:w="3009"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78C3B74" w14:textId="77777777" w:rsidR="00B03F2C" w:rsidRDefault="00000000">
            <w:pPr>
              <w:jc w:val="center"/>
            </w:pPr>
            <w:r>
              <w:rPr>
                <w:sz w:val="18"/>
                <w:szCs w:val="18"/>
              </w:rPr>
              <w:t>[−0.204, −0.157]</w:t>
            </w:r>
          </w:p>
        </w:tc>
      </w:tr>
    </w:tbl>
    <w:p w14:paraId="77DBFBEB" w14:textId="0C680C36" w:rsidR="00B03F2C" w:rsidRDefault="00000000" w:rsidP="00136703">
      <w:pPr>
        <w:spacing w:after="120" w:line="480" w:lineRule="auto"/>
        <w:jc w:val="both"/>
      </w:pPr>
      <w:r>
        <w:t>The Lorenz-replacement shift is 0.003 [0.002, 0.005]; C − B is −0.166 [−0.184, −0.151]. At the lowest measured temperature of each admitted curve, B − A has median −0.010 W m</w:t>
      </w:r>
      <w:r>
        <w:rPr>
          <w:vertAlign w:val="superscript"/>
        </w:rPr>
        <w:t>−1</w:t>
      </w:r>
      <w:r>
        <w:t xml:space="preserve"> K</w:t>
      </w:r>
      <w:r>
        <w:rPr>
          <w:vertAlign w:val="superscript"/>
        </w:rPr>
        <w:t>−1</w:t>
      </w:r>
      <w:r>
        <w:t xml:space="preserve"> and 10th–90th percentiles [−0.130, 0.046]. The sign follows </w:t>
      </w:r>
      <m:oMath>
        <m:r>
          <w:rPr>
            <w:rFonts w:ascii="Cambria Math" w:hAnsi="Cambria Math"/>
          </w:rPr>
          <m:t xml:space="preserve">B - A = </m:t>
        </m:r>
        <m:d>
          <m:dPr>
            <m:ctrlPr>
              <w:rPr>
                <w:rFonts w:ascii="Cambria Math" w:hAnsi="Cambria Math"/>
                <w:i/>
              </w:rPr>
            </m:ctrlPr>
          </m:dPr>
          <m:e>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Kim</m:t>
                </m:r>
              </m:sub>
            </m:sSub>
            <m:r>
              <w:rPr>
                <w:rFonts w:ascii="Cambria Math" w:hAnsi="Cambria Math"/>
              </w:rPr>
              <m:t xml:space="preserve"> - </m:t>
            </m:r>
            <m:sSub>
              <m:sSubPr>
                <m:ctrlPr>
                  <w:rPr>
                    <w:rFonts w:ascii="Cambria Math" w:hAnsi="Cambria Math"/>
                    <w:i/>
                    <w:iCs/>
                  </w:rPr>
                </m:ctrlPr>
              </m:sSubPr>
              <m:e>
                <m:r>
                  <w:rPr>
                    <w:rFonts w:ascii="Cambria Math" w:hAnsi="Cambria Math"/>
                  </w:rPr>
                  <m:t>L</m:t>
                </m:r>
                <m:ctrlPr>
                  <w:rPr>
                    <w:rFonts w:ascii="Cambria Math" w:hAnsi="Cambria Math"/>
                    <w:i/>
                  </w:rPr>
                </m:ctrlPr>
              </m:e>
              <m:sub>
                <m:r>
                  <w:rPr>
                    <w:rFonts w:ascii="Cambria Math" w:hAnsi="Cambria Math"/>
                    <w:vertAlign w:val="subscript"/>
                  </w:rPr>
                  <m:t>post</m:t>
                </m:r>
              </m:sub>
            </m:sSub>
          </m:e>
        </m:d>
        <m:sSub>
          <m:sSubPr>
            <m:ctrlPr>
              <w:rPr>
                <w:rFonts w:ascii="Cambria Math" w:hAnsi="Cambria Math"/>
                <w:i/>
              </w:rPr>
            </m:ctrlPr>
          </m:sSubPr>
          <m:e>
            <m:r>
              <w:rPr>
                <w:rFonts w:ascii="Cambria Math" w:hAnsi="Cambria Math"/>
              </w:rPr>
              <m:t>σ</m:t>
            </m:r>
          </m:e>
          <m:sub>
            <m:r>
              <w:rPr>
                <w:rFonts w:ascii="Cambria Math" w:hAnsi="Cambria Math"/>
                <w:vertAlign w:val="subscript"/>
              </w:rPr>
              <m:t>meas</m:t>
            </m:r>
          </m:sub>
        </m:sSub>
        <m:r>
          <w:rPr>
            <w:rFonts w:ascii="Cambria Math" w:hAnsi="Cambria Math"/>
          </w:rPr>
          <m:t>T</m:t>
        </m:r>
      </m:oMath>
      <w:r>
        <w:t>.</w:t>
      </w:r>
    </w:p>
    <w:p w14:paraId="4D5C5D6F" w14:textId="77777777" w:rsidR="00B03F2C" w:rsidRDefault="00000000" w:rsidP="00136703">
      <w:pPr>
        <w:spacing w:after="120" w:line="480" w:lineRule="auto"/>
        <w:jc w:val="both"/>
      </w:pPr>
      <w:r>
        <w:lastRenderedPageBreak/>
        <w:t>Different Lorenz prescriptions change A. Agreement with a model slope alone cannot justify a constant Sommerfeld prescription, while disagreement with this model’s Lorenz number does not independently prove over-subtraction. External transport information is needed.</w:t>
      </w:r>
    </w:p>
    <w:p w14:paraId="6B7936ED" w14:textId="72B069FC" w:rsidR="00B03F2C" w:rsidRDefault="00000000" w:rsidP="00136703">
      <w:pPr>
        <w:spacing w:after="120" w:line="480" w:lineRule="auto"/>
        <w:jc w:val="both"/>
      </w:pPr>
      <w:r>
        <w:t>Inelastic scattering can change the Lorenz number beyond the present power-law relaxation-time model</w:t>
      </w:r>
      <w:r w:rsidR="001C2327">
        <w:fldChar w:fldCharType="begin"/>
      </w:r>
      <w:r w:rsidR="001C2327">
        <w:instrText xml:space="preserve"> ADDIN ZOTERO_ITEM CSL_CITATION {"citationID":"DyiPIoKO","properties":{"unsorted":false,"formattedCitation":"\\super 7\\nosupersub{}","plainCitation":"7","noteIndex":0},"citationItems":[{"id":4778,"uris":["http://zotero.org/groups/6712166/items/FDHC5PRZ"],"itemData":{"id":4778,"type":"article-journal","container-title":"Nature Communications","DOI":"10.1038/s41467-025-66578-y","ISSN":"2041-1723","issue":"1","journalAbbreviation":"Nat Commun","language":"en","page":"11528","source":"DOI.org (Crossref)","title":"Hidden in plain heat: anomalous Lorenz number in the thermoelectric alloy Bi0.4Sb1.6Te3","title-short":"Hidden in plain heat","volume":"16","author":[{"family":"Candolfi","given":"Christophe"},{"family":"Wiendlocha","given":"Bartlomiej"},{"family":"Ohorodniichuk","given":"Viktoriia"},{"family":"Levinský","given":"Petr"},{"family":"Migot","given":"Sylvie"},{"family":"Steciuk","given":"Gwladys"},{"family":"Terzi","given":"Ilayda"},{"family":"Wieder","given":"Arthur"},{"family":"Dauscher","given":"Anne"},{"family":"El Oualid","given":"Soufiane"},{"family":"Lenoir","given":"Bertrand"}],"issued":{"date-parts":[["2025",11,21]]}}}],"schema":"https://github.com/citation-style-language/schema/raw/master/csl-citation.json"} </w:instrText>
      </w:r>
      <w:r w:rsidR="001C2327">
        <w:fldChar w:fldCharType="separate"/>
      </w:r>
      <w:r w:rsidR="001C2327" w:rsidRPr="001C2327">
        <w:rPr>
          <w:vertAlign w:val="superscript"/>
        </w:rPr>
        <w:t>7</w:t>
      </w:r>
      <w:r w:rsidR="001C2327">
        <w:fldChar w:fldCharType="end"/>
      </w:r>
      <w:r>
        <w:t xml:space="preserve"> . The corpus comparison does not show that Lorenz uncertainty is unimportant in every material or regime.</w:t>
      </w:r>
    </w:p>
    <w:p w14:paraId="243D0681" w14:textId="77777777" w:rsidR="00B03F2C" w:rsidRDefault="00000000" w:rsidP="00136703">
      <w:pPr>
        <w:pStyle w:val="Heading2"/>
        <w:spacing w:line="480" w:lineRule="auto"/>
      </w:pPr>
      <w:r>
        <w:t>3.3 Association with inferred bipolar heat</w:t>
      </w:r>
    </w:p>
    <w:p w14:paraId="542F45A0" w14:textId="77777777" w:rsidR="00B03F2C" w:rsidRDefault="00000000" w:rsidP="00136703">
      <w:pPr>
        <w:spacing w:after="120" w:line="480" w:lineRule="auto"/>
        <w:jc w:val="both"/>
      </w:pPr>
      <w:r>
        <w:t>The reference-model C − B shift is −0.036 [−0.044, −0.029] below 2% inferred bipolar share, −0.123 [−0.132, −0.110] at 2–10%, and −0.391 [−0.412, −0.362] at 10–100% (Supplementary Table 20). These are associations within the selected paired population.</w:t>
      </w:r>
    </w:p>
    <w:p w14:paraId="348EDEE5" w14:textId="77777777" w:rsidR="00B03F2C" w:rsidRDefault="00000000" w:rsidP="00136703">
      <w:pPr>
        <w:spacing w:after="120" w:line="480" w:lineRule="auto"/>
        <w:jc w:val="both"/>
      </w:pPr>
      <w:r>
        <w:t>There are 0 paired curves with inferred median bipolar heat exceeding measured total, from 0 papers. Absence of such cases does not by itself validate the thermal decomposition.</w:t>
      </w:r>
    </w:p>
    <w:p w14:paraId="6809D3E0" w14:textId="77777777" w:rsidR="00B03F2C" w:rsidRDefault="00000000" w:rsidP="00136703">
      <w:pPr>
        <w:spacing w:after="120" w:line="480" w:lineRule="auto"/>
        <w:jc w:val="both"/>
      </w:pPr>
      <w:r>
        <w:t>Each model draw’s bipolar fraction relative to its own total lies between zero and one because all heat channels are positive. A ratio above one against measured total instead records a discrepancy with the measurement. Matched-draw total and fraction diagnostics are archived, without adding marginal channel medians.</w:t>
      </w:r>
    </w:p>
    <w:p w14:paraId="5C122CAA" w14:textId="77777777" w:rsidR="00B03F2C" w:rsidRDefault="00000000" w:rsidP="00136703">
      <w:pPr>
        <w:spacing w:after="120" w:line="480" w:lineRule="auto"/>
        <w:jc w:val="both"/>
      </w:pPr>
      <w:r>
        <w:t>A low inferred bipolar fraction is not an independent null control. Bias from the lattice form may vary with transport regime; a small shift in one inferred stratum does not bound bias in another.</w:t>
      </w:r>
    </w:p>
    <w:p w14:paraId="40484C00" w14:textId="77777777" w:rsidR="00B03F2C" w:rsidRDefault="00000000" w:rsidP="00136703">
      <w:pPr>
        <w:spacing w:after="120" w:line="480" w:lineRule="auto"/>
        <w:jc w:val="both"/>
      </w:pPr>
      <w:r>
        <w:t>C′ separates additive subtraction from replacement by a parametric curve. However, C′ − B is algebraically driven by inferred bipolar heat, so an association with that heat is partly built into the construction and cannot establish lattice-model independence.</w:t>
      </w:r>
    </w:p>
    <w:p w14:paraId="30987876" w14:textId="08F8F124" w:rsidR="00B03F2C" w:rsidRDefault="00000000" w:rsidP="00136703">
      <w:pPr>
        <w:spacing w:after="120" w:line="480" w:lineRule="auto"/>
        <w:jc w:val="both"/>
      </w:pPr>
      <w:r>
        <w:t xml:space="preserve">Across their own windows, 2,433 admitted curves (33.6%) have A at the final grid point above A at index 8; B gives 2,500 (34.5%). These are two-point upturn indicators, not monotonicity tests. Genuine lattice conductivity can rise, as reported for cubic GeTe </w:t>
      </w:r>
      <w:r w:rsidR="001C2327">
        <w:fldChar w:fldCharType="begin"/>
      </w:r>
      <w:r w:rsidR="001C2327">
        <w:instrText xml:space="preserve"> ADDIN ZOTERO_ITEM CSL_CITATION {"citationID":"T4iD0Wgp","properties":{"unsorted":false,"formattedCitation":"\\super 12\\nosupersub{}","plainCitation":"12","noteIndex":0},"citationItems":[{"id":4785,"uris":["http://zotero.org/groups/6712166/items/F2TSRPFF"],"itemData":{"id":4785,"type":"article-journal","container-title":"Nature Communications","DOI":"10.1038/s41467-024-51377-8","ISSN":"2041-1723","issue":"1","journalAbbreviation":"Nat Commun","language":"en","page":"6981","source":"DOI.org (Crossref)","title":"Anomalous lattice thermal conductivity increase with temperature in cubic GeTe correlated with strengthening of second-nearest neighbor bonds","volume":"15","author":[{"family":"Kielar","given":"Samuel"},{"family":"Li","given":"Chen"},{"family":"Huang","given":"Han"},{"family":"Hu","given":"Renjiu"},{"family":"Slebodnick","given":"Carla"},{"family":"Alatas","given":"Ahmet"},{"family":"Tian","given":"Zhiting"}],"issued":{"date-parts":[["2024",8,14]]}}}],"schema":"https://github.com/citation-style-language/schema/raw/master/csl-citation.json"} </w:instrText>
      </w:r>
      <w:r w:rsidR="001C2327">
        <w:fldChar w:fldCharType="separate"/>
      </w:r>
      <w:r w:rsidR="001C2327" w:rsidRPr="001C2327">
        <w:rPr>
          <w:vertAlign w:val="superscript"/>
        </w:rPr>
        <w:t>12</w:t>
      </w:r>
      <w:r w:rsidR="001C2327">
        <w:fldChar w:fldCharType="end"/>
      </w:r>
      <w:r>
        <w:t>.</w:t>
      </w:r>
    </w:p>
    <w:p w14:paraId="64522640" w14:textId="77777777" w:rsidR="00B03F2C" w:rsidRDefault="00000000" w:rsidP="00136703">
      <w:pPr>
        <w:spacing w:after="120" w:line="480" w:lineRule="auto"/>
        <w:jc w:val="both"/>
      </w:pPr>
      <w:r>
        <w:lastRenderedPageBreak/>
        <w:t xml:space="preserve">The reference model cannot represent a rising lattice term because </w:t>
      </w:r>
      <w:r>
        <w:rPr>
          <w:i/>
          <w:iCs/>
        </w:rPr>
        <w:t>w</w:t>
      </w:r>
      <w:r>
        <w:t xml:space="preserve"> ≥ 0. Synthetic upturns and flexible-lattice refits are reported in Sections 3.9 and 3.10.</w:t>
      </w:r>
    </w:p>
    <w:p w14:paraId="3E9247DB" w14:textId="77777777" w:rsidR="00B03F2C" w:rsidRDefault="00000000">
      <w:pPr>
        <w:keepNext/>
        <w:spacing w:before="160" w:after="60"/>
        <w:jc w:val="center"/>
      </w:pPr>
      <w:r>
        <w:rPr>
          <w:noProof/>
        </w:rPr>
        <w:drawing>
          <wp:inline distT="0" distB="0" distL="0" distR="0" wp14:anchorId="67B890C6" wp14:editId="2E96DAA4">
            <wp:extent cx="5734050" cy="4105275"/>
            <wp:effectExtent l="0" t="0" r="0" b="0"/>
            <wp:docPr id="839167613" name="figure2_estimates" descr="figure2_estimates" title="figure2_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4105275"/>
                    </a:xfrm>
                    <a:prstGeom prst="rect">
                      <a:avLst/>
                    </a:prstGeom>
                  </pic:spPr>
                </pic:pic>
              </a:graphicData>
            </a:graphic>
          </wp:inline>
        </w:drawing>
      </w:r>
    </w:p>
    <w:p w14:paraId="0CDB77E6" w14:textId="77777777" w:rsidR="00B03F2C" w:rsidRDefault="00000000">
      <w:pPr>
        <w:keepLines/>
        <w:spacing w:before="60" w:after="200" w:line="260" w:lineRule="auto"/>
        <w:jc w:val="both"/>
      </w:pPr>
      <w:r>
        <w:rPr>
          <w:b/>
          <w:bCs/>
          <w:sz w:val="20"/>
          <w:szCs w:val="20"/>
        </w:rPr>
        <w:t xml:space="preserve">Figure 2. </w:t>
      </w:r>
      <w:r>
        <w:rPr>
          <w:sz w:val="20"/>
          <w:szCs w:val="20"/>
        </w:rPr>
        <w:t>Reference-model estimates on the paired set. (a) Model-lattice slope shift versus inferred bipolar share, with share defined relative to measured total heat. (b) Model-lattice and additive shifts. (c) Four slope distributions; the displayed range −2 to 1 may omit tails.</w:t>
      </w:r>
    </w:p>
    <w:p w14:paraId="5A937624" w14:textId="77777777" w:rsidR="00B03F2C" w:rsidRDefault="00000000" w:rsidP="00136703">
      <w:pPr>
        <w:pStyle w:val="Heading2"/>
        <w:spacing w:line="480" w:lineRule="auto"/>
      </w:pPr>
      <w:r>
        <w:t>3.4 Within-family associations</w:t>
      </w:r>
    </w:p>
    <w:p w14:paraId="662816C5" w14:textId="77777777" w:rsidR="00B03F2C" w:rsidRDefault="00000000" w:rsidP="00136703">
      <w:pPr>
        <w:spacing w:after="120" w:line="480" w:lineRule="auto"/>
        <w:jc w:val="both"/>
      </w:pPr>
      <w:r>
        <w:t>All 10 reported reference-model groups have negative median C − B shifts (Supplementary Table 21; Fig. 3a). Examples are −0.266 [−0.301, −0.237] for half-Heuslers and −0.321 [−0.368, −0.270] for skutterudites. Section 3.11 compares families on identical curves across all six models.</w:t>
      </w:r>
    </w:p>
    <w:p w14:paraId="2AFE7FA6" w14:textId="77777777" w:rsidR="00B03F2C" w:rsidRDefault="00000000" w:rsidP="00136703">
      <w:pPr>
        <w:spacing w:after="120" w:line="480" w:lineRule="auto"/>
        <w:jc w:val="both"/>
      </w:pPr>
      <w:r>
        <w:t>Family differences may reflect carrier statistics, windows, selection and model adequacy. Chemistry does not guarantee absent minority transport. An interval containing zero is not an equivalence test or proof of no effect.</w:t>
      </w:r>
    </w:p>
    <w:p w14:paraId="0073D55B" w14:textId="77777777" w:rsidR="00B03F2C" w:rsidRDefault="00000000" w:rsidP="00136703">
      <w:pPr>
        <w:spacing w:after="120" w:line="480" w:lineRule="auto"/>
        <w:jc w:val="both"/>
      </w:pPr>
      <w:r>
        <w:t>Superionic and structurally complex materials stress the transport assumptions. Family labels describe heterogeneity but cannot validate decompositions without additional measurements.</w:t>
      </w:r>
    </w:p>
    <w:p w14:paraId="76CCB38F" w14:textId="77777777" w:rsidR="00B03F2C" w:rsidRDefault="00000000" w:rsidP="00136703">
      <w:pPr>
        <w:pStyle w:val="Heading2"/>
        <w:spacing w:line="480" w:lineRule="auto"/>
      </w:pPr>
      <w:r>
        <w:lastRenderedPageBreak/>
        <w:t xml:space="preserve">3.5 Stratification using measured </w:t>
      </w:r>
      <w:proofErr w:type="spellStart"/>
      <w:r>
        <w:t>Seebeck</w:t>
      </w:r>
      <w:proofErr w:type="spellEnd"/>
      <w:r>
        <w:t xml:space="preserve"> rollover</w:t>
      </w:r>
    </w:p>
    <w:p w14:paraId="26117B4C" w14:textId="1C2D0C1D" w:rsidR="00B03F2C" w:rsidRDefault="00000000" w:rsidP="00136703">
      <w:pPr>
        <w:spacing w:after="120" w:line="480" w:lineRule="auto"/>
        <w:jc w:val="both"/>
      </w:pPr>
      <w:r>
        <w:t xml:space="preserve">Rollover is the fractional decrease of </w:t>
      </w:r>
      <m:oMath>
        <m:r>
          <w:rPr>
            <w:rFonts w:ascii="Cambria Math" w:hAnsi="Cambria Math"/>
          </w:rPr>
          <m:t>|S|</m:t>
        </m:r>
      </m:oMath>
      <w:r>
        <w:t xml:space="preserve"> from its interior maximum to the final temperature. Curves without an interior maximum enter the “none” group. The network receives the same </w:t>
      </w:r>
      <m:oMath>
        <m:r>
          <w:rPr>
            <w:rFonts w:ascii="Cambria Math" w:hAnsi="Cambria Math"/>
          </w:rPr>
          <m:t>S(T)</m:t>
        </m:r>
      </m:oMath>
      <w:r>
        <w:t xml:space="preserve"> measurements; the descriptor is input-derived rather than withheld evidence.</w:t>
      </w:r>
    </w:p>
    <w:p w14:paraId="07B3EBDA" w14:textId="77777777" w:rsidR="00B03F2C" w:rsidRDefault="00000000" w:rsidP="00136703">
      <w:pPr>
        <w:spacing w:after="120" w:line="480" w:lineRule="auto"/>
        <w:jc w:val="both"/>
      </w:pPr>
      <w:r>
        <w:t>Supplementary Table 22 and Fig. 3b report the paired-set shifts by rollover; Supplementary Table 3 gives the corresponding results for all models.</w:t>
      </w:r>
    </w:p>
    <w:p w14:paraId="1C6BCA7C" w14:textId="77777777" w:rsidR="00B03F2C" w:rsidRDefault="00000000" w:rsidP="00136703">
      <w:pPr>
        <w:spacing w:after="120" w:line="480" w:lineRule="auto"/>
        <w:jc w:val="both"/>
      </w:pPr>
      <w:r>
        <w:t>Rollover may be consistent with minority-carrier activation but is not unique to it; it can also be absent when a window ends before the maximum. Agreement supports internal consistency without uniquely establishing a decomposition.</w:t>
      </w:r>
    </w:p>
    <w:p w14:paraId="6E43CB0A" w14:textId="77777777" w:rsidR="00B03F2C" w:rsidRDefault="00000000" w:rsidP="00136703">
      <w:pPr>
        <w:spacing w:after="120" w:line="480" w:lineRule="auto"/>
        <w:jc w:val="both"/>
      </w:pPr>
      <w:r>
        <w:t xml:space="preserve">Supplementary Table 23 reports the conventional A upturn indicator by measured rollover among all admitted curves. Both descriptors are computable without the simulator, but selection is model-based and </w:t>
      </w:r>
      <w:r>
        <w:rPr>
          <w:i/>
          <w:iCs/>
        </w:rPr>
        <w:t>S</w:t>
      </w:r>
      <w:r>
        <w:t xml:space="preserve"> enters both rollover and the Kim Lorenz number.</w:t>
      </w:r>
    </w:p>
    <w:p w14:paraId="39D1303A" w14:textId="77777777" w:rsidR="00B03F2C" w:rsidRDefault="00000000" w:rsidP="00136703">
      <w:pPr>
        <w:spacing w:after="120" w:line="480" w:lineRule="auto"/>
        <w:jc w:val="both"/>
      </w:pPr>
      <w:r>
        <w:t>These associations do not apportion an upturn between bipolar heat, genuine lattice effects, radiation, measurement error or other mechanisms. Causal interpretation requires evidence beyond the shared inputs.</w:t>
      </w:r>
    </w:p>
    <w:p w14:paraId="2933E2A2" w14:textId="77777777" w:rsidR="00B03F2C" w:rsidRDefault="00000000" w:rsidP="00136703">
      <w:pPr>
        <w:spacing w:after="120" w:line="480" w:lineRule="auto"/>
        <w:jc w:val="both"/>
      </w:pPr>
      <w:r>
        <w:t>These strata partition all admitted curves, not the smaller positive-endpoint paired set. “None” means no interior maximum on the sampled window, rather than absent bipolar transport. External validation would withhold Hall measurements or independently measured gaps and compare predictions against them; that validation has not been performed.</w:t>
      </w:r>
    </w:p>
    <w:p w14:paraId="468A3838" w14:textId="77777777" w:rsidR="00B03F2C" w:rsidRDefault="00000000" w:rsidP="00136703">
      <w:pPr>
        <w:spacing w:after="120" w:line="480" w:lineRule="auto"/>
        <w:jc w:val="both"/>
      </w:pPr>
      <w:r>
        <w:t xml:space="preserve">Cross-classifying thermal upturns and </w:t>
      </w:r>
      <w:proofErr w:type="spellStart"/>
      <w:r>
        <w:t>Seebeck</w:t>
      </w:r>
      <w:proofErr w:type="spellEnd"/>
      <w:r>
        <w:t xml:space="preserve"> rollover does not isolate lattice-prior bias. Both descriptors are related to model inputs, and associations can persist under a biased model. We therefore do not interpret these cross-classifications as a quantitative bound on lattice-model bias; the flexible-lattice refits in Section 3.10 address that question directly within the tested model families. Explicit subset masks and matched draws are released so alternative cross-classifications need not be inferred from rounded table entries.</w:t>
      </w:r>
    </w:p>
    <w:p w14:paraId="3F9B8E3E" w14:textId="77777777" w:rsidR="00B03F2C" w:rsidRDefault="00000000">
      <w:pPr>
        <w:keepNext/>
        <w:spacing w:before="160" w:after="60"/>
        <w:jc w:val="center"/>
      </w:pPr>
      <w:r>
        <w:rPr>
          <w:noProof/>
        </w:rPr>
        <w:lastRenderedPageBreak/>
        <w:drawing>
          <wp:inline distT="0" distB="0" distL="0" distR="0" wp14:anchorId="6C4E8FD4" wp14:editId="1CF0B872">
            <wp:extent cx="5734050" cy="2533650"/>
            <wp:effectExtent l="0" t="0" r="0" b="0"/>
            <wp:docPr id="264101680" name="figure3_families_rollover" descr="figure3_families_rollover" title="figure3_families_rol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533650"/>
                    </a:xfrm>
                    <a:prstGeom prst="rect">
                      <a:avLst/>
                    </a:prstGeom>
                  </pic:spPr>
                </pic:pic>
              </a:graphicData>
            </a:graphic>
          </wp:inline>
        </w:drawing>
      </w:r>
    </w:p>
    <w:p w14:paraId="4DACA874" w14:textId="77777777" w:rsidR="00B03F2C" w:rsidRDefault="00000000">
      <w:pPr>
        <w:keepLines/>
        <w:spacing w:before="60" w:after="200" w:line="260" w:lineRule="auto"/>
        <w:jc w:val="both"/>
      </w:pPr>
      <w:r>
        <w:rPr>
          <w:b/>
          <w:bCs/>
          <w:sz w:val="20"/>
          <w:szCs w:val="20"/>
        </w:rPr>
        <w:t xml:space="preserve">Figure 3. </w:t>
      </w:r>
      <w:r>
        <w:rPr>
          <w:sz w:val="20"/>
          <w:szCs w:val="20"/>
        </w:rPr>
        <w:t>Reference-model stratifications. (a) Within-family C − B shifts with paper-clustered intervals; family curve counts in parentheses. (b) Shifts by measured rollover. An interval including zero does not establish equivalence; the rollover data were also inputs to inference.</w:t>
      </w:r>
    </w:p>
    <w:p w14:paraId="73C7525D" w14:textId="77777777" w:rsidR="00B03F2C" w:rsidRDefault="00000000" w:rsidP="00136703">
      <w:pPr>
        <w:pStyle w:val="Heading2"/>
        <w:spacing w:line="480" w:lineRule="auto"/>
      </w:pPr>
      <w:r>
        <w:t>3.6 Sensitivity to the fit-screen threshold</w:t>
      </w:r>
    </w:p>
    <w:p w14:paraId="40AFAD06" w14:textId="77777777" w:rsidR="00B03F2C" w:rsidRDefault="00000000" w:rsidP="00136703">
      <w:pPr>
        <w:spacing w:after="120" w:line="480" w:lineRule="auto"/>
        <w:jc w:val="both"/>
      </w:pPr>
      <w:r>
        <w:t>All scored curves are decomposed. Supplementary Table 24 varies containment from zero to 0.95, applying the same fixed-window and positive-endpoint rules to all estimates. It describes selection sensitivity without making poorly fitted decompositions reliable.</w:t>
      </w:r>
    </w:p>
    <w:p w14:paraId="2E8DA71B" w14:textId="77777777" w:rsidR="00B03F2C" w:rsidRDefault="00000000" w:rsidP="00136703">
      <w:pPr>
        <w:spacing w:after="120" w:line="480" w:lineRule="auto"/>
        <w:jc w:val="both"/>
      </w:pPr>
      <w:r>
        <w:t>The scan should be assessed alongside changes in population and fit quality. Stability across thresholds addresses this selection choice but does not remove misspecification, prior dependence or approximation error.</w:t>
      </w:r>
    </w:p>
    <w:p w14:paraId="0B508E2E" w14:textId="77777777" w:rsidR="00B03F2C" w:rsidRDefault="00000000" w:rsidP="00136703">
      <w:pPr>
        <w:spacing w:after="120" w:line="480" w:lineRule="auto"/>
        <w:jc w:val="both"/>
      </w:pPr>
      <w:r>
        <w:t>Non-positive endpoints have no real logarithmic slope and are explicitly excluded, not clipped to 10</w:t>
      </w:r>
      <w:r>
        <w:rPr>
          <w:vertAlign w:val="superscript"/>
        </w:rPr>
        <w:t>−6</w:t>
      </w:r>
      <w:r>
        <w:t>. Negative subtraction values remain in the archive for diagnostics. Positive model lattice heat is guaranteed by the prior, rather than evidence of a correct decomposition.</w:t>
      </w:r>
    </w:p>
    <w:p>
      <w:pPr>
        <w:spacing w:after="120" w:line="480" w:lineRule="auto"/>
        <w:jc w:val="both"/>
      </w:pPr>
      <w:r>
        <w:rPr>
          <w:rFonts w:ascii="Times New Roman" w:hAnsi="Times New Roman"/>
          <w:sz w:val="22"/>
        </w:rPr>
        <w:t>Excluding curves with a rising unipolar-subtraction estimate reduced, but did not eliminate, the slope shift. In the reference paired population, 431 of 4,248 curves (10.1%) had a positive B slope. Among the remaining 3,817 curves, the median C − B shift was −0.137 (95% paper-clustered bootstrap interval −0.153 to −0.125), compared with −0.166 in the full paired population. Restricting the six-model common population to the same 1,361 curves with non-positive reference B slopes retained negative median shifts for all six models, ranging from −0.090 to −0.544 (Supplementary Table 34). This descriptive sensitivity check shows that the negative shift is not confined to rising-B curves; it does not establish a unique bipolar attribution or remove model and prior dependence.</w:t>
      </w:r>
    </w:p>
    <w:p w14:paraId="2C6B263F" w14:textId="77777777" w:rsidR="00B03F2C" w:rsidRDefault="00000000" w:rsidP="00136703">
      <w:pPr>
        <w:pStyle w:val="Heading2"/>
        <w:spacing w:line="480" w:lineRule="auto"/>
      </w:pPr>
      <w:r>
        <w:t>3.7 Effective scattering exponent across the corpus</w:t>
      </w:r>
    </w:p>
    <w:p w14:paraId="25A706D2" w14:textId="10E9FDC4" w:rsidR="00B03F2C" w:rsidRDefault="00000000" w:rsidP="00136703">
      <w:pPr>
        <w:spacing w:after="120" w:line="480" w:lineRule="auto"/>
        <w:jc w:val="both"/>
      </w:pPr>
      <w:r>
        <w:t xml:space="preserve">The median posterior effective </w:t>
      </w:r>
      <m:oMath>
        <m:r>
          <w:rPr>
            <w:rFonts w:ascii="Cambria Math" w:hAnsi="Cambria Math"/>
          </w:rPr>
          <m:t>r</m:t>
        </m:r>
      </m:oMath>
      <w:r>
        <w:t xml:space="preserve"> among admitted curves is −0.356 [−0.377, −0.336]. </w:t>
      </w:r>
      <m:oMath>
        <m:r>
          <w:rPr>
            <w:rFonts w:ascii="Cambria Math" w:hAnsi="Cambria Math"/>
          </w:rPr>
          <m:t>P(r &lt; 0.5)</m:t>
        </m:r>
      </m:oMath>
      <w:r>
        <w:t xml:space="preserve"> uses finite retained draws only; missing draws do not count as evidence above the threshold.</w:t>
      </w:r>
    </w:p>
    <w:p w14:paraId="13BD6827" w14:textId="77777777" w:rsidR="00B03F2C" w:rsidRDefault="00000000" w:rsidP="00136703">
      <w:pPr>
        <w:spacing w:after="120" w:line="480" w:lineRule="auto"/>
        <w:jc w:val="both"/>
      </w:pPr>
      <w:r>
        <w:t>Class fractions are 77.3% phonon-like, 6.0% impurity-like and 16.7% ambiguous, using probabilities above 0.8, below 0.2 and between them. These effective-parameter labels do not independently identify microscopic mechanisms.</w:t>
      </w:r>
    </w:p>
    <w:p w14:paraId="64516D0B" w14:textId="65782A4E" w:rsidR="00B03F2C" w:rsidRDefault="00000000" w:rsidP="00136703">
      <w:pPr>
        <w:spacing w:after="120" w:line="480" w:lineRule="auto"/>
        <w:jc w:val="both"/>
      </w:pPr>
      <w:r>
        <w:lastRenderedPageBreak/>
        <w:t xml:space="preserve">These are effective scattering exponents conditional on the forward model and the prior, not microscopic mechanisms established independently. A single </w:t>
      </w:r>
      <m:oMath>
        <m:r>
          <w:rPr>
            <w:rFonts w:ascii="Cambria Math" w:hAnsi="Cambria Math"/>
          </w:rPr>
          <m:t>r</m:t>
        </m:r>
      </m:oMath>
      <w:r>
        <w:t xml:space="preserve"> stands in for whatever combination of acoustic, polar-optical, alloy and ionised-impurity scattering a </w:t>
      </w:r>
      <w:proofErr w:type="gramStart"/>
      <w:r>
        <w:t>sample exhibits</w:t>
      </w:r>
      <w:proofErr w:type="gramEnd"/>
      <w:r>
        <w:t xml:space="preserve">, and mixed scattering, band complexity or the sharing of </w:t>
      </w:r>
      <m:oMath>
        <m:r>
          <w:rPr>
            <w:rFonts w:ascii="Cambria Math" w:hAnsi="Cambria Math"/>
          </w:rPr>
          <m:t>r</m:t>
        </m:r>
      </m:oMath>
      <w:r>
        <w:t xml:space="preserve"> between electrons and holes can reproduce an intermediate value with no single mechanism dominating. The classes describe what three transport curves determine about an effective </w:t>
      </w:r>
      <w:r w:rsidR="00136703">
        <w:t>exponent and</w:t>
      </w:r>
      <w:r>
        <w:t xml:space="preserve"> are assigned per curve rather than per material: several curves from one study may share a composition. When the bands are given separate exponents, the minority exponent is ambiguous for most admitted curves (Supplementary Table 5).</w:t>
      </w:r>
    </w:p>
    <w:p w14:paraId="22D126C6" w14:textId="77777777" w:rsidR="00B03F2C" w:rsidRDefault="00000000">
      <w:pPr>
        <w:keepNext/>
        <w:spacing w:before="160" w:after="60"/>
        <w:jc w:val="center"/>
      </w:pPr>
      <w:r>
        <w:rPr>
          <w:noProof/>
        </w:rPr>
        <w:drawing>
          <wp:inline distT="0" distB="0" distL="0" distR="0" wp14:anchorId="59E0ADC7" wp14:editId="1B778642">
            <wp:extent cx="5734050" cy="2162175"/>
            <wp:effectExtent l="0" t="0" r="0" b="0"/>
            <wp:docPr id="493121272" name="figure4_scattering" descr="figure4_scattering" title="figure4_scat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162175"/>
                    </a:xfrm>
                    <a:prstGeom prst="rect">
                      <a:avLst/>
                    </a:prstGeom>
                  </pic:spPr>
                </pic:pic>
              </a:graphicData>
            </a:graphic>
          </wp:inline>
        </w:drawing>
      </w:r>
    </w:p>
    <w:p w14:paraId="4CC9435C" w14:textId="253E7760" w:rsidR="00B03F2C" w:rsidRDefault="00000000">
      <w:pPr>
        <w:keepLines/>
        <w:spacing w:before="60" w:after="200" w:line="260" w:lineRule="auto"/>
        <w:jc w:val="both"/>
      </w:pPr>
      <w:r>
        <w:rPr>
          <w:b/>
          <w:bCs/>
          <w:sz w:val="20"/>
          <w:szCs w:val="20"/>
        </w:rPr>
        <w:t xml:space="preserve">Figure 4. </w:t>
      </w:r>
      <w:r>
        <w:rPr>
          <w:sz w:val="20"/>
          <w:szCs w:val="20"/>
        </w:rPr>
        <w:t xml:space="preserve">Effective scattering exponent among reference-model admitted curves. (a) Posterior medians by probability class, with </w:t>
      </w:r>
      <m:oMath>
        <m:r>
          <w:rPr>
            <w:rFonts w:ascii="Cambria Math" w:hAnsi="Cambria Math"/>
            <w:sz w:val="20"/>
            <w:szCs w:val="20"/>
          </w:rPr>
          <m:t>r = -1/2</m:t>
        </m:r>
      </m:oMath>
      <w:r>
        <w:rPr>
          <w:sz w:val="20"/>
          <w:szCs w:val="20"/>
        </w:rPr>
        <w:t xml:space="preserve"> and </w:t>
      </w:r>
      <m:oMath>
        <m:r>
          <w:rPr>
            <w:rFonts w:ascii="Cambria Math" w:hAnsi="Cambria Math"/>
            <w:sz w:val="20"/>
            <w:szCs w:val="20"/>
          </w:rPr>
          <m:t>+3/2</m:t>
        </m:r>
      </m:oMath>
      <w:r>
        <w:rPr>
          <w:sz w:val="20"/>
          <w:szCs w:val="20"/>
        </w:rPr>
        <w:t xml:space="preserve"> reference lines. (b) Class fractions and paper-clustered intervals. Counts refer to curves, not distinct materials.</w:t>
      </w:r>
    </w:p>
    <w:p w14:paraId="6029FA8F" w14:textId="4F0C794D" w:rsidR="00B03F2C" w:rsidRDefault="00000000" w:rsidP="00136703">
      <w:pPr>
        <w:spacing w:after="120" w:line="480" w:lineRule="auto"/>
        <w:jc w:val="both"/>
      </w:pPr>
      <w:r>
        <w:t xml:space="preserve">Mobility contains both a temperature prefactor and a Fermi-integral ratio. In the strongly degenerate fixed-density limit, </w:t>
      </w:r>
      <m:oMath>
        <m:r>
          <w:rPr>
            <w:rFonts w:ascii="Cambria Math" w:hAnsi="Cambria Math"/>
          </w:rPr>
          <m:t xml:space="preserve">η ∝ </m:t>
        </m:r>
        <m:sSup>
          <m:sSupPr>
            <m:ctrlPr>
              <w:rPr>
                <w:rFonts w:ascii="Cambria Math" w:hAnsi="Cambria Math"/>
                <w:i/>
                <w:iCs/>
              </w:rPr>
            </m:ctrlPr>
          </m:sSupPr>
          <m:e>
            <m:r>
              <w:rPr>
                <w:rFonts w:ascii="Cambria Math" w:hAnsi="Cambria Math"/>
              </w:rPr>
              <m:t>T</m:t>
            </m:r>
            <m:ctrlPr>
              <w:rPr>
                <w:rFonts w:ascii="Cambria Math" w:hAnsi="Cambria Math"/>
                <w:i/>
              </w:rPr>
            </m:ctrlPr>
          </m:e>
          <m:sup>
            <m:r>
              <w:rPr>
                <w:rFonts w:ascii="Cambria Math" w:hAnsi="Cambria Math"/>
                <w:vertAlign w:val="superscript"/>
              </w:rPr>
              <m:t>-1</m:t>
            </m:r>
          </m:sup>
        </m:sSup>
      </m:oMath>
      <w:r>
        <w:t xml:space="preserve"> and mobility varies as temperature raised to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μ</m:t>
            </m:r>
          </m:sub>
        </m:sSub>
        <m:r>
          <w:rPr>
            <w:rFonts w:ascii="Cambria Math" w:hAnsi="Cambria Math"/>
          </w:rPr>
          <m:t xml:space="preserve"> - r</m:t>
        </m:r>
      </m:oMath>
      <w:r>
        <w:t xml:space="preserve">, rather than </w:t>
      </w:r>
      <m:oMath>
        <m:sSub>
          <m:sSubPr>
            <m:ctrlPr>
              <w:rPr>
                <w:rFonts w:ascii="Cambria Math" w:hAnsi="Cambria Math"/>
                <w:i/>
                <w:iCs/>
              </w:rPr>
            </m:ctrlPr>
          </m:sSubPr>
          <m:e>
            <m:r>
              <w:rPr>
                <w:rFonts w:ascii="Cambria Math" w:hAnsi="Cambria Math"/>
              </w:rPr>
              <m:t>p</m:t>
            </m:r>
          </m:e>
          <m:sub>
            <m:r>
              <w:rPr>
                <w:rFonts w:ascii="Cambria Math" w:hAnsi="Cambria Math"/>
                <w:vertAlign w:val="subscript"/>
              </w:rPr>
              <m:t>μ</m:t>
            </m:r>
          </m:sub>
        </m:sSub>
      </m:oMath>
      <w:r>
        <w:t xml:space="preserve"> alone. This helps explain an </w:t>
      </w:r>
      <m:oMath>
        <m:r>
          <w:rPr>
            <w:rFonts w:ascii="Cambria Math" w:hAnsi="Cambria Math"/>
          </w:rPr>
          <m:t>r-</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vertAlign w:val="subscript"/>
              </w:rPr>
              <m:t>μ</m:t>
            </m:r>
          </m:sub>
        </m:sSub>
      </m:oMath>
      <w:r>
        <w:t xml:space="preserve"> trade-off. Activation supplies a different temperature shape, but improved identification requires empirical diagnostics.</w:t>
      </w:r>
    </w:p>
    <w:p w14:paraId="457E2D7F" w14:textId="77777777" w:rsidR="00B03F2C" w:rsidRDefault="00000000" w:rsidP="00CA5F74">
      <w:pPr>
        <w:pStyle w:val="Heading2"/>
        <w:spacing w:line="480" w:lineRule="auto"/>
      </w:pPr>
      <w:r>
        <w:t xml:space="preserve">3.8 </w:t>
      </w:r>
      <w:proofErr w:type="gramStart"/>
      <w:r>
        <w:t>Non-positive</w:t>
      </w:r>
      <w:proofErr w:type="gramEnd"/>
      <w:r>
        <w:t xml:space="preserve"> conventional remainders</w:t>
      </w:r>
    </w:p>
    <w:p w14:paraId="14A42A0B" w14:textId="77777777" w:rsidR="00B03F2C" w:rsidRDefault="00000000" w:rsidP="00CA5F74">
      <w:pPr>
        <w:spacing w:after="120" w:line="480" w:lineRule="auto"/>
        <w:jc w:val="both"/>
      </w:pPr>
      <w:r>
        <w:t>Negative A indicates incompatibility between measured inputs and the chosen subtraction, rather than negative physical lattice conductivity. Counts are reported separately for the full corpus, admitted curves, scored exclusions and unscored curves: 377/13,031 overall, 20/7,251 admitted, 40/2,887 excluded and 317/2,893 unscored. The corresponding counts for each extended model are in Supplementary Table 6.</w:t>
      </w:r>
    </w:p>
    <w:p w14:paraId="78EDB7B7" w14:textId="77777777" w:rsidR="00B03F2C" w:rsidRDefault="00000000" w:rsidP="00CA5F74">
      <w:pPr>
        <w:spacing w:after="120" w:line="480" w:lineRule="auto"/>
        <w:jc w:val="both"/>
      </w:pPr>
      <w:r>
        <w:lastRenderedPageBreak/>
        <w:t>A threshold such as 0.15 W m</w:t>
      </w:r>
      <w:r>
        <w:rPr>
          <w:vertAlign w:val="superscript"/>
        </w:rPr>
        <w:t>−1</w:t>
      </w:r>
      <w:r>
        <w:t xml:space="preserve"> K</w:t>
      </w:r>
      <w:r>
        <w:rPr>
          <w:vertAlign w:val="superscript"/>
        </w:rPr>
        <w:t>−1</w:t>
      </w:r>
      <w:r>
        <w:t xml:space="preserve"> is a diagnostic scale, not a universal lower physical bound. Non-negative C follows from the prior and neither repairs incompatible measurements nor verifies a decomposition.</w:t>
      </w:r>
    </w:p>
    <w:p w14:paraId="52ADF1DF" w14:textId="77777777" w:rsidR="00B03F2C" w:rsidRDefault="00000000" w:rsidP="00CA5F74">
      <w:pPr>
        <w:pStyle w:val="Heading2"/>
        <w:spacing w:line="480" w:lineRule="auto"/>
      </w:pPr>
      <w:r>
        <w:t>3.9 Relaxing carrier symmetry and lattice monotonicity: known-truth tests</w:t>
      </w:r>
    </w:p>
    <w:p w14:paraId="7624E4BB" w14:textId="77777777" w:rsidR="00B03F2C" w:rsidRDefault="00000000" w:rsidP="00CA5F74">
      <w:pPr>
        <w:spacing w:after="120" w:line="480" w:lineRule="auto"/>
        <w:jc w:val="both"/>
      </w:pPr>
      <w:r>
        <w:t>On their own independent test sets, the five extended estimators score 5,986–5,998 of 6,000 curves, with nominal 95% pointwise lattice coverage of 90.9–94.7% and bipolar coverage of 91.7–92.1% (Supplementary Table 7). All fall below the nominal level, so successful training does not establish calibration even when the test distribution matches the prior.</w:t>
      </w:r>
    </w:p>
    <w:p w14:paraId="0067C948" w14:textId="77777777" w:rsidR="00B03F2C" w:rsidRDefault="00000000" w:rsidP="00CA5F74">
      <w:pPr>
        <w:spacing w:after="120" w:line="480" w:lineRule="auto"/>
        <w:jc w:val="both"/>
      </w:pPr>
      <w:r>
        <w:t>The narrow-gap upturn set tests the reference model’s monotone-lattice restriction directly. The reference model scores 553 of 1,000 curves and admits 485; its lattice coverage is 40.1% and bipolar coverage 73.8%, and on 144 admitted curves with finite endpoints the median C slope is 0.657 below the true lattice slope. Models whose lattice remains monotone behave similarly (lattice coverage 36.2–40.7%). A rising total can be represented by the extra channel without being assigned to the correct physical channel. The flexible-lattice models score 999 (shared bands) and 999 (independent bands) curves, with lattice coverage 95.4% and 97.2% (Supplementary Table 8).</w:t>
      </w:r>
    </w:p>
    <w:p w14:paraId="28A17FA3" w14:textId="77777777" w:rsidR="00B03F2C" w:rsidRDefault="00000000" w:rsidP="00CA5F74">
      <w:pPr>
        <w:spacing w:after="120" w:line="480" w:lineRule="auto"/>
        <w:jc w:val="both"/>
      </w:pPr>
      <w:r>
        <w:t>These native comparisons change their denominators across models. On the 509 upturn curves scored by all six models (Fig. 5a–c, Supplementary Table 9), independent-band flexible-lattice inference raises lattice coverage from 41.7% to 97.2%, but its median lattice interval widens from 0.699 to 9.983 W m</w:t>
      </w:r>
      <w:r>
        <w:rPr>
          <w:vertAlign w:val="superscript"/>
        </w:rPr>
        <w:t>−1</w:t>
      </w:r>
      <w:r>
        <w:t xml:space="preserve"> K</w:t>
      </w:r>
      <w:r>
        <w:rPr>
          <w:vertAlign w:val="superscript"/>
        </w:rPr>
        <w:t>−1</w:t>
      </w:r>
      <w:r>
        <w:t>; the shared-band flexible model reaches 95.2% with a width of 6.446 W m</w:t>
      </w:r>
      <w:r>
        <w:rPr>
          <w:vertAlign w:val="superscript"/>
        </w:rPr>
        <w:t>−1</w:t>
      </w:r>
      <w:r>
        <w:t xml:space="preserve"> K</w:t>
      </w:r>
      <w:r>
        <w:rPr>
          <w:vertAlign w:val="superscript"/>
        </w:rPr>
        <w:t>−1</w:t>
      </w:r>
      <w:r>
        <w:t>. On the further 87 curves admitted by every model, the median absolute slope error changes from 0.541 to 0.661; the shared-band flexible model gives 0.822. Higher coverage is therefore bought with width, not with more accurate point estimates on fixed cases. The much smaller signed error in the model-specific subset (−0.019 on 343 curves) must not be read as an improvement of that size.</w:t>
      </w:r>
    </w:p>
    <w:p w14:paraId="56AA57B2" w14:textId="77777777" w:rsidR="00B03F2C" w:rsidRDefault="00000000" w:rsidP="00CA5F74">
      <w:pPr>
        <w:spacing w:after="120" w:line="480" w:lineRule="auto"/>
        <w:jc w:val="both"/>
      </w:pPr>
      <w:r>
        <w:t xml:space="preserve">The inherited wide-gap upturn set (gaps 1.5–3.55 eV), where bipolar heat is small, shows the same trade-off on a smaller common population. Only 190 of its 1,000 curves are scored by every model; flexible lattices raise lattice coverage from 43.2% to 95.9% (shared bands) and 99.2% (independent </w:t>
      </w:r>
      <w:r>
        <w:lastRenderedPageBreak/>
        <w:t>bands), while median absolute slope error on the 48 curves admitted by all models is 0.575 and 0.662, against 0.505 for the reference model (Supplementary Table 10).</w:t>
      </w:r>
    </w:p>
    <w:p w14:paraId="5FF33AD4" w14:textId="77777777" w:rsidR="00B03F2C" w:rsidRDefault="00000000" w:rsidP="00CA5F74">
      <w:pPr>
        <w:spacing w:after="120" w:line="480" w:lineRule="auto"/>
        <w:jc w:val="both"/>
      </w:pPr>
      <w:r>
        <w:t>The mobility-prefactor stress sets isolate the carrier-symmetry restriction. On 790 and 648 commonly scored curves at minority ratios 0.1 and 10, bipolar coverage rises from 75.5% and 74.9% in the reference model to 89.4% and 90.5% with independent bands, while lattice coverage in these two models stays between 91.4% and 96.5% (Supplementary Table 11). These tests vary a prefactor only; they do not exhaust temperature-exponent, scattering-law or band-shape departures.</w:t>
      </w:r>
    </w:p>
    <w:p w14:paraId="1124B7D3" w14:textId="77777777" w:rsidR="00B03F2C" w:rsidRDefault="00000000" w:rsidP="00CA5F74">
      <w:pPr>
        <w:spacing w:after="120" w:line="480" w:lineRule="auto"/>
        <w:jc w:val="both"/>
      </w:pPr>
      <w:r>
        <w:t>Transfer between thermal hypotheses probes attribution when the assumed family is wrong (Fig. 5d, Supplementary Table 12). Applied to rising-channel truth, the independent-band flexible-lattice estimator scores 999 of 1,000 curves and reaches 74.5% lattice coverage despite 99.3% total-conductivity coverage: the total is reproduced while heat is partly mis-assigned. In the reverse direction the independent-band rising-channel estimator scores only 268 curves, with 25.8% lattice coverage, and the reference model scores 164 with 21.8%. Agreement with the measured total therefore does not identify the thermal family. Neither transfer set says which family is present in experimental specimens.</w:t>
      </w:r>
    </w:p>
    <w:p w14:paraId="48ACE734" w14:textId="77777777" w:rsidR="00B03F2C" w:rsidRDefault="00000000" w:rsidP="00CA5F74">
      <w:pPr>
        <w:spacing w:after="120" w:line="480" w:lineRule="auto"/>
        <w:jc w:val="both"/>
      </w:pPr>
      <w:r>
        <w:t>The decreasing-lattice narrow-gap control shows the converse effect. Of 985 curves admitted by the reference model, 608 (61.7%) show an apparent upturn in the conventional estimate A although no true lattice curve rises (0 of 985); the median true bipolar share at the upper window edge is 0.75 in those curves and 0.006 in the rest. On the 987 control curves scored by all models, lattice coverage is 88.4–96.9% (Supplementary Table 13). Within the simulator, apparent conventional upturns therefore arise without any lattice upturn and coincide with large bipolar shares, although A also inherits any error of the Kim Lorenz estimate. This does not bound the prevalence of the mechanism in the corpus.</w:t>
      </w:r>
    </w:p>
    <w:p w14:paraId="2C2E8FA8" w14:textId="77777777" w:rsidR="00B03F2C" w:rsidRDefault="00000000">
      <w:pPr>
        <w:keepNext/>
        <w:spacing w:before="160" w:after="60"/>
        <w:jc w:val="center"/>
      </w:pPr>
      <w:r>
        <w:rPr>
          <w:noProof/>
        </w:rPr>
        <w:lastRenderedPageBreak/>
        <w:drawing>
          <wp:inline distT="0" distB="0" distL="0" distR="0" wp14:anchorId="53665915" wp14:editId="187462EF">
            <wp:extent cx="5734050" cy="2305050"/>
            <wp:effectExtent l="0" t="0" r="0" b="0"/>
            <wp:docPr id="2013794709" name="figure5_synthetic_tests" descr="figure5_synthetic_tests" title="figure5_synthetic_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305050"/>
                    </a:xfrm>
                    <a:prstGeom prst="rect">
                      <a:avLst/>
                    </a:prstGeom>
                  </pic:spPr>
                </pic:pic>
              </a:graphicData>
            </a:graphic>
          </wp:inline>
        </w:drawing>
      </w:r>
    </w:p>
    <w:p w14:paraId="1149EABD" w14:textId="77777777" w:rsidR="00B03F2C" w:rsidRDefault="00000000">
      <w:pPr>
        <w:keepLines/>
        <w:spacing w:before="60" w:after="200" w:line="260" w:lineRule="auto"/>
        <w:jc w:val="both"/>
      </w:pPr>
      <w:r>
        <w:rPr>
          <w:b/>
          <w:bCs/>
          <w:sz w:val="20"/>
          <w:szCs w:val="20"/>
        </w:rPr>
        <w:t xml:space="preserve">Figure 5. </w:t>
      </w:r>
      <w:r>
        <w:rPr>
          <w:sz w:val="20"/>
          <w:szCs w:val="20"/>
        </w:rPr>
        <w:t xml:space="preserve">Known-truth tests of the six models. (a–c) Narrow-gap curves with rising true lattice conductivity: nominal 95% pointwise lattice coverage and median interval width on the 509 curves scored by all models (b, log scale), and median absolute 400–750 K lattice-slope error on the 87 curves admitted by all models with finite endpoints. (d) Lattice coverage when every model infers 1,000 curves generated from independent-band rising-channel or independent-band flexible-lattice truth; denominators are each model’s scored curves and differ between bars. Dashed lines mark 95%. Panels a–c </w:t>
      </w:r>
      <w:proofErr w:type="gramStart"/>
      <w:r>
        <w:rPr>
          <w:sz w:val="20"/>
          <w:szCs w:val="20"/>
        </w:rPr>
        <w:t>use</w:t>
      </w:r>
      <w:proofErr w:type="gramEnd"/>
      <w:r>
        <w:rPr>
          <w:sz w:val="20"/>
          <w:szCs w:val="20"/>
        </w:rPr>
        <w:t xml:space="preserve"> the inherited development benchmark; panel d uses independently generated transfer sets. Bars show descriptive point estimates, not uncertainty intervals.</w:t>
      </w:r>
    </w:p>
    <w:p w14:paraId="5BBF0BCE" w14:textId="77777777" w:rsidR="00B03F2C" w:rsidRDefault="00000000" w:rsidP="00CA5F74">
      <w:pPr>
        <w:pStyle w:val="Heading2"/>
        <w:spacing w:line="480" w:lineRule="auto"/>
      </w:pPr>
      <w:r>
        <w:t>3.10 Corpus robustness across six models</w:t>
      </w:r>
    </w:p>
    <w:p w14:paraId="4B34D20D" w14:textId="7BB01B8C" w:rsidR="00B03F2C" w:rsidRDefault="00000000" w:rsidP="00CA5F74">
      <w:pPr>
        <w:spacing w:after="120" w:line="480" w:lineRule="auto"/>
        <w:jc w:val="both"/>
      </w:pPr>
      <w:r>
        <w:t xml:space="preserve">Every model reconstructs B, C and both additive estimates from its own posterior outputs; none is copied from the reference model. On identical measured curves A is invariant. For flexible-lattice models, C is the pointwise posterior median of the PCHIP lattice function.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 xml:space="preserve"> instead uses that model’s B and bipolar median; the PCHIP hypothesis affects this additive estimate indirectly through joint inference.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all</m:t>
            </m:r>
          </m:sub>
          <m:sup>
            <m:r>
              <w:rPr>
                <w:rFonts w:ascii="Cambria Math" w:hAnsi="Cambria Math"/>
              </w:rPr>
              <m:t>'</m:t>
            </m:r>
          </m:sup>
        </m:sSubSup>
      </m:oMath>
      <w:r>
        <w:t xml:space="preserve"> further subtracts the extra-channel median in rising-channel models and otherwise equals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w:t>
      </w:r>
    </w:p>
    <w:p w14:paraId="446B0BFF" w14:textId="3E66484F" w:rsidR="00B03F2C" w:rsidRDefault="00000000" w:rsidP="00CA5F74">
      <w:pPr>
        <w:spacing w:after="120" w:line="480" w:lineRule="auto"/>
        <w:jc w:val="both"/>
      </w:pPr>
      <w:r>
        <w:t xml:space="preserve">Supplementary Table 28 reports all five component slope medians on the same 1,507 curves from 640 papers, and Supplementary Table 29 reports their paired differences. Reference, flexible-lattice and independent-band flexible-lattice median C slopes are −0.533, −0.836 and −1.073; their additive </w:t>
      </w:r>
      <m:oMath>
        <m:sSubSup>
          <m:sSubSupPr>
            <m:ctrlPr>
              <w:rPr>
                <w:rFonts w:ascii="Cambria Math" w:hAnsi="Cambria Math"/>
                <w:i/>
              </w:rPr>
            </m:ctrlPr>
          </m:sSubSupPr>
          <m:e>
            <m:r>
              <w:rPr>
                <w:rFonts w:ascii="Cambria Math" w:hAnsi="Cambria Math"/>
              </w:rPr>
              <m:t>C</m:t>
            </m:r>
          </m:e>
          <m:sub>
            <m:r>
              <w:rPr>
                <w:rFonts w:ascii="Cambria Math" w:hAnsi="Cambria Math"/>
                <w:vertAlign w:val="subscript"/>
              </w:rPr>
              <m:t>bip</m:t>
            </m:r>
          </m:sub>
          <m:sup>
            <m:r>
              <w:rPr>
                <w:rFonts w:ascii="Cambria Math" w:hAnsi="Cambria Math"/>
              </w:rPr>
              <m:t>'</m:t>
            </m:r>
          </m:sup>
        </m:sSubSup>
      </m:oMath>
      <w:r>
        <w:t xml:space="preserve"> slopes are −0.504, −0.644 and −0.928. C and C′ need not coincide because measured and fitted transport differ and marginal medians are not additive.</w:t>
      </w:r>
    </w:p>
    <w:p w14:paraId="59B81638" w14:textId="77777777" w:rsidR="00B03F2C" w:rsidRDefault="00000000" w:rsidP="00CA5F74">
      <w:pPr>
        <w:spacing w:after="120" w:line="480" w:lineRule="auto"/>
        <w:jc w:val="both"/>
      </w:pPr>
      <w:r>
        <w:t xml:space="preserve">Paired changes from the reference model distinguish movement in B from movement in C (Supplementary Table 30). For the flexible-lattice model, the median changes are −0.011 [−0.014, −0.009] in B and −0.253 [−0.318, −0.205] in C. With independent bands and a flexible lattice, they are </w:t>
      </w:r>
      <w:r>
        <w:lastRenderedPageBreak/>
        <w:t>−0.029 [−0.033, −0.025] and −0.501 [−0.597, −0.405], respectively. The larger typical movement is therefore in the directly inferred lattice slope. This descriptive comparison does not isolate a causal lattice, bipolar or Lorenz contribution: all posterior quantities are jointly inferred. Changes in C − B are computed per curve, not by subtracting these population medians.</w:t>
      </w:r>
    </w:p>
    <w:p w14:paraId="0639415B" w14:textId="77777777" w:rsidR="00B03F2C" w:rsidRDefault="00000000" w:rsidP="00CA5F74">
      <w:pPr>
        <w:spacing w:after="120" w:line="480" w:lineRule="auto"/>
        <w:jc w:val="both"/>
      </w:pPr>
      <w:r>
        <w:t>The extended models change which curves are analysed. They admit 5,520–10,559 curves, against 7,251 for the reference model, and their native paired sets contain 3,065–5,292 curves (Supplementary Table 6). Wider posterior bands raise containment, so additional admitted curves are not additional accurately decomposed specimens, and native comparisons mix changed inference with changed selection.</w:t>
      </w:r>
    </w:p>
    <w:p w14:paraId="5D8CFFD2" w14:textId="77777777" w:rsidR="00B03F2C" w:rsidRDefault="00000000" w:rsidP="00CA5F74">
      <w:pPr>
        <w:spacing w:after="120" w:line="480" w:lineRule="auto"/>
        <w:jc w:val="both"/>
      </w:pPr>
      <w:r>
        <w:t>Table 2 and Fig. 6a therefore also report the 1,507 curves from 640 papers that every model admits with finite endpoints. On this fixed population, the median C − B shift is negative in all six models and every interval excludes zero, ranging from −0.107 [−0.122, −0.092] for the reference model to −0.593 [−0.701, −0.476] for independent bands with a flexible lattice; C − A ranges from −0.144 to −0.683. The paired change relative to the reference model is small when only carrier symmetry is relaxed (−0.018 [−0.024, −0.013]) and largest when the lattice is flexible (−0.230 [−0.283, −0.187] with shared bands; −0.424 [−0.539, −0.352] with independent bands). Relaxing carrier symmetry alone therefore changes little, a flexible lattice changes the shift most, and the two interact: adding independent bands to a flexible lattice nearly doubles the paired change. The interaction depends on the population, since on native sets the shared-band flexible model gives the larger shift (−0.576 versus −0.453).</w:t>
      </w:r>
    </w:p>
    <w:p w14:paraId="053F0B3C" w14:textId="77777777" w:rsidR="00B03F2C" w:rsidRDefault="00000000">
      <w:pPr>
        <w:keepNext/>
        <w:keepLines/>
        <w:spacing w:before="200" w:after="80" w:line="260" w:lineRule="auto"/>
        <w:jc w:val="both"/>
      </w:pPr>
      <w:r>
        <w:rPr>
          <w:b/>
          <w:bCs/>
          <w:sz w:val="20"/>
          <w:szCs w:val="20"/>
        </w:rPr>
        <w:t xml:space="preserve">Table 2. </w:t>
      </w:r>
      <w:r>
        <w:rPr>
          <w:sz w:val="20"/>
          <w:szCs w:val="20"/>
        </w:rPr>
        <w:t>Median per-curve C − B and C − A slope shifts over 400–750 K for each model. Native sets differ between models; the all-model-common set contains the same 1,507 curves from 640 papers for every model. Paired change is the median of the per-curve difference from the reference model’s C − B on the common set. Brackets are 95% paper-clustered bootstrap intervals; they do not include uncertainty over model choice. Baseline-common results are in Supplementary Table 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4"/>
        <w:gridCol w:w="728"/>
        <w:gridCol w:w="1698"/>
        <w:gridCol w:w="1698"/>
        <w:gridCol w:w="1698"/>
        <w:gridCol w:w="1700"/>
      </w:tblGrid>
      <w:tr w:rsidR="00B03F2C" w14:paraId="11C234BA" w14:textId="77777777">
        <w:trPr>
          <w:tblHeader/>
        </w:trPr>
        <w:tc>
          <w:tcPr>
            <w:tcW w:w="1504"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E9EBE82" w14:textId="77777777" w:rsidR="00B03F2C" w:rsidRDefault="00000000">
            <w:r>
              <w:rPr>
                <w:b/>
                <w:bCs/>
                <w:sz w:val="18"/>
                <w:szCs w:val="18"/>
              </w:rPr>
              <w:t>Model</w:t>
            </w:r>
          </w:p>
        </w:tc>
        <w:tc>
          <w:tcPr>
            <w:tcW w:w="72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AFF6688" w14:textId="77777777" w:rsidR="00B03F2C" w:rsidRDefault="00000000">
            <w:pPr>
              <w:jc w:val="center"/>
            </w:pPr>
            <w:r>
              <w:rPr>
                <w:b/>
                <w:bCs/>
                <w:sz w:val="18"/>
                <w:szCs w:val="18"/>
              </w:rPr>
              <w:t>Native n</w:t>
            </w:r>
          </w:p>
        </w:tc>
        <w:tc>
          <w:tcPr>
            <w:tcW w:w="169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30D3911" w14:textId="77777777" w:rsidR="00B03F2C" w:rsidRDefault="00000000">
            <w:pPr>
              <w:jc w:val="center"/>
            </w:pPr>
            <w:r>
              <w:rPr>
                <w:b/>
                <w:bCs/>
                <w:sz w:val="18"/>
                <w:szCs w:val="18"/>
              </w:rPr>
              <w:t>Native C − B</w:t>
            </w:r>
          </w:p>
        </w:tc>
        <w:tc>
          <w:tcPr>
            <w:tcW w:w="169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2D52E37F" w14:textId="77777777" w:rsidR="00B03F2C" w:rsidRDefault="00000000">
            <w:pPr>
              <w:jc w:val="center"/>
            </w:pPr>
            <w:r>
              <w:rPr>
                <w:b/>
                <w:bCs/>
                <w:sz w:val="18"/>
                <w:szCs w:val="18"/>
              </w:rPr>
              <w:t>Common C − B</w:t>
            </w:r>
          </w:p>
        </w:tc>
        <w:tc>
          <w:tcPr>
            <w:tcW w:w="1698"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FEE39F5" w14:textId="77777777" w:rsidR="00B03F2C" w:rsidRDefault="00000000">
            <w:pPr>
              <w:jc w:val="center"/>
            </w:pPr>
            <w:r>
              <w:rPr>
                <w:b/>
                <w:bCs/>
                <w:sz w:val="18"/>
                <w:szCs w:val="18"/>
              </w:rPr>
              <w:t>Common C − A</w:t>
            </w:r>
          </w:p>
        </w:tc>
        <w:tc>
          <w:tcPr>
            <w:tcW w:w="1700" w:type="dxa"/>
            <w:tcBorders>
              <w:top w:val="single" w:sz="4"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51324D09" w14:textId="77777777" w:rsidR="00B03F2C" w:rsidRDefault="00000000">
            <w:pPr>
              <w:jc w:val="center"/>
            </w:pPr>
            <w:r>
              <w:rPr>
                <w:b/>
                <w:bCs/>
                <w:sz w:val="18"/>
                <w:szCs w:val="18"/>
              </w:rPr>
              <w:t>Paired change</w:t>
            </w:r>
          </w:p>
        </w:tc>
      </w:tr>
      <w:tr w:rsidR="00B03F2C" w14:paraId="4C7AA944"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6D90F8" w14:textId="77777777" w:rsidR="00B03F2C" w:rsidRDefault="00000000">
            <w:r>
              <w:rPr>
                <w:sz w:val="18"/>
                <w:szCs w:val="18"/>
              </w:rPr>
              <w:t>Reference</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5F6C49" w14:textId="77777777" w:rsidR="00B03F2C" w:rsidRDefault="00000000">
            <w:pPr>
              <w:jc w:val="center"/>
            </w:pPr>
            <w:r>
              <w:rPr>
                <w:sz w:val="18"/>
                <w:szCs w:val="18"/>
              </w:rPr>
              <w:t>4,248</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C9FF78" w14:textId="77777777" w:rsidR="00B03F2C" w:rsidRDefault="00000000">
            <w:pPr>
              <w:jc w:val="center"/>
            </w:pPr>
            <w:r>
              <w:rPr>
                <w:sz w:val="18"/>
                <w:szCs w:val="18"/>
              </w:rPr>
              <w:t>−0.166</w:t>
            </w:r>
          </w:p>
          <w:p w14:paraId="6B5A54FD" w14:textId="77777777" w:rsidR="00B03F2C" w:rsidRDefault="00000000">
            <w:pPr>
              <w:jc w:val="center"/>
            </w:pPr>
            <w:r>
              <w:rPr>
                <w:sz w:val="18"/>
                <w:szCs w:val="18"/>
              </w:rPr>
              <w:t>[−0.184, −0.151]</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7B692C" w14:textId="77777777" w:rsidR="00B03F2C" w:rsidRDefault="00000000">
            <w:pPr>
              <w:jc w:val="center"/>
            </w:pPr>
            <w:r>
              <w:rPr>
                <w:sz w:val="18"/>
                <w:szCs w:val="18"/>
              </w:rPr>
              <w:t>−0.107</w:t>
            </w:r>
          </w:p>
          <w:p w14:paraId="307E68D2" w14:textId="77777777" w:rsidR="00B03F2C" w:rsidRDefault="00000000">
            <w:pPr>
              <w:jc w:val="center"/>
            </w:pPr>
            <w:r>
              <w:rPr>
                <w:sz w:val="18"/>
                <w:szCs w:val="18"/>
              </w:rPr>
              <w:t>[−0.122, −0.092]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87FDBA" w14:textId="77777777" w:rsidR="00B03F2C" w:rsidRDefault="00000000">
            <w:pPr>
              <w:jc w:val="center"/>
            </w:pPr>
            <w:r>
              <w:rPr>
                <w:sz w:val="18"/>
                <w:szCs w:val="18"/>
              </w:rPr>
              <w:t>−0.144</w:t>
            </w:r>
          </w:p>
          <w:p w14:paraId="081DC6AE" w14:textId="77777777" w:rsidR="00B03F2C" w:rsidRDefault="00000000">
            <w:pPr>
              <w:jc w:val="center"/>
            </w:pPr>
            <w:r>
              <w:rPr>
                <w:sz w:val="18"/>
                <w:szCs w:val="18"/>
              </w:rPr>
              <w:t>[−0.159, −0.127]</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5BA94B" w14:textId="77777777" w:rsidR="00B03F2C" w:rsidRDefault="00000000">
            <w:pPr>
              <w:jc w:val="center"/>
            </w:pPr>
            <w:r>
              <w:rPr>
                <w:sz w:val="18"/>
                <w:szCs w:val="18"/>
              </w:rPr>
              <w:t>0 (reference)</w:t>
            </w:r>
          </w:p>
        </w:tc>
      </w:tr>
      <w:tr w:rsidR="00B03F2C" w14:paraId="143B00DC"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BC7BD5" w14:textId="77777777" w:rsidR="00B03F2C" w:rsidRDefault="00000000">
            <w:r>
              <w:rPr>
                <w:sz w:val="18"/>
                <w:szCs w:val="18"/>
              </w:rPr>
              <w:t>Independent bands</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E763F6" w14:textId="77777777" w:rsidR="00B03F2C" w:rsidRDefault="00000000">
            <w:pPr>
              <w:jc w:val="center"/>
            </w:pPr>
            <w:r>
              <w:rPr>
                <w:sz w:val="18"/>
                <w:szCs w:val="18"/>
              </w:rPr>
              <w:t>5,292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F29614" w14:textId="77777777" w:rsidR="00B03F2C" w:rsidRDefault="00000000">
            <w:pPr>
              <w:jc w:val="center"/>
            </w:pPr>
            <w:r>
              <w:rPr>
                <w:sz w:val="18"/>
                <w:szCs w:val="18"/>
              </w:rPr>
              <w:t>−0.209</w:t>
            </w:r>
          </w:p>
          <w:p w14:paraId="19746292" w14:textId="77777777" w:rsidR="00B03F2C" w:rsidRDefault="00000000">
            <w:pPr>
              <w:jc w:val="center"/>
            </w:pPr>
            <w:r>
              <w:rPr>
                <w:sz w:val="18"/>
                <w:szCs w:val="18"/>
              </w:rPr>
              <w:t>[−0.224, −0.194]</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F644B2" w14:textId="77777777" w:rsidR="00B03F2C" w:rsidRDefault="00000000">
            <w:pPr>
              <w:jc w:val="center"/>
            </w:pPr>
            <w:r>
              <w:rPr>
                <w:sz w:val="18"/>
                <w:szCs w:val="18"/>
              </w:rPr>
              <w:t>−0.145</w:t>
            </w:r>
          </w:p>
          <w:p w14:paraId="22B62959" w14:textId="77777777" w:rsidR="00B03F2C" w:rsidRDefault="00000000">
            <w:pPr>
              <w:jc w:val="center"/>
            </w:pPr>
            <w:r>
              <w:rPr>
                <w:sz w:val="18"/>
                <w:szCs w:val="18"/>
              </w:rPr>
              <w:t>[−0.164, −0.131]</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5CF627" w14:textId="77777777" w:rsidR="00B03F2C" w:rsidRDefault="00000000">
            <w:pPr>
              <w:jc w:val="center"/>
            </w:pPr>
            <w:r>
              <w:rPr>
                <w:sz w:val="18"/>
                <w:szCs w:val="18"/>
              </w:rPr>
              <w:t>−0.190</w:t>
            </w:r>
          </w:p>
          <w:p w14:paraId="265C0033" w14:textId="77777777" w:rsidR="00B03F2C" w:rsidRDefault="00000000">
            <w:pPr>
              <w:jc w:val="center"/>
            </w:pPr>
            <w:r>
              <w:rPr>
                <w:sz w:val="18"/>
                <w:szCs w:val="18"/>
              </w:rPr>
              <w:t>[−0.208, −0.173]</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8069B0" w14:textId="77777777" w:rsidR="00B03F2C" w:rsidRDefault="00000000">
            <w:pPr>
              <w:jc w:val="center"/>
            </w:pPr>
            <w:r>
              <w:rPr>
                <w:sz w:val="18"/>
                <w:szCs w:val="18"/>
              </w:rPr>
              <w:t>−0.018</w:t>
            </w:r>
          </w:p>
          <w:p w14:paraId="03635185" w14:textId="77777777" w:rsidR="00B03F2C" w:rsidRDefault="00000000">
            <w:pPr>
              <w:jc w:val="center"/>
            </w:pPr>
            <w:r>
              <w:rPr>
                <w:sz w:val="18"/>
                <w:szCs w:val="18"/>
              </w:rPr>
              <w:t>[−0.024, −0.013]</w:t>
            </w:r>
          </w:p>
        </w:tc>
      </w:tr>
      <w:tr w:rsidR="00B03F2C" w14:paraId="55FBB120"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CAB79" w14:textId="77777777" w:rsidR="00B03F2C" w:rsidRDefault="00000000">
            <w:r>
              <w:rPr>
                <w:sz w:val="18"/>
                <w:szCs w:val="18"/>
              </w:rPr>
              <w:t>Rising channel</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6B1999" w14:textId="77777777" w:rsidR="00B03F2C" w:rsidRDefault="00000000">
            <w:pPr>
              <w:jc w:val="center"/>
            </w:pPr>
            <w:r>
              <w:rPr>
                <w:sz w:val="18"/>
                <w:szCs w:val="18"/>
              </w:rPr>
              <w:t>3,065</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C1D7DA" w14:textId="77777777" w:rsidR="00B03F2C" w:rsidRDefault="00000000">
            <w:pPr>
              <w:jc w:val="center"/>
            </w:pPr>
            <w:r>
              <w:rPr>
                <w:sz w:val="18"/>
                <w:szCs w:val="18"/>
              </w:rPr>
              <w:t>−0.283</w:t>
            </w:r>
          </w:p>
          <w:p w14:paraId="5D8294CB" w14:textId="77777777" w:rsidR="00B03F2C" w:rsidRDefault="00000000">
            <w:pPr>
              <w:jc w:val="center"/>
            </w:pPr>
            <w:r>
              <w:rPr>
                <w:sz w:val="18"/>
                <w:szCs w:val="18"/>
              </w:rPr>
              <w:t>[−0.309, −0.250]</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931E56" w14:textId="77777777" w:rsidR="00B03F2C" w:rsidRDefault="00000000">
            <w:pPr>
              <w:jc w:val="center"/>
            </w:pPr>
            <w:r>
              <w:rPr>
                <w:sz w:val="18"/>
                <w:szCs w:val="18"/>
              </w:rPr>
              <w:t>−0.180</w:t>
            </w:r>
          </w:p>
          <w:p w14:paraId="27FFCD58" w14:textId="77777777" w:rsidR="00B03F2C" w:rsidRDefault="00000000">
            <w:pPr>
              <w:jc w:val="center"/>
            </w:pPr>
            <w:r>
              <w:rPr>
                <w:sz w:val="18"/>
                <w:szCs w:val="18"/>
              </w:rPr>
              <w:t>[−0.197, −0.162]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756570" w14:textId="77777777" w:rsidR="00B03F2C" w:rsidRDefault="00000000">
            <w:pPr>
              <w:jc w:val="center"/>
            </w:pPr>
            <w:r>
              <w:rPr>
                <w:sz w:val="18"/>
                <w:szCs w:val="18"/>
              </w:rPr>
              <w:t>−0.195</w:t>
            </w:r>
          </w:p>
          <w:p w14:paraId="01C14392" w14:textId="77777777" w:rsidR="00B03F2C" w:rsidRDefault="00000000">
            <w:pPr>
              <w:jc w:val="center"/>
            </w:pPr>
            <w:r>
              <w:rPr>
                <w:sz w:val="18"/>
                <w:szCs w:val="18"/>
              </w:rPr>
              <w:t>[−0.215, −0.177]</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49EF42" w14:textId="77777777" w:rsidR="00B03F2C" w:rsidRDefault="00000000">
            <w:pPr>
              <w:jc w:val="center"/>
            </w:pPr>
            <w:r>
              <w:rPr>
                <w:sz w:val="18"/>
                <w:szCs w:val="18"/>
              </w:rPr>
              <w:t>−0.065</w:t>
            </w:r>
          </w:p>
          <w:p w14:paraId="256CB22A" w14:textId="77777777" w:rsidR="00B03F2C" w:rsidRDefault="00000000">
            <w:pPr>
              <w:jc w:val="center"/>
            </w:pPr>
            <w:r>
              <w:rPr>
                <w:sz w:val="18"/>
                <w:szCs w:val="18"/>
              </w:rPr>
              <w:t>[−0.070, −0.059]</w:t>
            </w:r>
          </w:p>
        </w:tc>
      </w:tr>
      <w:tr w:rsidR="00B03F2C" w14:paraId="36939E28"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C6F77C" w14:textId="77777777" w:rsidR="00B03F2C" w:rsidRDefault="00000000">
            <w:r>
              <w:rPr>
                <w:sz w:val="18"/>
                <w:szCs w:val="18"/>
              </w:rPr>
              <w:t>Flexible lattice</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11283C" w14:textId="77777777" w:rsidR="00B03F2C" w:rsidRDefault="00000000">
            <w:pPr>
              <w:jc w:val="center"/>
            </w:pPr>
            <w:r>
              <w:rPr>
                <w:sz w:val="18"/>
                <w:szCs w:val="18"/>
              </w:rPr>
              <w:t>4,162</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417DFB" w14:textId="77777777" w:rsidR="00B03F2C" w:rsidRDefault="00000000">
            <w:pPr>
              <w:jc w:val="center"/>
            </w:pPr>
            <w:r>
              <w:rPr>
                <w:sz w:val="18"/>
                <w:szCs w:val="18"/>
              </w:rPr>
              <w:t>−0.576</w:t>
            </w:r>
          </w:p>
          <w:p w14:paraId="0F8AED83" w14:textId="77777777" w:rsidR="00B03F2C" w:rsidRDefault="00000000">
            <w:pPr>
              <w:jc w:val="center"/>
            </w:pPr>
            <w:r>
              <w:rPr>
                <w:sz w:val="18"/>
                <w:szCs w:val="18"/>
              </w:rPr>
              <w:t>[−0.687, −0.495]</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C680A5" w14:textId="77777777" w:rsidR="00B03F2C" w:rsidRDefault="00000000">
            <w:pPr>
              <w:jc w:val="center"/>
            </w:pPr>
            <w:r>
              <w:rPr>
                <w:sz w:val="18"/>
                <w:szCs w:val="18"/>
              </w:rPr>
              <w:t>−0.372</w:t>
            </w:r>
          </w:p>
          <w:p w14:paraId="5D4233C6" w14:textId="77777777" w:rsidR="00B03F2C" w:rsidRDefault="00000000">
            <w:pPr>
              <w:jc w:val="center"/>
            </w:pPr>
            <w:r>
              <w:rPr>
                <w:sz w:val="18"/>
                <w:szCs w:val="18"/>
              </w:rPr>
              <w:t>[−0.456, −0.308]</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C91A1B" w14:textId="77777777" w:rsidR="00B03F2C" w:rsidRDefault="00000000">
            <w:pPr>
              <w:jc w:val="center"/>
            </w:pPr>
            <w:r>
              <w:rPr>
                <w:sz w:val="18"/>
                <w:szCs w:val="18"/>
              </w:rPr>
              <w:t>−0.423</w:t>
            </w:r>
          </w:p>
          <w:p w14:paraId="70FB5C37" w14:textId="77777777" w:rsidR="00B03F2C" w:rsidRDefault="00000000">
            <w:pPr>
              <w:jc w:val="center"/>
            </w:pPr>
            <w:r>
              <w:rPr>
                <w:sz w:val="18"/>
                <w:szCs w:val="18"/>
              </w:rPr>
              <w:t>[−0.517, −0.355]</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0DA516" w14:textId="77777777" w:rsidR="00B03F2C" w:rsidRDefault="00000000">
            <w:pPr>
              <w:jc w:val="center"/>
            </w:pPr>
            <w:r>
              <w:rPr>
                <w:sz w:val="18"/>
                <w:szCs w:val="18"/>
              </w:rPr>
              <w:t>−0.230</w:t>
            </w:r>
          </w:p>
          <w:p w14:paraId="0483279E" w14:textId="77777777" w:rsidR="00B03F2C" w:rsidRDefault="00000000">
            <w:pPr>
              <w:jc w:val="center"/>
            </w:pPr>
            <w:r>
              <w:rPr>
                <w:sz w:val="18"/>
                <w:szCs w:val="18"/>
              </w:rPr>
              <w:t>[−0.283, −0.187]</w:t>
            </w:r>
          </w:p>
        </w:tc>
      </w:tr>
      <w:tr w:rsidR="00B03F2C" w14:paraId="22602C24" w14:textId="77777777">
        <w:trPr>
          <w:cantSplit/>
        </w:trPr>
        <w:tc>
          <w:tcPr>
            <w:tcW w:w="1504"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7427D" w14:textId="77777777" w:rsidR="00B03F2C" w:rsidRDefault="00000000">
            <w:r>
              <w:rPr>
                <w:sz w:val="18"/>
                <w:szCs w:val="18"/>
              </w:rPr>
              <w:lastRenderedPageBreak/>
              <w:t>Independent + rising</w:t>
            </w:r>
          </w:p>
        </w:tc>
        <w:tc>
          <w:tcPr>
            <w:tcW w:w="7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2EAD11" w14:textId="77777777" w:rsidR="00B03F2C" w:rsidRDefault="00000000">
            <w:pPr>
              <w:jc w:val="center"/>
            </w:pPr>
            <w:r>
              <w:rPr>
                <w:sz w:val="18"/>
                <w:szCs w:val="18"/>
              </w:rPr>
              <w:t>4,445</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B26874" w14:textId="77777777" w:rsidR="00B03F2C" w:rsidRDefault="00000000">
            <w:pPr>
              <w:jc w:val="center"/>
            </w:pPr>
            <w:r>
              <w:rPr>
                <w:sz w:val="18"/>
                <w:szCs w:val="18"/>
              </w:rPr>
              <w:t>−0.305</w:t>
            </w:r>
          </w:p>
          <w:p w14:paraId="495DE69C" w14:textId="77777777" w:rsidR="00B03F2C" w:rsidRDefault="00000000">
            <w:pPr>
              <w:jc w:val="center"/>
            </w:pPr>
            <w:r>
              <w:rPr>
                <w:sz w:val="18"/>
                <w:szCs w:val="18"/>
              </w:rPr>
              <w:t>[−0.323, −0.287]</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64B88D" w14:textId="77777777" w:rsidR="00B03F2C" w:rsidRDefault="00000000">
            <w:pPr>
              <w:jc w:val="center"/>
            </w:pPr>
            <w:r>
              <w:rPr>
                <w:sz w:val="18"/>
                <w:szCs w:val="18"/>
              </w:rPr>
              <w:t>−0.227</w:t>
            </w:r>
          </w:p>
          <w:p w14:paraId="5D08D6CF" w14:textId="77777777" w:rsidR="00B03F2C" w:rsidRDefault="00000000">
            <w:pPr>
              <w:jc w:val="center"/>
            </w:pPr>
            <w:r>
              <w:rPr>
                <w:sz w:val="18"/>
                <w:szCs w:val="18"/>
              </w:rPr>
              <w:t>[−0.242, −0.207]</w:t>
            </w:r>
          </w:p>
        </w:tc>
        <w:tc>
          <w:tcPr>
            <w:tcW w:w="169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259805" w14:textId="77777777" w:rsidR="00B03F2C" w:rsidRDefault="00000000">
            <w:pPr>
              <w:jc w:val="center"/>
            </w:pPr>
            <w:r>
              <w:rPr>
                <w:sz w:val="18"/>
                <w:szCs w:val="18"/>
              </w:rPr>
              <w:t>−0.240</w:t>
            </w:r>
          </w:p>
          <w:p w14:paraId="3845C2F8" w14:textId="77777777" w:rsidR="00B03F2C" w:rsidRDefault="00000000">
            <w:pPr>
              <w:jc w:val="center"/>
            </w:pPr>
            <w:r>
              <w:rPr>
                <w:sz w:val="18"/>
                <w:szCs w:val="18"/>
              </w:rPr>
              <w:t>[−0.257, −0.223]</w:t>
            </w: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55850D" w14:textId="77777777" w:rsidR="00B03F2C" w:rsidRDefault="00000000">
            <w:pPr>
              <w:jc w:val="center"/>
            </w:pPr>
            <w:r>
              <w:rPr>
                <w:sz w:val="18"/>
                <w:szCs w:val="18"/>
              </w:rPr>
              <w:t>−0.094</w:t>
            </w:r>
          </w:p>
          <w:p w14:paraId="56DE1F36" w14:textId="77777777" w:rsidR="00B03F2C" w:rsidRDefault="00000000">
            <w:pPr>
              <w:jc w:val="center"/>
            </w:pPr>
            <w:r>
              <w:rPr>
                <w:sz w:val="18"/>
                <w:szCs w:val="18"/>
              </w:rPr>
              <w:t>[−0.102, −0.087]</w:t>
            </w:r>
          </w:p>
        </w:tc>
      </w:tr>
      <w:tr w:rsidR="00B03F2C" w14:paraId="316C321F" w14:textId="77777777">
        <w:trPr>
          <w:cantSplit/>
        </w:trPr>
        <w:tc>
          <w:tcPr>
            <w:tcW w:w="1504"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8A2C88" w14:textId="77777777" w:rsidR="00B03F2C" w:rsidRDefault="00000000">
            <w:r>
              <w:rPr>
                <w:sz w:val="18"/>
                <w:szCs w:val="18"/>
              </w:rPr>
              <w:t>Independent + flexible</w:t>
            </w:r>
          </w:p>
        </w:tc>
        <w:tc>
          <w:tcPr>
            <w:tcW w:w="7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DB33DF" w14:textId="77777777" w:rsidR="00B03F2C" w:rsidRDefault="00000000">
            <w:pPr>
              <w:jc w:val="center"/>
            </w:pPr>
            <w:r>
              <w:rPr>
                <w:sz w:val="18"/>
                <w:szCs w:val="18"/>
              </w:rPr>
              <w:t>4,123</w:t>
            </w:r>
          </w:p>
        </w:tc>
        <w:tc>
          <w:tcPr>
            <w:tcW w:w="169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61E360" w14:textId="77777777" w:rsidR="00B03F2C" w:rsidRDefault="00000000">
            <w:pPr>
              <w:jc w:val="center"/>
            </w:pPr>
            <w:r>
              <w:rPr>
                <w:sz w:val="18"/>
                <w:szCs w:val="18"/>
              </w:rPr>
              <w:t>−0.453</w:t>
            </w:r>
          </w:p>
          <w:p w14:paraId="475CD355" w14:textId="77777777" w:rsidR="00B03F2C" w:rsidRDefault="00000000">
            <w:pPr>
              <w:jc w:val="center"/>
            </w:pPr>
            <w:r>
              <w:rPr>
                <w:sz w:val="18"/>
                <w:szCs w:val="18"/>
              </w:rPr>
              <w:t>[−0.499, −0.408]</w:t>
            </w:r>
          </w:p>
        </w:tc>
        <w:tc>
          <w:tcPr>
            <w:tcW w:w="169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F244EA7" w14:textId="77777777" w:rsidR="00B03F2C" w:rsidRDefault="00000000">
            <w:pPr>
              <w:jc w:val="center"/>
            </w:pPr>
            <w:r>
              <w:rPr>
                <w:sz w:val="18"/>
                <w:szCs w:val="18"/>
              </w:rPr>
              <w:t>−0.593</w:t>
            </w:r>
          </w:p>
          <w:p w14:paraId="3EEA304A" w14:textId="77777777" w:rsidR="00B03F2C" w:rsidRDefault="00000000">
            <w:pPr>
              <w:jc w:val="center"/>
            </w:pPr>
            <w:r>
              <w:rPr>
                <w:sz w:val="18"/>
                <w:szCs w:val="18"/>
              </w:rPr>
              <w:t>[−0.701, −0.476]</w:t>
            </w:r>
          </w:p>
        </w:tc>
        <w:tc>
          <w:tcPr>
            <w:tcW w:w="169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94B55A2" w14:textId="77777777" w:rsidR="00B03F2C" w:rsidRDefault="00000000">
            <w:pPr>
              <w:jc w:val="center"/>
            </w:pPr>
            <w:r>
              <w:rPr>
                <w:sz w:val="18"/>
                <w:szCs w:val="18"/>
              </w:rPr>
              <w:t>−0.683</w:t>
            </w:r>
          </w:p>
          <w:p w14:paraId="1A20FE06" w14:textId="77777777" w:rsidR="00B03F2C" w:rsidRDefault="00000000">
            <w:pPr>
              <w:jc w:val="center"/>
            </w:pPr>
            <w:r>
              <w:rPr>
                <w:sz w:val="18"/>
                <w:szCs w:val="18"/>
              </w:rPr>
              <w:t>[−0.794, −0.578]</w:t>
            </w:r>
          </w:p>
        </w:tc>
        <w:tc>
          <w:tcPr>
            <w:tcW w:w="1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EBDDB4E" w14:textId="77777777" w:rsidR="00B03F2C" w:rsidRDefault="00000000">
            <w:pPr>
              <w:jc w:val="center"/>
            </w:pPr>
            <w:r>
              <w:rPr>
                <w:sz w:val="18"/>
                <w:szCs w:val="18"/>
              </w:rPr>
              <w:t>−0.424</w:t>
            </w:r>
          </w:p>
          <w:p w14:paraId="54934934" w14:textId="77777777" w:rsidR="00B03F2C" w:rsidRDefault="00000000">
            <w:pPr>
              <w:jc w:val="center"/>
            </w:pPr>
            <w:r>
              <w:rPr>
                <w:sz w:val="18"/>
                <w:szCs w:val="18"/>
              </w:rPr>
              <w:t>[−0.539, −0.352]</w:t>
            </w:r>
          </w:p>
        </w:tc>
      </w:tr>
    </w:tbl>
    <w:p w14:paraId="5B4E61A8" w14:textId="77777777" w:rsidR="00CA5F74" w:rsidRDefault="00CA5F74" w:rsidP="00CA5F74">
      <w:pPr>
        <w:spacing w:after="120" w:line="480" w:lineRule="auto"/>
        <w:jc w:val="both"/>
      </w:pPr>
    </w:p>
    <w:p w14:paraId="1ECBAE20" w14:textId="5E3967C2" w:rsidR="00B03F2C" w:rsidRDefault="00000000" w:rsidP="00CA5F74">
      <w:pPr>
        <w:spacing w:after="120" w:line="480" w:lineRule="auto"/>
        <w:jc w:val="both"/>
      </w:pPr>
      <w:r>
        <w:t>The association with inferred bipolar heat persists under every model (Supplementary Table 25, Fig. 6b; detailed counts and intervals in Supplementary Table 15). In each model the 10–100% bipolar-share stratum has the most negative shift, 2.7–19.8 times that of the &lt;2% stratum. The ordering of the two lower strata is not preserved in the independent-band flexible-lattice model (−0.166 below 2% versus −0.121 at 2–10%; point estimates with overlapping intervals), which assigns larger shifts to some low-bipolar curves. Both stratum and outcome are model-dependent, so this persistence is internal consistency rather than independent confirmation.</w:t>
      </w:r>
    </w:p>
    <w:p w14:paraId="06E3B375" w14:textId="77777777" w:rsidR="00B03F2C" w:rsidRDefault="00000000" w:rsidP="00CA5F74">
      <w:pPr>
        <w:spacing w:after="120" w:line="480" w:lineRule="auto"/>
        <w:jc w:val="both"/>
      </w:pPr>
      <w:r>
        <w:t xml:space="preserve">Stratification by measured </w:t>
      </w:r>
      <w:proofErr w:type="spellStart"/>
      <w:r>
        <w:t>Seebeck</w:t>
      </w:r>
      <w:proofErr w:type="spellEnd"/>
      <w:r>
        <w:t xml:space="preserve"> rollover is less uniform (Supplementary Table 25, Fig. 6c). In every model the ≥15% group has a more negative shift than curves without an interior maximum, and the shift grows monotonically with rollover in the reference, independent bands and rising channel models. In the independent + rising model the two intermediate groups are nearly equal (−0.336 and −0.326), and in both flexible-lattice models the largest shift falls in the &lt;5% group (−1.050 and −0.707) rather than at ≥15%. Across families, all 54 model–family medians with at least 80 curves, including the residual “other” groups, are negative, and 53 of their intervals exclude zero; the exception is SiGe under the flexible lattice model (−0.053 [−0.141, 0.030], n = 122) (Supplementary Table 2). Varying the fit-screen threshold from 0 to 0.95 moves C − B by at most 0.021 in the four models with a monotone lattice and by 0.063 in the independent + flexible model; in the shared-band flexible lattice it ranges from −0.799 to −0.465 (Supplementary Table 4).</w:t>
      </w:r>
    </w:p>
    <w:p w14:paraId="68683AF6" w14:textId="77777777" w:rsidR="00B03F2C" w:rsidRDefault="00000000">
      <w:pPr>
        <w:keepNext/>
        <w:spacing w:before="160" w:after="60"/>
        <w:jc w:val="center"/>
      </w:pPr>
      <w:r>
        <w:rPr>
          <w:noProof/>
        </w:rPr>
        <w:lastRenderedPageBreak/>
        <w:drawing>
          <wp:inline distT="0" distB="0" distL="0" distR="0" wp14:anchorId="4404184E" wp14:editId="6C254BFD">
            <wp:extent cx="5734050" cy="3000375"/>
            <wp:effectExtent l="0" t="0" r="0" b="0"/>
            <wp:docPr id="278705138" name="figure6_model_robustness" descr="figure6_model_robustness" title="figure6_model_robus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000375"/>
                    </a:xfrm>
                    <a:prstGeom prst="rect">
                      <a:avLst/>
                    </a:prstGeom>
                  </pic:spPr>
                </pic:pic>
              </a:graphicData>
            </a:graphic>
          </wp:inline>
        </w:drawing>
      </w:r>
    </w:p>
    <w:p w14:paraId="01AAD6B3" w14:textId="77777777" w:rsidR="00B03F2C" w:rsidRDefault="00000000">
      <w:pPr>
        <w:keepLines/>
        <w:spacing w:before="60" w:after="200" w:line="260" w:lineRule="auto"/>
        <w:jc w:val="both"/>
      </w:pPr>
      <w:r>
        <w:rPr>
          <w:b/>
          <w:bCs/>
          <w:sz w:val="20"/>
          <w:szCs w:val="20"/>
        </w:rPr>
        <w:t xml:space="preserve">Figure 6. </w:t>
      </w:r>
      <w:r>
        <w:rPr>
          <w:sz w:val="20"/>
          <w:szCs w:val="20"/>
        </w:rPr>
        <w:t xml:space="preserve">Model dependence of the corpus comparison. (a) Median per-curve C − B and C − A slope shifts on the 1,507 curves from 640 papers selected by all six models. (b) C − B by inferred bipolar share at 750 K and (c) by measured </w:t>
      </w:r>
      <w:proofErr w:type="spellStart"/>
      <w:r>
        <w:rPr>
          <w:sz w:val="20"/>
          <w:szCs w:val="20"/>
        </w:rPr>
        <w:t>Seebeck</w:t>
      </w:r>
      <w:proofErr w:type="spellEnd"/>
      <w:r>
        <w:rPr>
          <w:sz w:val="20"/>
          <w:szCs w:val="20"/>
        </w:rPr>
        <w:t xml:space="preserve"> rollover, each on the native paired set of that model. Horizontal bars are 95% paper-clustered bootstrap intervals (2,000 resamples); they do not include uncertainty over physical-model choice. Dashed lines mark zero shift.</w:t>
      </w:r>
    </w:p>
    <w:p w14:paraId="11FB30A6" w14:textId="77777777" w:rsidR="00B03F2C" w:rsidRDefault="00000000">
      <w:pPr>
        <w:pStyle w:val="Heading2"/>
      </w:pPr>
      <w:r>
        <w:t>3.11 Family comparisons on identical experimental curves</w:t>
      </w:r>
    </w:p>
    <w:p w14:paraId="6C861CCE" w14:textId="77777777" w:rsidR="00B03F2C" w:rsidRDefault="00000000" w:rsidP="00CA5F74">
      <w:pPr>
        <w:spacing w:after="120" w:line="480" w:lineRule="auto"/>
        <w:jc w:val="both"/>
      </w:pPr>
      <w:r>
        <w:t>Native family tables describe different selected populations. We also compare each family on the intersection of admission and finite 400–750 K endpoints across all six models (Fig. 7; Supplementary Tables 26 and 27). Effects are reported for groups with at least 80 curves. Four named groups meet this threshold: Mg2X-type (138 curves, 59 papers), filled-RE (115 curves, 61 papers), half-Heusler (87 curves, 45 papers), skutterudite (312 curves, 137 papers). The heterogeneous residual other group contains 651 curves from 268 papers and is shown separately. Family names are inherited labels, not newly verified phase or composition assignments.</w:t>
      </w:r>
    </w:p>
    <w:p w14:paraId="700C0D22" w14:textId="77777777" w:rsidR="00B03F2C" w:rsidRDefault="00000000" w:rsidP="00CA5F74">
      <w:pPr>
        <w:spacing w:after="120" w:line="480" w:lineRule="auto"/>
        <w:jc w:val="both"/>
      </w:pPr>
      <w:r>
        <w:t xml:space="preserve">For half-Heuslers, the common-family median C − B is −0.211 [−0.270, −0.145] in the reference model and −1.210 [−1.770, −0.718] with independent bands and a flexible lattice. The paired median change is −1.046 [−1.581, −0.478]. Corresponding skutterudite shifts are −0.158 [−0.229, −0.108] and −1.139 [−1.401, −1.007]. </w:t>
      </w:r>
      <w:proofErr w:type="gramStart"/>
      <w:r>
        <w:t>Thus</w:t>
      </w:r>
      <w:proofErr w:type="gramEnd"/>
      <w:r>
        <w:t xml:space="preserve"> substantial family-specific model dependence persists on the same curves; these changes are not independently measured corrections.</w:t>
      </w:r>
    </w:p>
    <w:p w14:paraId="1960CCC3" w14:textId="0DCD7103" w:rsidR="00B03F2C" w:rsidRDefault="00000000" w:rsidP="00CA5F74">
      <w:pPr>
        <w:spacing w:after="120" w:line="480" w:lineRule="auto"/>
        <w:jc w:val="both"/>
      </w:pPr>
      <w:r>
        <w:t xml:space="preserve">The nine other family labels have fewer than 80 common curves and are retained in the overall analysis; their counts are listed without ranked effect estimates in Supplementary Table 26. </w:t>
      </w:r>
      <w:proofErr w:type="gramStart"/>
      <w:r>
        <w:t xml:space="preserve">In particular, </w:t>
      </w:r>
      <w:proofErr w:type="spellStart"/>
      <w:r>
        <w:t>PbX</w:t>
      </w:r>
      <w:proofErr w:type="spellEnd"/>
      <w:r>
        <w:t>-</w:t>
      </w:r>
      <w:r>
        <w:lastRenderedPageBreak/>
        <w:t>type</w:t>
      </w:r>
      <w:proofErr w:type="gramEnd"/>
      <w:r>
        <w:t xml:space="preserve">,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2</m:t>
            </m:r>
          </m:sub>
        </m:sSub>
        <m:r>
          <m:rPr>
            <m:sty m:val="p"/>
          </m:rPr>
          <w:rPr>
            <w:rFonts w:ascii="Cambria Math" w:hAnsi="Cambria Math"/>
          </w:rPr>
          <m:t>Se</m:t>
        </m:r>
      </m:oMath>
      <w:r>
        <w:t>-type, SiGe and SnSe-type are represented in native tables but do not meet this common-set threshold. Family-conditioned bootstrap intervals use source-paper clusters and are not adjusted for multiple comparisons. Overlapping papers and inherited family labels preclude treating families as independent validation experiments.</w:t>
      </w:r>
    </w:p>
    <w:p w14:paraId="319C0E9C" w14:textId="77777777" w:rsidR="00B03F2C" w:rsidRDefault="00000000">
      <w:pPr>
        <w:keepNext/>
        <w:spacing w:before="160" w:after="60"/>
        <w:jc w:val="center"/>
      </w:pPr>
      <w:r>
        <w:rPr>
          <w:noProof/>
        </w:rPr>
        <w:drawing>
          <wp:inline distT="0" distB="0" distL="0" distR="0" wp14:anchorId="6DE11913" wp14:editId="6F8BEAF5">
            <wp:extent cx="5734050" cy="3429000"/>
            <wp:effectExtent l="0" t="0" r="0" b="0"/>
            <wp:docPr id="1124473336" name="figure7_common_families" descr="figure7_common_families" title="figure7_common_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3429000"/>
                    </a:xfrm>
                    <a:prstGeom prst="rect">
                      <a:avLst/>
                    </a:prstGeom>
                  </pic:spPr>
                </pic:pic>
              </a:graphicData>
            </a:graphic>
          </wp:inline>
        </w:drawing>
      </w:r>
    </w:p>
    <w:p w14:paraId="4AE9523C" w14:textId="77777777" w:rsidR="00B03F2C" w:rsidRDefault="00000000">
      <w:pPr>
        <w:keepLines/>
        <w:spacing w:before="60" w:after="200" w:line="260" w:lineRule="auto"/>
        <w:jc w:val="both"/>
      </w:pPr>
      <w:r>
        <w:rPr>
          <w:b/>
          <w:bCs/>
          <w:sz w:val="20"/>
          <w:szCs w:val="20"/>
        </w:rPr>
        <w:t xml:space="preserve">Figure 7. </w:t>
      </w:r>
      <w:r>
        <w:rPr>
          <w:sz w:val="20"/>
          <w:szCs w:val="20"/>
        </w:rPr>
        <w:t>Family-conditioned model comparisons on identical curves. Points show median C − B log-slope shifts over 400–750 K; intervals are 95% percentile intervals from 2,000 source-paper bootstrap resamples. Every model uses the same curves within each displayed group. Labels give curves and papers. Only groups with at least 80 common curves are plotted; other is a heterogeneous residual group. The vertical dashed line marks zero. These descriptive intervals quantify paper-sampling variation within the selected groups, not model-choice uncertainty or independently verified channel truth.</w:t>
      </w:r>
    </w:p>
    <w:p w14:paraId="7404A049" w14:textId="77777777" w:rsidR="00B03F2C" w:rsidRDefault="00000000" w:rsidP="00CA5F74">
      <w:pPr>
        <w:pStyle w:val="Heading2"/>
        <w:spacing w:line="480" w:lineRule="auto"/>
      </w:pPr>
      <w:r>
        <w:t>3.12 Ancillary transport consistency</w:t>
      </w:r>
    </w:p>
    <w:p w14:paraId="7085FE36" w14:textId="34AF8EB1" w:rsidR="00B03F2C" w:rsidRDefault="00000000" w:rsidP="00CA5F74">
      <w:pPr>
        <w:spacing w:line="480" w:lineRule="auto"/>
      </w:pPr>
      <w:r>
        <w:t xml:space="preserve">Power-factor consistency can be evaluated for 8,303 records and </w:t>
      </w:r>
      <m:oMath>
        <m:r>
          <w:rPr>
            <w:rFonts w:ascii="Cambria Math" w:hAnsi="Cambria Math"/>
          </w:rPr>
          <m:t>zT</m:t>
        </m:r>
      </m:oMath>
      <w:r>
        <w:t xml:space="preserve"> consistency for 11,972. Median per-record symmetric discrepancies are 1.46% and 2.36%, respectively. Even the best matching candidate exceeds the 20% review threshold for 646 power-factor records and 1,185 zT records; these groups may overlap. Digitisation, differing experimental conditions, source-curve selection and internally inconsistent measurements can all contribute. These flags identify records for review and are not estimates of the rate of erroneous experiments (Supplementary Table 33).</w:t>
      </w:r>
    </w:p>
    <w:p w14:paraId="5F765AD2" w14:textId="77777777" w:rsidR="00B03F2C" w:rsidRDefault="00000000" w:rsidP="00CA5F74">
      <w:pPr>
        <w:spacing w:line="480" w:lineRule="auto"/>
      </w:pPr>
      <w:r>
        <w:t xml:space="preserve">The analysed cohort also contains source-matched carrier-concentration, carrier-mobility and Hall-coefficient curves for 908, 714 and 101 specimens, respectively (Supplementary Table 32). </w:t>
      </w:r>
      <w:r>
        <w:lastRenderedPageBreak/>
        <w:t>Availability does not guarantee usable temperature overlap or comparable measurement conditions. Hall-derived concentration is not automatically the model’s net dopant density, and a two-carrier Hall comparison requires additional assumptions about Hall factors and scattering. These measurements are catalogued for subsequent validation and do not enter the present inference. Source-reported lattice or electronic thermal conductivity is likewise not treated as independent ground truth, because it may already depend on a subtraction model.</w:t>
      </w:r>
    </w:p>
    <w:p w14:paraId="5A871835" w14:textId="77777777" w:rsidR="00B03F2C" w:rsidRDefault="00000000" w:rsidP="00CA5F74">
      <w:pPr>
        <w:pStyle w:val="Heading1"/>
        <w:spacing w:line="480" w:lineRule="auto"/>
      </w:pPr>
      <w:r>
        <w:t>4. Discussion</w:t>
      </w:r>
    </w:p>
    <w:p w14:paraId="0BB89501" w14:textId="0CD787E2" w:rsidR="00B03F2C" w:rsidRDefault="00000000" w:rsidP="00CA5F74">
      <w:pPr>
        <w:spacing w:after="120" w:line="480" w:lineRule="auto"/>
        <w:jc w:val="both"/>
      </w:pPr>
      <w:r>
        <w:t xml:space="preserve">Under a unipolar convention, bipolar heat remains in </w:t>
      </w:r>
      <m:oMath>
        <m:r>
          <w:rPr>
            <w:rFonts w:ascii="Cambria Math" w:hAnsi="Cambria Math"/>
          </w:rPr>
          <m:t>κ - LσT</m:t>
        </m:r>
      </m:oMath>
      <w:r>
        <w:t>. This comparison quantifies how specified models partition that remainder and change finite-window slopes; it does not establish bipolar heat as the only explanation.</w:t>
      </w:r>
    </w:p>
    <w:p w14:paraId="4339027B" w14:textId="650A2969" w:rsidR="00B03F2C" w:rsidRDefault="00000000" w:rsidP="00CA5F74">
      <w:pPr>
        <w:spacing w:after="120" w:line="480" w:lineRule="auto"/>
        <w:jc w:val="both"/>
      </w:pPr>
      <w:r>
        <w:t xml:space="preserve">One scoping point governs what follows. We apply a standard recipe to published σ, </w:t>
      </w:r>
      <w:r>
        <w:rPr>
          <w:i/>
          <w:iCs/>
        </w:rPr>
        <w:t>S</w:t>
      </w:r>
      <w:r>
        <w:t xml:space="preserve"> and κ; we do not read each source publication to establish whether its authors used that recipe, applied a bipolar correction, or reported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r>
          <w:rPr>
            <w:rFonts w:ascii="Cambria Math" w:hAnsi="Cambria Math"/>
          </w:rPr>
          <m:t xml:space="preserve"> + </m:t>
        </m:r>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knowingly. The claim is about what the conventional recipe yields across the published record, not that any </w:t>
      </w:r>
      <w:proofErr w:type="gramStart"/>
      <w:r>
        <w:t>particular reported</w:t>
      </w:r>
      <w:proofErr w:type="gramEnd"/>
      <w:r>
        <w:t xml:space="preserve"> value is wrong.</w:t>
      </w:r>
    </w:p>
    <w:p w14:paraId="7D210E95" w14:textId="77777777" w:rsidR="00B03F2C" w:rsidRDefault="00000000" w:rsidP="00CA5F74">
      <w:pPr>
        <w:spacing w:after="120" w:line="480" w:lineRule="auto"/>
        <w:jc w:val="both"/>
      </w:pPr>
      <w:r>
        <w:t>The six-model comparison separates two claims that a single model cannot. On a fixed population of 1,507 curves, the sign of the median shift, a more steeply falling model lattice estimate relative to the unipolar remainder, survives relaxation of carrier symmetry and of lattice monotonicity. On each model’s native set the shift is also largest in the highest inferred-bipolar stratum and larger at ≥15% rollover than without rollover, although the rollover gradient is not monotone in the flexible-lattice models. The size of the shift does not survive: the common-set median varies about 5.6-fold between models, with the largest changes when the lattice is flexible, particularly together with independent bands. Under these models, part of the conventional high-temperature remainder in bipolar-prone curves is attributed to bipolar heat, flattening its decline. That qualitative statement is better supported than any single numerical correction, and it remains a model attribution rather than a measured error.</w:t>
      </w:r>
    </w:p>
    <w:p w14:paraId="78396B87" w14:textId="77777777" w:rsidR="00B03F2C" w:rsidRDefault="00000000" w:rsidP="00CA5F74">
      <w:pPr>
        <w:spacing w:after="120" w:line="480" w:lineRule="auto"/>
        <w:jc w:val="both"/>
      </w:pPr>
      <w:r>
        <w:t xml:space="preserve">The known-truth tests show why the magnitude stays uncertain. Restricting the lattice to decrease produces confident but wrong lattice slopes when the truth rises; freeing it increases coverage to near </w:t>
      </w:r>
      <w:r>
        <w:lastRenderedPageBreak/>
        <w:t>or above the nominal target by widening intervals roughly nine- to fourteen-fold without reducing median absolute slope error, and estimators fitted under one thermal hypothesis mis-assign heat generated under another while still reproducing the measured total. Three transport curves do not, by themselves, identify how high-temperature heat is shared between lattice, bipolar and other channels. Flexibility exposes this non-identifiability; it does not resolve it.</w:t>
      </w:r>
    </w:p>
    <w:p w14:paraId="4DDF0E8E" w14:textId="77777777" w:rsidR="00B03F2C" w:rsidRDefault="00000000" w:rsidP="00CA5F74">
      <w:pPr>
        <w:spacing w:after="120" w:line="480" w:lineRule="auto"/>
        <w:jc w:val="both"/>
      </w:pPr>
      <w:r>
        <w:t>The comparisons do not compute model probabilities or a model-averaged decomposition, and the alternatives differ in dimension and prior support as well as in physics. Lattice and bipolar coverage below nominal in the same-model tests, larger draw-to-draw spread in flexible models, and the Gaussian approximation all remain part of the interpretation. Wider posterior bands also raise the containment-based admission rate, so selection must be controlled, as here, before attributing a change to the physical decomposition.</w:t>
      </w:r>
    </w:p>
    <w:p w14:paraId="013E48D0" w14:textId="77777777" w:rsidR="00B03F2C" w:rsidRDefault="00000000" w:rsidP="00CA5F74">
      <w:pPr>
        <w:spacing w:after="120" w:line="480" w:lineRule="auto"/>
        <w:jc w:val="both"/>
      </w:pPr>
      <w:r>
        <w:t>Genuine lattice upturns, radiation, sample changes, band complexity and imperfect error models challenge inference. Associations with inferred bipolar heat and measured rollover remain descriptive evidence, not independent validation. Joint modelling exposes assumptions and tests agreement with several measured channels, at the cost of dependence on the full simulator, prior and approximation. Reproducibility is necessary for assessing these dependencies but insufficient for physical validation.</w:t>
      </w:r>
    </w:p>
    <w:p w14:paraId="4D7C0444" w14:textId="77777777" w:rsidR="00B03F2C" w:rsidRDefault="00000000" w:rsidP="00CA5F74">
      <w:pPr>
        <w:pStyle w:val="Heading1"/>
        <w:spacing w:line="480" w:lineRule="auto"/>
      </w:pPr>
      <w:r>
        <w:t>5. Limitations</w:t>
      </w:r>
    </w:p>
    <w:p w14:paraId="29BC8118" w14:textId="77777777" w:rsidR="00B03F2C" w:rsidRDefault="00000000" w:rsidP="00CA5F74">
      <w:pPr>
        <w:spacing w:after="120" w:line="480" w:lineRule="auto"/>
        <w:jc w:val="both"/>
      </w:pPr>
      <w:r>
        <w:t>The fit screen neither establishes calibration on real materials nor diagnoses exclusions. Publication, digitisation and historical selection effects also limit generalisation beyond this corpus.</w:t>
      </w:r>
    </w:p>
    <w:p w14:paraId="3FB1333C" w14:textId="77777777" w:rsidR="00B03F2C" w:rsidRDefault="00000000" w:rsidP="00CA5F74">
      <w:pPr>
        <w:spacing w:after="120" w:line="480" w:lineRule="auto"/>
        <w:jc w:val="both"/>
      </w:pPr>
      <w:r>
        <w:t>Bootstrap intervals describe paper-sampling variation within selected subsets, not systematic measurement errors, uncertainty in the lost historical filter, all posterior approximation errors or choice of physical model.</w:t>
      </w:r>
    </w:p>
    <w:p w14:paraId="0C076382" w14:textId="3DA1A3BA" w:rsidR="00B03F2C" w:rsidRDefault="00000000" w:rsidP="00CA5F74">
      <w:pPr>
        <w:spacing w:after="120" w:line="480" w:lineRule="auto"/>
        <w:jc w:val="both"/>
      </w:pPr>
      <w:r>
        <w:t xml:space="preserve">Carrier-asymmetry tests on the reference model generate 1,000 curves each at minority mobility multipliers 0.1 and 10 (seeds 2005 and 2006), then infer them using the shared-mobility model. These rates use each set’s native scored curves; Section 3.9 reports the sets scored by all six models. For multiplier 0.1, 841 curves were scored and 765 admitted;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pointwise coverage on scored </w:t>
      </w:r>
      <w:r>
        <w:lastRenderedPageBreak/>
        <w:t xml:space="preserve">curves was 90.9% and 73.6%. For multiplier 10, 696 curves were scored and 595 admitted;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xml:space="preserve"> and </w:t>
      </w:r>
      <m:oMath>
        <m:sSub>
          <m:sSubPr>
            <m:ctrlPr>
              <w:rPr>
                <w:rFonts w:ascii="Cambria Math" w:hAnsi="Cambria Math"/>
                <w:i/>
              </w:rPr>
            </m:ctrlPr>
          </m:sSubPr>
          <m:e>
            <m:r>
              <w:rPr>
                <w:rFonts w:ascii="Cambria Math" w:hAnsi="Cambria Math"/>
              </w:rPr>
              <m:t>κ</m:t>
            </m:r>
          </m:e>
          <m:sub>
            <m:r>
              <w:rPr>
                <w:rFonts w:ascii="Cambria Math" w:hAnsi="Cambria Math"/>
                <w:vertAlign w:val="subscript"/>
              </w:rPr>
              <m:t>bip</m:t>
            </m:r>
          </m:sub>
        </m:sSub>
      </m:oMath>
      <w:r>
        <w:t xml:space="preserve"> pointwise coverage on scored curves was 89.6% and 71.5%. The independent-band models address this departure (Section 3.9) but not unequal band shapes or non-parabolic dispersion.</w:t>
      </w:r>
    </w:p>
    <w:p w14:paraId="12813C7C" w14:textId="77FED660" w:rsidR="00B03F2C" w:rsidRDefault="00000000" w:rsidP="00CA5F74">
      <w:pPr>
        <w:spacing w:after="120" w:line="480" w:lineRule="auto"/>
        <w:jc w:val="both"/>
      </w:pPr>
      <w:r>
        <w:t xml:space="preserve">A separate 1,000-curve test (seed 2004) generates increasing lattice heat with </w:t>
      </w:r>
      <w:r>
        <w:rPr>
          <w:i/>
          <w:iCs/>
        </w:rPr>
        <w:t>w</w:t>
      </w:r>
      <w:r>
        <w:t xml:space="preserve"> between −1.2 and −0.2 and gaps from 1.5 to approximately 3.55 eV, then infers with </w:t>
      </w:r>
      <w:r>
        <w:rPr>
          <w:i/>
          <w:iCs/>
        </w:rPr>
        <w:t>w</w:t>
      </w:r>
      <w:r>
        <w:t xml:space="preserve"> ≥ 0. Where true bipolar heat is below 2% of true total at </w:t>
      </w:r>
      <m:oMath>
        <m:sSub>
          <m:sSubPr>
            <m:ctrlPr>
              <w:rPr>
                <w:rFonts w:ascii="Cambria Math" w:hAnsi="Cambria Math"/>
                <w:i/>
                <w:iCs/>
              </w:rPr>
            </m:ctrlPr>
          </m:sSubPr>
          <m:e>
            <m:r>
              <w:rPr>
                <w:rFonts w:ascii="Cambria Math" w:hAnsi="Cambria Math"/>
              </w:rPr>
              <m:t>T</m:t>
            </m:r>
          </m:e>
          <m:sub>
            <m:r>
              <w:rPr>
                <w:rFonts w:ascii="Cambria Math" w:hAnsi="Cambria Math"/>
                <w:vertAlign w:val="subscript"/>
              </w:rPr>
              <m:t>hi</m:t>
            </m:r>
          </m:sub>
        </m:sSub>
      </m:oMath>
      <w:r>
        <w:t>, a false assignment means an inferred median above 10% of that total. False assignments occurred in 13 of 214 eligible scored cases and 12 of 160 eligible admitted cases. All six models were also run on this set (Section 3.9).</w:t>
      </w:r>
    </w:p>
    <w:p w14:paraId="02FA14C0" w14:textId="77777777" w:rsidR="00B03F2C" w:rsidRDefault="00000000" w:rsidP="00CA5F74">
      <w:pPr>
        <w:spacing w:after="120" w:line="480" w:lineRule="auto"/>
        <w:jc w:val="both"/>
      </w:pPr>
      <w:r>
        <w:t>The flexible lattice depends on six fixed knots and a broad independent node prior whose support was widened after inspection of the inherited benchmarks; knot placement and node-prior alternatives have not been tested. The rising channel has one fixed cubic shape and a bounded amplitude. Each extended model was trained with a single seed, and all use the same Gaussian density head and sign factorisation. Non-parabolic and multi-valley bands, specimen-dependent measurement errors and correlated calibration errors are not represented.</w:t>
      </w:r>
    </w:p>
    <w:p w14:paraId="4EFAC9F7" w14:textId="1EC8C0CB" w:rsidR="00B03F2C" w:rsidRDefault="00000000" w:rsidP="00CA5F74">
      <w:pPr>
        <w:spacing w:after="120" w:line="480" w:lineRule="auto"/>
        <w:jc w:val="both"/>
      </w:pPr>
      <w:r>
        <w:t>The inferred gap is not an independently validated measurement. Goldsmid–Sharp estimates</w:t>
      </w:r>
      <w:r w:rsidR="001C2327">
        <w:fldChar w:fldCharType="begin"/>
      </w:r>
      <w:r w:rsidR="007A414E">
        <w:instrText xml:space="preserve"> ADDIN ZOTERO_ITEM CSL_CITATION {"citationID":"kQxorJoM","properties":{"unsorted":false,"formattedCitation":"\\super 21\\nosupersub{}","plainCitation":"21","noteIndex":0},"citationItems":[{"id":4797,"uris":["http://zotero.org/groups/6712166/items/ITLH9V9D"],"itemData":{"id":4797,"type":"article-journal","container-title":"Journal of Electronic Materials","DOI":"10.1007/s11664-999-0211-y","ISSN":"0361-5235, 1543-186X","issue":"7","journalAbbreviation":"J. Electron. Mater.","language":"en","license":"https://www.springer.com/tdm","page":"869-872","source":"DOI.org (Crossref)","title":"Estimation of the thermal band gap of a semiconductor from seebeck measurements","volume":"28","author":[{"family":"Goldsmid","given":"H. J."},{"family":"Sharp","given":"J. W."}],"issued":{"date-parts":[["1999",7]]}}}],"schema":"https://github.com/citation-style-language/schema/raw/master/csl-citation.json"} </w:instrText>
      </w:r>
      <w:r w:rsidR="001C2327">
        <w:fldChar w:fldCharType="separate"/>
      </w:r>
      <w:r w:rsidR="007A414E" w:rsidRPr="007A414E">
        <w:rPr>
          <w:vertAlign w:val="superscript"/>
        </w:rPr>
        <w:t>21</w:t>
      </w:r>
      <w:r w:rsidR="001C2327">
        <w:fldChar w:fldCharType="end"/>
      </w:r>
      <w:r>
        <w:t xml:space="preserve"> reuse </w:t>
      </w:r>
      <w:proofErr w:type="spellStart"/>
      <w:r>
        <w:t>Seebeck</w:t>
      </w:r>
      <w:proofErr w:type="spellEnd"/>
      <w:r>
        <w:t xml:space="preserve"> data already seen by the network and can deviate with unequal weighted mobilities or narrow gaps</w:t>
      </w:r>
      <w:r w:rsidR="001C2327">
        <w:fldChar w:fldCharType="begin"/>
      </w:r>
      <w:r w:rsidR="007A414E">
        <w:instrText xml:space="preserve"> ADDIN ZOTERO_ITEM CSL_CITATION {"citationID":"mJ55JuvJ","properties":{"unsorted":false,"formattedCitation":"\\super 22\\nosupersub{}","plainCitation":"22","noteIndex":0},"citationItems":[{"id":4798,"uris":["http://zotero.org/groups/6712166/items/L28JA4QX"],"itemData":{"id":4798,"type":"article-journal","abstract":"In characterizing thermoelectric materials, electrical and thermal transport measurements are often used to estimate electronic band structure properties such as the effective mass and band gap. The Goldsmid-Sharp band gap, Eg = 2e|S|maxTmax, is a tool widely employed to estimate the band gap from temperature dependent Seebeck coefficient measurements. However, significant deviations of more than a factor of two are now known to occur. We find that this is when either the majority-to-minority weighted mobility ratio (A) becomes very different from 1.0 or as the band gap (Eg) becomes significantly smaller than 10 kBT. For narrow gaps (Eg </w:instrText>
      </w:r>
      <w:r w:rsidR="007A414E">
        <w:rPr>
          <w:rFonts w:ascii="Cambria Math" w:hAnsi="Cambria Math" w:cs="Cambria Math"/>
        </w:rPr>
        <w:instrText>≲</w:instrText>
      </w:r>
      <w:r w:rsidR="007A414E">
        <w:instrText xml:space="preserve"> 6 kBT), the Maxwell-Boltzmann statistics applied by Goldsmid-Sharp break down and Fermi-Dirac statistics are required. We generate a chart that can be used to quickly estimate the expected correction to the Goldsmid-Sharp band gap depending on A and Smax; however, additional errors can occur for S &amp;lt; 150 μV/K due to degenerate behavior.","container-title":"Applied Physics Letters","DOI":"10.1063/1.4905922","ISSN":"0003-6951, 1077-3118","issue":"2","language":"en","page":"022112","source":"DOI.org (Crossref)","title":"Band gap estimation from temperature dependent Seebeck measurement—Deviations from the &lt;i&gt;2e|S|maxTmax&lt;/i&gt; relation","volume":"106","author":[{"family":"Gibbs","given":"Zachary M."},{"family":"Kim","given":"Hyun-Sik"},{"family":"Wang","given":"Heng"},{"family":"Snyder","given":"G. Jeffrey"}],"issued":{"date-parts":[["2015",1,12]]}}}],"schema":"https://github.com/citation-style-language/schema/raw/master/csl-citation.json"} </w:instrText>
      </w:r>
      <w:r w:rsidR="001C2327">
        <w:fldChar w:fldCharType="separate"/>
      </w:r>
      <w:r w:rsidR="007A414E" w:rsidRPr="007A414E">
        <w:rPr>
          <w:vertAlign w:val="superscript"/>
        </w:rPr>
        <w:t>22</w:t>
      </w:r>
      <w:r w:rsidR="001C2327">
        <w:fldChar w:fldCharType="end"/>
      </w:r>
      <w:r>
        <w:t xml:space="preserve"> . Gap and minority mass affect bipolar transport, so their uncertainty or bias can propagate into </w:t>
      </w:r>
      <m:oMath>
        <m:sSub>
          <m:sSubPr>
            <m:ctrlPr>
              <w:rPr>
                <w:rFonts w:ascii="Cambria Math" w:hAnsi="Cambria Math"/>
                <w:i/>
              </w:rPr>
            </m:ctrlPr>
          </m:sSubPr>
          <m:e>
            <m:r>
              <w:rPr>
                <w:rFonts w:ascii="Cambria Math" w:hAnsi="Cambria Math"/>
              </w:rPr>
              <m:t>κ</m:t>
            </m:r>
          </m:e>
          <m:sub>
            <m:r>
              <w:rPr>
                <w:rFonts w:ascii="Cambria Math" w:hAnsi="Cambria Math"/>
                <w:vertAlign w:val="subscript"/>
              </w:rPr>
              <m:t>L</m:t>
            </m:r>
          </m:sub>
        </m:sSub>
      </m:oMath>
      <w:r>
        <w:t>; the lattice result is not independent of them.</w:t>
      </w:r>
    </w:p>
    <w:p w14:paraId="0622D5C3" w14:textId="77777777" w:rsidR="00B03F2C" w:rsidRDefault="00000000" w:rsidP="00CA5F74">
      <w:pPr>
        <w:spacing w:after="120" w:line="480" w:lineRule="auto"/>
        <w:jc w:val="both"/>
      </w:pPr>
      <w:r>
        <w:t xml:space="preserve">Multiplicative 2% noise preserves the sign of </w:t>
      </w:r>
      <w:r>
        <w:rPr>
          <w:i/>
          <w:iCs/>
        </w:rPr>
        <w:t>S</w:t>
      </w:r>
      <w:r>
        <w:t xml:space="preserve"> and has vanishing absolute error near zero. It induces interpolation correlations but omits shared systematics and additive error. Larger digitisation or measurement errors affect screening and uncertainty interpretation.</w:t>
      </w:r>
    </w:p>
    <w:p w14:paraId="016F59D5" w14:textId="77777777" w:rsidR="00B03F2C" w:rsidRDefault="00000000" w:rsidP="00CA5F74">
      <w:pPr>
        <w:pStyle w:val="Heading1"/>
        <w:spacing w:line="480" w:lineRule="auto"/>
      </w:pPr>
      <w:r>
        <w:t>6. Remaining validation needs</w:t>
      </w:r>
    </w:p>
    <w:p w14:paraId="27D5F881" w14:textId="77777777" w:rsidR="00B03F2C" w:rsidRDefault="00000000" w:rsidP="00CA5F74">
      <w:pPr>
        <w:spacing w:after="120" w:line="480" w:lineRule="auto"/>
        <w:jc w:val="both"/>
      </w:pPr>
      <w:r>
        <w:t>This work corrects the implementation, adds independent synthetic diagnostics and refits the corpus under five relaxed models. Open scientific limitations are distinguished from completed checks.</w:t>
      </w:r>
    </w:p>
    <w:p w14:paraId="56AB2236" w14:textId="77777777" w:rsidR="00B03F2C" w:rsidRDefault="00000000" w:rsidP="00CA5F74">
      <w:pPr>
        <w:spacing w:after="120" w:line="480" w:lineRule="auto"/>
        <w:jc w:val="both"/>
      </w:pPr>
      <w:r>
        <w:lastRenderedPageBreak/>
        <w:t>Flexible-lattice models have now been fitted to real curves and known-truth simulations. Their sensitivity to knot placement, node priors and alternative positive lattice families remains to be tested, and model probabilities or model averaging over the six hypotheses have not been computed.</w:t>
      </w:r>
    </w:p>
    <w:p w14:paraId="7E4C638B" w14:textId="0D8E0B6D" w:rsidR="00B03F2C" w:rsidRDefault="00000000" w:rsidP="00CA5F74">
      <w:pPr>
        <w:spacing w:after="120" w:line="480" w:lineRule="auto"/>
        <w:jc w:val="both"/>
      </w:pPr>
      <w:r>
        <w:t>Further checks should examine joint rank calibration, simultaneous coverage, more flexible conditional density estimators, replicate training seeds, per-curve MCMC comparisons and larger draw counts</w:t>
      </w:r>
      <w:r w:rsidR="001C2327">
        <w:fldChar w:fldCharType="begin"/>
      </w:r>
      <w:r w:rsidR="007A414E">
        <w:instrText xml:space="preserve"> ADDIN ZOTERO_ITEM CSL_CITATION {"citationID":"zwbhTbaY","properties":{"unsorted":false,"formattedCitation":"\\super 10,11,19\\nosupersub{}","plainCitation":"10,11,19","noteIndex":0},"citationItems":[{"id":4781,"uris":["http://zotero.org/groups/6712166/items/KAZ35DFD"],"itemData":{"id":4781,"type":"article","abstract":"Verifying the correctness of Bayesian computation is challenging. This is especially true for complex models that are common in practice, as these require sophisticated model implementations and algorithms. In this paper we introduce \\emph{simulation-based calibration} (SBC), a general procedure for validating inferences from Bayesian algorithms capable of generating posterior samples. This procedure not only identifies inaccurate computation and inconsistencies in model implementations but also provides graphical summaries that can indicate the nature of the problems that arise. We argue that SBC is a critical part of a robust Bayesian workflow, as well as being a useful tool for those developing computational algorithms and statistical software.","DOI":"10.48550/arXiv.1804.06788","note":"arXiv:1804.06788 [stat.ME]","number":"arXiv:1804.06788","publisher":"arXiv","source":"arXiv.org","title":"Validating Bayesian Inference Algorithms with Simulation-Based Calibration","URL":"http://arxiv.org/abs/1804.06788","author":[{"family":"Talts","given":"Sean"},{"family":"Betancourt","given":"Michael"},{"family":"Simpson","given":"Daniel"},{"family":"Vehtari","given":"Aki"},{"family":"Gelman","given":"Andrew"}],"accessed":{"date-parts":[["2026",10,10]]},"issued":{"date-parts":[["2020",10,21]]}}},{"id":4799,"uris":["http://zotero.org/groups/6712166/items/Y4N9HZH6"],"itemData":{"id":4799,"type":"article-journal","abstract":"We present extensive empirical evidence showing that current Bayesian simulation-based inference algorithms can produce computationally unfaithful posterior approximations. Our results show that all benchmarked algorithms -- (S)NPE, (S)NRE, SNL and variants of ABC -- can yield overconfident posterior approximations, which makes them unreliable for scientific use cases and falsificationist inquiry. Failing to address this issue may reduce the range of applicability of simulation-based inference. For this reason, we argue that research efforts should be made towards theoretical and methodological developments of conservative approximate inference algorithms and present research directions towards this objective. In this regard, we show empirical evidence that ensembling posterior surrogates provides more reliable approximations and mitigates the issue.","container-title":"Transactions on Machine Learning Research","ISSN":"2835-8856","language":"en","source":"openreview.net","title":"A Crisis In Simulation-Based Inference? Beware, Your Posterior Approximations Can Be Unfaithful","title-short":"A Crisis In Simulation-Based Inference?","URL":"https://openreview.net/forum?id=LHAbHkt6Aq","author":[{"family":"Hermans","given":"Joeri"},{"family":"Delaunoy","given":"Arnaud"},{"family":"Rozet","given":"François"},{"family":"Wehenkel","given":"Antoine"},{"family":"Begy","given":"Volodimir"},{"family":"Louppe","given":"Gilles"}],"accessed":{"date-parts":[["2026",10,12]]},"issued":{"date-parts":[["2022",9,5]]}}},{"id":4802,"uris":["http://zotero.org/groups/6712166/items/VQANVE24"],"itemData":{"id":4802,"type":"paper-conference","abstract":"Recent advances in probabilistic modelling have led to a large number of simulation-based inference algorithms which do not require numerical evaluation of likelihoods. However, a public benchmark with appropriate performance metrics for such ’likelihood-free’ algorithms has been lacking. This has made it difficult to compare algorithms and identify their strengths and weaknesses. We set out to fill this gap: We provide a benchmark with inference tasks and suitable performance metrics, with an initial selection of algorithms including recent approaches employing neural networks and classical Approximate Bayesian Computation methods. We found that the choice of performance metric is critical, that even state-of-the-art algorithms have substantial room for improvement, and that sequential estimation improves sample efficiency. Neural network-based approaches generally exhibit better performance, but there is no uniformly best algorithm. We provide practical advice and highlight the potential of the benchmark to diagnose problems and improve algorithms. The results can be explored interactively on a companion website. All code is open source, making it possible to contribute further benchmark tasks and inference algorithms.","container-title":"Proceedings of The 24th International Conference on Artificial Intelligence and Statistics","event-title":"International Conference on Artificial Intelligence and Statistics","ISSN":"2640-3498","language":"en","page":"343-351","publisher":"PMLR","source":"proceedings.mlr.press","title":"Benchmarking Simulation-Based Inference","URL":"https://proceedings.mlr.press/v130/lueckmann21a.html","author":[{"family":"Lueckmann","given":"Jan-Matthis"},{"family":"Boelts","given":"Jan"},{"family":"Greenberg","given":"David"},{"family":"Goncalves","given":"Pedro"},{"family":"Macke","given":"Jakob"}],"accessed":{"date-parts":[["2026",10,12]]},"issued":{"date-parts":[["2021",3,18]]}}}],"schema":"https://github.com/citation-style-language/schema/raw/master/csl-citation.json"} </w:instrText>
      </w:r>
      <w:r w:rsidR="001C2327">
        <w:fldChar w:fldCharType="separate"/>
      </w:r>
      <w:r w:rsidR="007A414E" w:rsidRPr="007A414E">
        <w:rPr>
          <w:vertAlign w:val="superscript"/>
        </w:rPr>
        <w:t>10,11,19</w:t>
      </w:r>
      <w:r w:rsidR="001C2327">
        <w:fldChar w:fldCharType="end"/>
      </w:r>
      <w:r>
        <w:t xml:space="preserve"> . Carrier tests should vary band shape and non-parabolicity. The current tests cover selected departures rather than every plausible mismatch.</w:t>
      </w:r>
    </w:p>
    <w:p w14:paraId="5393BFA2" w14:textId="649A3D35" w:rsidR="00B03F2C" w:rsidRDefault="00000000" w:rsidP="00CA5F74">
      <w:pPr>
        <w:spacing w:after="120" w:line="480" w:lineRule="auto"/>
        <w:jc w:val="both"/>
      </w:pPr>
      <w:r>
        <w:t>External benchmarks should use matched specimens with Hall data, independent gaps or thermal-separation experiments. Model-assisted decompositions</w:t>
      </w:r>
      <w:r w:rsidR="001C2327">
        <w:fldChar w:fldCharType="begin"/>
      </w:r>
      <w:r w:rsidR="001C2327">
        <w:instrText xml:space="preserve"> ADDIN ZOTERO_ITEM CSL_CITATION {"citationID":"3uyGLUHg","properties":{"unsorted":false,"formattedCitation":"\\super 3,5\\nosupersub{}","plainCitation":"3,5","noteIndex":0},"citationItems":[{"id":4774,"uris":["http://zotero.org/groups/6712166/items/H46DZ9EA"],"itemData":{"id":4774,"type":"article-journal","abstract":"Abstract\n            Intriguing experimental results raised the question about the fundamental mechanisms governing the electron-hole coupling induced bipolar thermal conduction in semiconductors. Our combined theoretical analysis and experimental measurements show that in semiconductors bipolar thermal transport is in general a “conductivity-limiting” phenomenon and it is thus controlled by the carrier mobility ratio and by the minority carrier partial electrical conductivity for the intrinsic and extrinsic cases, respectively. Our numerical method quantifies the role of electronic band structure and carrier scattering mechanisms. We have successfully demonstrated bipolar thermal conductivity reduction in doped semiconductors via electronic band structure modulation and/or preferential minority carrier scatterings. We expect this study to be beneficial to the current interests in optimizing thermoelectric properties of narrow gap semiconductors.","container-title":"Scientific Reports","DOI":"10.1038/srep10136","ISSN":"2045-2322","issue":"1","journalAbbreviation":"Sci Rep","language":"en","page":"10136","source":"DOI.org (Crossref)","title":"Conductivity-limiting bipolar thermal conductivity in semiconductors","volume":"5","author":[{"family":"Wang","given":"Shanyu"},{"family":"Yang","given":"Jiong"},{"family":"Toll","given":"Trevor"},{"family":"Yang","given":"Jihui"},{"family":"Zhang","given":"Wenqing"},{"family":"Tang","given":"Xinfeng"}],"issued":{"date-parts":[["2015",5,13]]}}},{"id":4776,"uris":["http://zotero.org/groups/6712166/items/BXIWLBXQ"],"itemData":{"id":4776,"type":"article-journal","abstract":"Cation substitutional doping is an effective approach to modifying the electronic and thermal transports in Bi2Te3-based thermoelectric alloys. Here we present a comprehensive analysis of the electrical and thermal conductivities of polycrystalline Pb-doped p-type bulk Bi0.48Sb1.52Te3. Pb doping significantly increased the electrical conductivity up to ~2700 S/cm at x = 0.02 in Bi0.48-xPbxSb1.52Te3 due to the increase in hole carrier concentration. Even though the total thermal conductivity increased as Pb was added, due to the increased hole carrier concentration, the thermal conductivity was reduced by 14–22% if the contribution of the increased hole carrier concentration was excluded. To further understand the origin of reduction in the thermal conductivity, we first estimated the contribution of bipolar conduction to thermal conductivity from a two-parabolic band model, which is an extension of the single parabolic band model. Thereafter, the contribution of additional point defect scattering caused by Pb substitution (Pb in the cation site) was analyzed using the Debye–Callaway model. We found that Pb doping significantly suppressed both the bipolar thermal conduction and lattice thermal conductivity simultaneously, while the bipolar contribution to the total thermal conductivity reduction increased at high temperatures. At Pb doping of x = 0.02, the bipolar thermal conductivity decreased by ~30% from 0.47 W/mK to 0.33 W/mK at 480 K, which accounts for 70% of the total reduction.","container-title":"Materials","DOI":"10.3390/ma10070763","ISSN":"1996-1944","issue":"7","journalAbbreviation":"Materials","language":"en","page":"763","source":"DOI.org (Crossref)","title":"Effect of Substitutional Pb Doping on Bipolar and Lattice Thermal Conductivity in p-Type Bi0.48Sb1.52Te3","volume":"10","author":[{"family":"Kim","given":"Hyun-sik"},{"family":"Lee","given":"Kyu Hyoung"},{"family":"Yoo","given":"Joonyeon"},{"family":"Youn","given":"Jehun"},{"family":"Roh","given":"Jong Wook"},{"family":"Kim","given":"Sang-il"},{"family":"Kim","given":"Sung Wng"}],"issued":{"date-parts":[["2017",7,6]]}}}],"schema":"https://github.com/citation-style-language/schema/raw/master/csl-citation.json"} </w:instrText>
      </w:r>
      <w:r w:rsidR="001C2327">
        <w:fldChar w:fldCharType="separate"/>
      </w:r>
      <w:r w:rsidR="001C2327" w:rsidRPr="001C2327">
        <w:rPr>
          <w:vertAlign w:val="superscript"/>
        </w:rPr>
        <w:t>3,5</w:t>
      </w:r>
      <w:r w:rsidR="001C2327">
        <w:fldChar w:fldCharType="end"/>
      </w:r>
      <w:r>
        <w:t xml:space="preserve"> and low-temperature high-field separation</w:t>
      </w:r>
      <w:r w:rsidR="001C2327">
        <w:fldChar w:fldCharType="begin"/>
      </w:r>
      <w:r w:rsidR="001C2327">
        <w:instrText xml:space="preserve"> ADDIN ZOTERO_ITEM CSL_CITATION {"citationID":"G9Zbt6Qi","properties":{"unsorted":false,"formattedCitation":"\\super 7\\nosupersub{}","plainCitation":"7","noteIndex":0},"citationItems":[{"id":4778,"uris":["http://zotero.org/groups/6712166/items/FDHC5PRZ"],"itemData":{"id":4778,"type":"article-journal","container-title":"Nature Communications","DOI":"10.1038/s41467-025-66578-y","ISSN":"2041-1723","issue":"1","journalAbbreviation":"Nat Commun","language":"en","page":"11528","source":"DOI.org (Crossref)","title":"Hidden in plain heat: anomalous Lorenz number in the thermoelectric alloy Bi0.4Sb1.6Te3","title-short":"Hidden in plain heat","volume":"16","author":[{"family":"Candolfi","given":"Christophe"},{"family":"Wiendlocha","given":"Bartlomiej"},{"family":"Ohorodniichuk","given":"Viktoriia"},{"family":"Levinský","given":"Petr"},{"family":"Migot","given":"Sylvie"},{"family":"Steciuk","given":"Gwladys"},{"family":"Terzi","given":"Ilayda"},{"family":"Wieder","given":"Arthur"},{"family":"Dauscher","given":"Anne"},{"family":"El Oualid","given":"Soufiane"},{"family":"Lenoir","given":"Bertrand"}],"issued":{"date-parts":[["2025",11,21]]}}}],"schema":"https://github.com/citation-style-language/schema/raw/master/csl-citation.json"} </w:instrText>
      </w:r>
      <w:r w:rsidR="001C2327">
        <w:fldChar w:fldCharType="separate"/>
      </w:r>
      <w:r w:rsidR="001C2327" w:rsidRPr="001C2327">
        <w:rPr>
          <w:vertAlign w:val="superscript"/>
        </w:rPr>
        <w:t>7</w:t>
      </w:r>
      <w:r w:rsidR="001C2327">
        <w:fldChar w:fldCharType="end"/>
      </w:r>
      <w:r>
        <w:t xml:space="preserve"> are informative comparisons, but should not be treated as direct high-temperature ground truth without examining assumptions. Such constraints are the most direct route to narrowing the model dependence documented here.</w:t>
      </w:r>
    </w:p>
    <w:p w14:paraId="662B98AB" w14:textId="68468A45" w:rsidR="00B03F2C" w:rsidRDefault="00000000" w:rsidP="00CA5F74">
      <w:pPr>
        <w:spacing w:after="120" w:line="480" w:lineRule="auto"/>
        <w:jc w:val="both"/>
      </w:pPr>
      <w:r>
        <w:t xml:space="preserve">Before claiming errors in published lattice values, each source paper must still be checked for its reported quantity and thermal correction. The source-value and identity checks in Section 2.1 do not establish those methodological choices. These decomposition choices do not change measured </w:t>
      </w:r>
      <m:oMath>
        <m:r>
          <w:rPr>
            <w:rFonts w:ascii="Cambria Math" w:hAnsi="Cambria Math"/>
          </w:rPr>
          <m:t>zT</m:t>
        </m:r>
      </m:oMath>
      <w:r>
        <w:t>; they change its interpretation.</w:t>
      </w:r>
    </w:p>
    <w:p w14:paraId="33FC90D6" w14:textId="77777777" w:rsidR="00103115" w:rsidRPr="00103115" w:rsidRDefault="00103115" w:rsidP="00103115">
      <w:pPr>
        <w:spacing w:after="120" w:line="480" w:lineRule="auto"/>
        <w:jc w:val="both"/>
        <w:rPr>
          <w:b/>
          <w:bCs/>
          <w:sz w:val="26"/>
          <w:szCs w:val="26"/>
        </w:rPr>
      </w:pPr>
      <w:r w:rsidRPr="00103115">
        <w:rPr>
          <w:b/>
          <w:bCs/>
          <w:sz w:val="26"/>
          <w:szCs w:val="26"/>
        </w:rPr>
        <w:t>Code availability</w:t>
      </w:r>
    </w:p>
    <w:p w14:paraId="7B4D2D7E" w14:textId="77777777" w:rsidR="00103115" w:rsidRPr="00103115" w:rsidRDefault="00103115" w:rsidP="00103115">
      <w:pPr>
        <w:spacing w:after="120" w:line="480" w:lineRule="auto"/>
        <w:jc w:val="both"/>
      </w:pPr>
      <w:r w:rsidRPr="00103115">
        <w:t xml:space="preserve">Source code is hosted at </w:t>
      </w:r>
      <w:hyperlink r:id="rId14" w:history="1">
        <w:r w:rsidRPr="00103115">
          <w:rPr>
            <w:rStyle w:val="Hyperlink"/>
          </w:rPr>
          <w:t>https://github.com/SGovindanMI/bipolar-kappaL-sbi</w:t>
        </w:r>
      </w:hyperlink>
      <w:r w:rsidRPr="00103115">
        <w:t xml:space="preserve">. The repository contains the reference and </w:t>
      </w:r>
      <w:proofErr w:type="gramStart"/>
      <w:r w:rsidRPr="00103115">
        <w:t>extended</w:t>
      </w:r>
      <w:proofErr w:type="gramEnd"/>
      <w:r w:rsidRPr="00103115">
        <w:t xml:space="preserve"> forward models, explicit priors and observation simulator, training and inference commands, the reference checkpoint and five extended checkpoints with training histories, numerical summaries, figures and checksums. </w:t>
      </w:r>
      <w:proofErr w:type="gramStart"/>
      <w:r w:rsidRPr="00103115">
        <w:t>Large frozen observations,</w:t>
      </w:r>
      <w:proofErr w:type="gramEnd"/>
      <w:r w:rsidRPr="00103115">
        <w:t xml:space="preserve"> matched posterior draws, independent validation and stress-test arrays, and cross-model transfer arrays are deposited separately on </w:t>
      </w:r>
      <w:proofErr w:type="spellStart"/>
      <w:r w:rsidRPr="00103115">
        <w:t>Figshare</w:t>
      </w:r>
      <w:proofErr w:type="spellEnd"/>
      <w:r w:rsidRPr="00103115">
        <w:t xml:space="preserve"> at </w:t>
      </w:r>
      <w:hyperlink r:id="rId15" w:history="1">
        <w:r w:rsidRPr="00103115">
          <w:rPr>
            <w:rStyle w:val="Hyperlink"/>
          </w:rPr>
          <w:t>https://doi.org/10.6084/m9.figshare.34335810</w:t>
        </w:r>
      </w:hyperlink>
      <w:r w:rsidRPr="00103115">
        <w:t>.</w:t>
      </w:r>
    </w:p>
    <w:p w14:paraId="5AD72D1D" w14:textId="77777777" w:rsidR="00103115" w:rsidRPr="00103115" w:rsidRDefault="00103115" w:rsidP="00103115">
      <w:pPr>
        <w:spacing w:after="120" w:line="480" w:lineRule="auto"/>
        <w:jc w:val="both"/>
      </w:pPr>
      <w:r w:rsidRPr="00103115">
        <w:t>Extended-model runs are stored under runs/v6_main. Scripts in combined/ rebuild the manuscript tables and figures from archived outputs (build_combined_numbers.py and make_combined_figures.py) and check numerical-token traceability (verify_combined_manuscript.py). Claim-specific and common-</w:t>
      </w:r>
      <w:r w:rsidRPr="00103115">
        <w:lastRenderedPageBreak/>
        <w:t>family checks supplement token matching, which alone does not verify context or interpretation. Training datasets can be regenerated from the recorded seeds, although device and floating-point differences may prevent bitwise-identical retraining. The archived arrays and checkpoints define the reported results.</w:t>
      </w:r>
    </w:p>
    <w:p w14:paraId="0138684A" w14:textId="77777777" w:rsidR="00103115" w:rsidRDefault="00103115" w:rsidP="00CA5F74">
      <w:pPr>
        <w:spacing w:after="120" w:line="480" w:lineRule="auto"/>
        <w:jc w:val="both"/>
      </w:pPr>
    </w:p>
    <w:p w14:paraId="6B800A26" w14:textId="77777777" w:rsidR="00103115" w:rsidRPr="00103115" w:rsidRDefault="00103115" w:rsidP="00103115">
      <w:pPr>
        <w:spacing w:after="120" w:line="480" w:lineRule="auto"/>
        <w:rPr>
          <w:b/>
          <w:bCs/>
          <w:sz w:val="26"/>
          <w:szCs w:val="26"/>
        </w:rPr>
      </w:pPr>
      <w:r w:rsidRPr="00103115">
        <w:rPr>
          <w:b/>
          <w:bCs/>
          <w:sz w:val="26"/>
          <w:szCs w:val="26"/>
        </w:rPr>
        <w:t>Data availability</w:t>
      </w:r>
    </w:p>
    <w:p w14:paraId="2A12561B" w14:textId="001E4265" w:rsidR="00103115" w:rsidRPr="00103115" w:rsidRDefault="00103115" w:rsidP="00103115">
      <w:pPr>
        <w:spacing w:after="120" w:line="480" w:lineRule="auto"/>
      </w:pPr>
      <w:r w:rsidRPr="00103115">
        <w:t>Source measurements were obtained from Starrydata</w:t>
      </w:r>
      <w:r w:rsidR="00734974">
        <w:fldChar w:fldCharType="begin"/>
      </w:r>
      <w:r w:rsidR="00734974">
        <w:instrText xml:space="preserve"> ADDIN ZOTERO_ITEM CSL_CITATION {"citationID":"foUai5cQ","properties":{"unsorted":false,"formattedCitation":"\\super 13\\nosupersub{}","plainCitation":"13","noteIndex":0},"citationItems":[{"id":4786,"uris":["http://zotero.org/groups/6712166/items/J9UT3263"],"itemData":{"id":4786,"type":"article-journal","container-title":"Science and Technology of Advanced Materials: Methods","DOI":"10.1080/27660400.2025.2506976","ISSN":"2766-0400","issue":"1","journalAbbreviation":"Science and Technology of Advanced Materials: Methods","language":"en","page":"2506976","source":"DOI.org (Crossref)","title":"Starrydata: from published plots to shared materials data","title-short":"Starrydata","volume":"5","author":[{"family":"Katsura","given":"Yukari"},{"family":"Kumagai","given":"Masaya"},{"family":"Mato","given":"Tomoya"},{"family":"Takada","given":"Yu"},{"family":"Ando","given":"Yuki"},{"family":"Fujita","given":"Erina"},{"family":"Hosono","given":"Fumikazu"},{"family":"Koyama","given":"Eiji"},{"family":"Mudasar","given":"Farhan"},{"family":"Phuong","given":"Ton Nu Thanh"},{"family":"Saito","given":"Naoto"},{"family":"Sakamoto","given":"Yoshihiro"},{"family":"Tanaka","given":"Atsumi"},{"family":"Yana","given":"Dewi"},{"family":"Kimura","given":"Kaoru"},{"family":"Tsuda","given":"Koji"},{"family":"Demura","given":"Masahiko"}],"issued":{"date-parts":[["2025",12,31]]}}}],"schema":"https://github.com/citation-style-language/schema/raw/master/csl-citation.json"} </w:instrText>
      </w:r>
      <w:r w:rsidR="00734974">
        <w:fldChar w:fldCharType="separate"/>
      </w:r>
      <w:r w:rsidR="00734974" w:rsidRPr="00734974">
        <w:rPr>
          <w:vertAlign w:val="superscript"/>
        </w:rPr>
        <w:t>13</w:t>
      </w:r>
      <w:r w:rsidR="00734974">
        <w:fldChar w:fldCharType="end"/>
      </w:r>
      <w:r w:rsidRPr="00103115">
        <w:t xml:space="preserve"> . The analysed sample list comprises 13,031 records from 2,715 papers. The official per-project source files are pinned to </w:t>
      </w:r>
      <w:hyperlink r:id="rId16" w:history="1">
        <w:r w:rsidRPr="00103115">
          <w:rPr>
            <w:rStyle w:val="Hyperlink"/>
          </w:rPr>
          <w:t>https://github.com/starrydata/starrydata_datasets/releases/tag/data-20261008</w:t>
        </w:r>
      </w:hyperlink>
      <w:r w:rsidRPr="00103115">
        <w:t xml:space="preserve">, whose manifest reports a database snapshot dated 9 October 2026. Source hashes, DOI and sample identifiers, final-row mappings and analysis summaries are provided in the accompanying repository at </w:t>
      </w:r>
      <w:hyperlink r:id="rId17" w:history="1">
        <w:r w:rsidRPr="00103115">
          <w:rPr>
            <w:rStyle w:val="Hyperlink"/>
          </w:rPr>
          <w:t>https://github.com/SGovindanMI/bipolar-kappaL-sbi</w:t>
        </w:r>
      </w:hyperlink>
      <w:r w:rsidRPr="00103115">
        <w:t xml:space="preserve">. The research-data archive, including frozen observations, retained posterior draws, independent validation and stress-test arrays, and cross-model transfer arrays, is deposited on </w:t>
      </w:r>
      <w:proofErr w:type="spellStart"/>
      <w:r w:rsidRPr="00103115">
        <w:t>Figshare</w:t>
      </w:r>
      <w:proofErr w:type="spellEnd"/>
      <w:r w:rsidRPr="00103115">
        <w:t xml:space="preserve"> at </w:t>
      </w:r>
      <w:hyperlink r:id="rId18" w:history="1">
        <w:r w:rsidRPr="00103115">
          <w:rPr>
            <w:rStyle w:val="Hyperlink"/>
          </w:rPr>
          <w:t>https://doi.org/10.6084/m9.figshare.34335810</w:t>
        </w:r>
      </w:hyperlink>
      <w:r w:rsidRPr="00103115">
        <w:t>.</w:t>
      </w:r>
    </w:p>
    <w:p w14:paraId="4E1F398A" w14:textId="77777777" w:rsidR="00C77A4D" w:rsidRDefault="00C77A4D" w:rsidP="00CA5F74">
      <w:pPr>
        <w:spacing w:after="120" w:line="480" w:lineRule="auto"/>
      </w:pPr>
    </w:p>
    <w:p w14:paraId="0433DD6A" w14:textId="77777777" w:rsidR="001C2327" w:rsidRDefault="001C2327" w:rsidP="00CA5F74">
      <w:pPr>
        <w:spacing w:after="120" w:line="480" w:lineRule="auto"/>
      </w:pPr>
    </w:p>
    <w:p w14:paraId="2BD963A0" w14:textId="77777777" w:rsidR="001C2327" w:rsidRDefault="001C2327" w:rsidP="00CA5F74">
      <w:pPr>
        <w:spacing w:after="120" w:line="480" w:lineRule="auto"/>
      </w:pPr>
    </w:p>
    <w:p w14:paraId="377F1958" w14:textId="77777777" w:rsidR="001C2327" w:rsidRDefault="001C2327" w:rsidP="00CA5F74">
      <w:pPr>
        <w:spacing w:after="120" w:line="480" w:lineRule="auto"/>
      </w:pPr>
    </w:p>
    <w:p w14:paraId="5DE97762" w14:textId="77777777" w:rsidR="001C2327" w:rsidRDefault="001C2327" w:rsidP="00CA5F74">
      <w:pPr>
        <w:spacing w:after="120" w:line="480" w:lineRule="auto"/>
      </w:pPr>
    </w:p>
    <w:p w14:paraId="6CAC5413" w14:textId="77777777" w:rsidR="001C2327" w:rsidRDefault="001C2327" w:rsidP="00CA5F74">
      <w:pPr>
        <w:spacing w:after="120" w:line="480" w:lineRule="auto"/>
      </w:pPr>
    </w:p>
    <w:p w14:paraId="0032EAFA" w14:textId="77777777" w:rsidR="001C2327" w:rsidRDefault="001C2327" w:rsidP="00CA5F74">
      <w:pPr>
        <w:spacing w:after="120" w:line="480" w:lineRule="auto"/>
      </w:pPr>
    </w:p>
    <w:p w14:paraId="409FEFEF" w14:textId="77777777" w:rsidR="001C2327" w:rsidRDefault="001C2327" w:rsidP="00CA5F74">
      <w:pPr>
        <w:spacing w:after="120" w:line="480" w:lineRule="auto"/>
      </w:pPr>
    </w:p>
    <w:p w14:paraId="599E7E2A" w14:textId="6A2ADB89" w:rsidR="00C77A4D" w:rsidRDefault="001C2327" w:rsidP="001C2327">
      <w:pPr>
        <w:pStyle w:val="Heading1"/>
      </w:pPr>
      <w:r>
        <w:lastRenderedPageBreak/>
        <w:t>References</w:t>
      </w:r>
    </w:p>
    <w:p w14:paraId="13D78BCA" w14:textId="77777777" w:rsidR="0050691B" w:rsidRPr="0050691B" w:rsidRDefault="001C2327" w:rsidP="0050691B">
      <w:pPr>
        <w:pStyle w:val="Bibliography"/>
      </w:pPr>
      <w:r>
        <w:fldChar w:fldCharType="begin"/>
      </w:r>
      <w:r w:rsidR="0050691B">
        <w:instrText xml:space="preserve"> ADDIN ZOTERO_BIBL {"uncited":[],"omitted":[],"custom":[]} CSL_BIBLIOGRAPHY </w:instrText>
      </w:r>
      <w:r>
        <w:fldChar w:fldCharType="separate"/>
      </w:r>
      <w:r w:rsidR="0050691B" w:rsidRPr="0050691B">
        <w:t>1.</w:t>
      </w:r>
      <w:r w:rsidR="0050691B" w:rsidRPr="0050691B">
        <w:tab/>
        <w:t xml:space="preserve">Kim, H.-S., Gibbs, Z. M., Tang, Y., Wang, H. &amp; Snyder, G. J. Characterization of Lorenz number with </w:t>
      </w:r>
      <w:proofErr w:type="spellStart"/>
      <w:r w:rsidR="0050691B" w:rsidRPr="0050691B">
        <w:t>Seebeck</w:t>
      </w:r>
      <w:proofErr w:type="spellEnd"/>
      <w:r w:rsidR="0050691B" w:rsidRPr="0050691B">
        <w:t xml:space="preserve"> coefficient measurement. </w:t>
      </w:r>
      <w:r w:rsidR="0050691B" w:rsidRPr="0050691B">
        <w:rPr>
          <w:i/>
          <w:iCs/>
        </w:rPr>
        <w:t>APL Mater.</w:t>
      </w:r>
      <w:r w:rsidR="0050691B" w:rsidRPr="0050691B">
        <w:t xml:space="preserve"> </w:t>
      </w:r>
      <w:r w:rsidR="0050691B" w:rsidRPr="0050691B">
        <w:rPr>
          <w:b/>
          <w:bCs/>
        </w:rPr>
        <w:t>3</w:t>
      </w:r>
      <w:r w:rsidR="0050691B" w:rsidRPr="0050691B">
        <w:t>, 041506 (2015).</w:t>
      </w:r>
    </w:p>
    <w:p w14:paraId="4F1A89B1" w14:textId="77777777" w:rsidR="0050691B" w:rsidRPr="0050691B" w:rsidRDefault="0050691B" w:rsidP="0050691B">
      <w:pPr>
        <w:pStyle w:val="Bibliography"/>
      </w:pPr>
      <w:r w:rsidRPr="0050691B">
        <w:t>2.</w:t>
      </w:r>
      <w:r w:rsidRPr="0050691B">
        <w:tab/>
      </w:r>
      <w:proofErr w:type="spellStart"/>
      <w:r w:rsidRPr="0050691B">
        <w:t>Putatunda</w:t>
      </w:r>
      <w:proofErr w:type="spellEnd"/>
      <w:r w:rsidRPr="0050691B">
        <w:t xml:space="preserve">, A. &amp; Singh, D. J. Lorenz number in relation to estimates based on the </w:t>
      </w:r>
      <w:proofErr w:type="spellStart"/>
      <w:r w:rsidRPr="0050691B">
        <w:t>Seebeck</w:t>
      </w:r>
      <w:proofErr w:type="spellEnd"/>
      <w:r w:rsidRPr="0050691B">
        <w:t xml:space="preserve"> coefficient. </w:t>
      </w:r>
      <w:r w:rsidRPr="0050691B">
        <w:rPr>
          <w:i/>
          <w:iCs/>
        </w:rPr>
        <w:t>Mater. Today Phys.</w:t>
      </w:r>
      <w:r w:rsidRPr="0050691B">
        <w:t xml:space="preserve"> </w:t>
      </w:r>
      <w:r w:rsidRPr="0050691B">
        <w:rPr>
          <w:b/>
          <w:bCs/>
        </w:rPr>
        <w:t>8</w:t>
      </w:r>
      <w:r w:rsidRPr="0050691B">
        <w:t>, 49–55 (2019).</w:t>
      </w:r>
    </w:p>
    <w:p w14:paraId="482125D0" w14:textId="77777777" w:rsidR="0050691B" w:rsidRPr="0050691B" w:rsidRDefault="0050691B" w:rsidP="0050691B">
      <w:pPr>
        <w:pStyle w:val="Bibliography"/>
      </w:pPr>
      <w:r w:rsidRPr="0050691B">
        <w:t>3.</w:t>
      </w:r>
      <w:r w:rsidRPr="0050691B">
        <w:tab/>
        <w:t xml:space="preserve">Wang, S. </w:t>
      </w:r>
      <w:r w:rsidRPr="0050691B">
        <w:rPr>
          <w:i/>
          <w:iCs/>
        </w:rPr>
        <w:t>et al.</w:t>
      </w:r>
      <w:r w:rsidRPr="0050691B">
        <w:t xml:space="preserve"> Conductivity-limiting bipolar thermal conductivity in semiconductors. </w:t>
      </w:r>
      <w:r w:rsidRPr="0050691B">
        <w:rPr>
          <w:i/>
          <w:iCs/>
        </w:rPr>
        <w:t>Sci. Rep.</w:t>
      </w:r>
      <w:r w:rsidRPr="0050691B">
        <w:t xml:space="preserve"> </w:t>
      </w:r>
      <w:r w:rsidRPr="0050691B">
        <w:rPr>
          <w:b/>
          <w:bCs/>
        </w:rPr>
        <w:t>5</w:t>
      </w:r>
      <w:r w:rsidRPr="0050691B">
        <w:t>, 10136 (2015).</w:t>
      </w:r>
    </w:p>
    <w:p w14:paraId="3AB48696" w14:textId="77777777" w:rsidR="0050691B" w:rsidRPr="0050691B" w:rsidRDefault="0050691B" w:rsidP="0050691B">
      <w:pPr>
        <w:pStyle w:val="Bibliography"/>
      </w:pPr>
      <w:r w:rsidRPr="0050691B">
        <w:t>4.</w:t>
      </w:r>
      <w:r w:rsidRPr="0050691B">
        <w:tab/>
      </w:r>
      <w:proofErr w:type="spellStart"/>
      <w:r w:rsidRPr="0050691B">
        <w:t>Thesberg</w:t>
      </w:r>
      <w:proofErr w:type="spellEnd"/>
      <w:r w:rsidRPr="0050691B">
        <w:t xml:space="preserve">, M., Kosina, H. &amp; Neophytou, N. On the Lorenz number of multiband materials. </w:t>
      </w:r>
      <w:r w:rsidRPr="0050691B">
        <w:rPr>
          <w:i/>
          <w:iCs/>
        </w:rPr>
        <w:t>Phys. Rev. B</w:t>
      </w:r>
      <w:r w:rsidRPr="0050691B">
        <w:t xml:space="preserve"> </w:t>
      </w:r>
      <w:r w:rsidRPr="0050691B">
        <w:rPr>
          <w:b/>
          <w:bCs/>
        </w:rPr>
        <w:t>95</w:t>
      </w:r>
      <w:r w:rsidRPr="0050691B">
        <w:t>, 125206 (2017).</w:t>
      </w:r>
    </w:p>
    <w:p w14:paraId="3A9C0328" w14:textId="77777777" w:rsidR="0050691B" w:rsidRPr="0050691B" w:rsidRDefault="0050691B" w:rsidP="0050691B">
      <w:pPr>
        <w:pStyle w:val="Bibliography"/>
      </w:pPr>
      <w:r w:rsidRPr="0050691B">
        <w:t>5.</w:t>
      </w:r>
      <w:r w:rsidRPr="0050691B">
        <w:tab/>
        <w:t xml:space="preserve">Kim, H. </w:t>
      </w:r>
      <w:r w:rsidRPr="0050691B">
        <w:rPr>
          <w:i/>
          <w:iCs/>
        </w:rPr>
        <w:t>et al.</w:t>
      </w:r>
      <w:r w:rsidRPr="0050691B">
        <w:t xml:space="preserve"> Effect of Substitutional Pb Doping on Bipolar and Lattice Thermal Conductivity in p-Type Bi0.48Sb1.52Te3. </w:t>
      </w:r>
      <w:r w:rsidRPr="0050691B">
        <w:rPr>
          <w:i/>
          <w:iCs/>
        </w:rPr>
        <w:t>Materials</w:t>
      </w:r>
      <w:r w:rsidRPr="0050691B">
        <w:t xml:space="preserve"> </w:t>
      </w:r>
      <w:r w:rsidRPr="0050691B">
        <w:rPr>
          <w:b/>
          <w:bCs/>
        </w:rPr>
        <w:t>10</w:t>
      </w:r>
      <w:r w:rsidRPr="0050691B">
        <w:t>, 763 (2017).</w:t>
      </w:r>
    </w:p>
    <w:p w14:paraId="0E31E722" w14:textId="77777777" w:rsidR="0050691B" w:rsidRPr="0050691B" w:rsidRDefault="0050691B" w:rsidP="0050691B">
      <w:pPr>
        <w:pStyle w:val="Bibliography"/>
      </w:pPr>
      <w:r w:rsidRPr="0050691B">
        <w:t>6.</w:t>
      </w:r>
      <w:r w:rsidRPr="0050691B">
        <w:tab/>
        <w:t xml:space="preserve">Kuo, J. J., Wood, M., Slade, T. J., </w:t>
      </w:r>
      <w:proofErr w:type="spellStart"/>
      <w:r w:rsidRPr="0050691B">
        <w:t>Kanatzidis</w:t>
      </w:r>
      <w:proofErr w:type="spellEnd"/>
      <w:r w:rsidRPr="0050691B">
        <w:t xml:space="preserve">, M. G. &amp; Snyder, G. J. Systematic over-estimation of lattice thermal conductivity in materials with </w:t>
      </w:r>
      <w:proofErr w:type="gramStart"/>
      <w:r w:rsidRPr="0050691B">
        <w:t>electrically-resistive</w:t>
      </w:r>
      <w:proofErr w:type="gramEnd"/>
      <w:r w:rsidRPr="0050691B">
        <w:t xml:space="preserve"> grain boundaries. </w:t>
      </w:r>
      <w:r w:rsidRPr="0050691B">
        <w:rPr>
          <w:i/>
          <w:iCs/>
        </w:rPr>
        <w:t>Energy Environ. Sci.</w:t>
      </w:r>
      <w:r w:rsidRPr="0050691B">
        <w:t xml:space="preserve"> </w:t>
      </w:r>
      <w:r w:rsidRPr="0050691B">
        <w:rPr>
          <w:b/>
          <w:bCs/>
        </w:rPr>
        <w:t>13</w:t>
      </w:r>
      <w:r w:rsidRPr="0050691B">
        <w:t>, 1250–1258 (2020).</w:t>
      </w:r>
    </w:p>
    <w:p w14:paraId="2B7CAF69" w14:textId="77777777" w:rsidR="0050691B" w:rsidRPr="0050691B" w:rsidRDefault="0050691B" w:rsidP="0050691B">
      <w:pPr>
        <w:pStyle w:val="Bibliography"/>
      </w:pPr>
      <w:r w:rsidRPr="0050691B">
        <w:t>7.</w:t>
      </w:r>
      <w:r w:rsidRPr="0050691B">
        <w:tab/>
      </w:r>
      <w:proofErr w:type="spellStart"/>
      <w:r w:rsidRPr="0050691B">
        <w:t>Candolfi</w:t>
      </w:r>
      <w:proofErr w:type="spellEnd"/>
      <w:r w:rsidRPr="0050691B">
        <w:t xml:space="preserve">, C. </w:t>
      </w:r>
      <w:r w:rsidRPr="0050691B">
        <w:rPr>
          <w:i/>
          <w:iCs/>
        </w:rPr>
        <w:t>et al.</w:t>
      </w:r>
      <w:r w:rsidRPr="0050691B">
        <w:t xml:space="preserve"> Hidden in plain heat: anomalous Lorenz number in the thermoelectric alloy Bi0.4Sb1.6Te3. </w:t>
      </w:r>
      <w:r w:rsidRPr="0050691B">
        <w:rPr>
          <w:i/>
          <w:iCs/>
        </w:rPr>
        <w:t>Nat. Commun.</w:t>
      </w:r>
      <w:r w:rsidRPr="0050691B">
        <w:t xml:space="preserve"> </w:t>
      </w:r>
      <w:r w:rsidRPr="0050691B">
        <w:rPr>
          <w:b/>
          <w:bCs/>
        </w:rPr>
        <w:t>16</w:t>
      </w:r>
      <w:r w:rsidRPr="0050691B">
        <w:t>, 11528 (2025).</w:t>
      </w:r>
    </w:p>
    <w:p w14:paraId="6962217D" w14:textId="77777777" w:rsidR="0050691B" w:rsidRPr="0050691B" w:rsidRDefault="0050691B" w:rsidP="0050691B">
      <w:pPr>
        <w:pStyle w:val="Bibliography"/>
      </w:pPr>
      <w:r w:rsidRPr="0050691B">
        <w:t>8.</w:t>
      </w:r>
      <w:r w:rsidRPr="0050691B">
        <w:tab/>
      </w:r>
      <w:proofErr w:type="spellStart"/>
      <w:r w:rsidRPr="0050691B">
        <w:t>Papamakarios</w:t>
      </w:r>
      <w:proofErr w:type="spellEnd"/>
      <w:r w:rsidRPr="0050691B">
        <w:t xml:space="preserve">, G. &amp; Murray, I. Fast \epsilon -free Inference of Simulation Models with Bayesian Conditional Density Estimation. in </w:t>
      </w:r>
      <w:r w:rsidRPr="0050691B">
        <w:rPr>
          <w:i/>
          <w:iCs/>
        </w:rPr>
        <w:t>Advances in Neural Information Processing Systems</w:t>
      </w:r>
      <w:r w:rsidRPr="0050691B">
        <w:t xml:space="preserve"> (eds Lee, D., Sugiyama, M., </w:t>
      </w:r>
      <w:proofErr w:type="spellStart"/>
      <w:r w:rsidRPr="0050691B">
        <w:t>Luxburg</w:t>
      </w:r>
      <w:proofErr w:type="spellEnd"/>
      <w:r w:rsidRPr="0050691B">
        <w:t>, U., Guyon, I. &amp; Garnett, R.) vol. 29 (Curran Associates, Inc., 2016).</w:t>
      </w:r>
    </w:p>
    <w:p w14:paraId="74ABAA26" w14:textId="77777777" w:rsidR="0050691B" w:rsidRPr="0050691B" w:rsidRDefault="0050691B" w:rsidP="0050691B">
      <w:pPr>
        <w:pStyle w:val="Bibliography"/>
      </w:pPr>
      <w:r w:rsidRPr="0050691B">
        <w:t>9.</w:t>
      </w:r>
      <w:r w:rsidRPr="0050691B">
        <w:tab/>
        <w:t xml:space="preserve">Cranmer, K., Brehmer, J. &amp; </w:t>
      </w:r>
      <w:proofErr w:type="spellStart"/>
      <w:r w:rsidRPr="0050691B">
        <w:t>Louppe</w:t>
      </w:r>
      <w:proofErr w:type="spellEnd"/>
      <w:r w:rsidRPr="0050691B">
        <w:t xml:space="preserve">, G. The frontier of simulation-based inference. </w:t>
      </w:r>
      <w:r w:rsidRPr="0050691B">
        <w:rPr>
          <w:i/>
          <w:iCs/>
        </w:rPr>
        <w:t>Proc. Natl. Acad. Sci.</w:t>
      </w:r>
      <w:r w:rsidRPr="0050691B">
        <w:t xml:space="preserve"> </w:t>
      </w:r>
      <w:r w:rsidRPr="0050691B">
        <w:rPr>
          <w:b/>
          <w:bCs/>
        </w:rPr>
        <w:t>117</w:t>
      </w:r>
      <w:r w:rsidRPr="0050691B">
        <w:t>, 30055–30062 (2020).</w:t>
      </w:r>
    </w:p>
    <w:p w14:paraId="78AB69AA" w14:textId="77777777" w:rsidR="0050691B" w:rsidRPr="0050691B" w:rsidRDefault="0050691B" w:rsidP="0050691B">
      <w:pPr>
        <w:pStyle w:val="Bibliography"/>
      </w:pPr>
      <w:r w:rsidRPr="0050691B">
        <w:t>10.</w:t>
      </w:r>
      <w:r w:rsidRPr="0050691B">
        <w:tab/>
        <w:t xml:space="preserve">Talts, S., Betancourt, M., Simpson, D., </w:t>
      </w:r>
      <w:proofErr w:type="spellStart"/>
      <w:r w:rsidRPr="0050691B">
        <w:t>Vehtari</w:t>
      </w:r>
      <w:proofErr w:type="spellEnd"/>
      <w:r w:rsidRPr="0050691B">
        <w:t>, A. &amp; Gelman, A. Validating Bayesian Inference Algorithms with Simulation-Based Calibration. Preprint at https://doi.org/10.48550/arXiv.1804.06788 (2020).</w:t>
      </w:r>
    </w:p>
    <w:p w14:paraId="63019452" w14:textId="77777777" w:rsidR="0050691B" w:rsidRPr="0050691B" w:rsidRDefault="0050691B" w:rsidP="0050691B">
      <w:pPr>
        <w:pStyle w:val="Bibliography"/>
      </w:pPr>
      <w:r w:rsidRPr="0050691B">
        <w:t>11.</w:t>
      </w:r>
      <w:r w:rsidRPr="0050691B">
        <w:tab/>
        <w:t xml:space="preserve">Hermans, J. </w:t>
      </w:r>
      <w:r w:rsidRPr="0050691B">
        <w:rPr>
          <w:i/>
          <w:iCs/>
        </w:rPr>
        <w:t>et al.</w:t>
      </w:r>
      <w:r w:rsidRPr="0050691B">
        <w:t xml:space="preserve"> A Crisis </w:t>
      </w:r>
      <w:proofErr w:type="gramStart"/>
      <w:r w:rsidRPr="0050691B">
        <w:t>In</w:t>
      </w:r>
      <w:proofErr w:type="gramEnd"/>
      <w:r w:rsidRPr="0050691B">
        <w:t xml:space="preserve"> Simulation-Based Inference? Beware, Your Posterior Approximations Can Be Unfaithful. </w:t>
      </w:r>
      <w:r w:rsidRPr="0050691B">
        <w:rPr>
          <w:i/>
          <w:iCs/>
        </w:rPr>
        <w:t>Trans. Mach. Learn. Res.</w:t>
      </w:r>
      <w:r w:rsidRPr="0050691B">
        <w:t xml:space="preserve"> https://openreview.net/forum?id=LHAbHkt6Aq (2022).</w:t>
      </w:r>
    </w:p>
    <w:p w14:paraId="4EA3E77A" w14:textId="77777777" w:rsidR="0050691B" w:rsidRPr="0050691B" w:rsidRDefault="0050691B" w:rsidP="0050691B">
      <w:pPr>
        <w:pStyle w:val="Bibliography"/>
      </w:pPr>
      <w:r w:rsidRPr="0050691B">
        <w:lastRenderedPageBreak/>
        <w:t>12.</w:t>
      </w:r>
      <w:r w:rsidRPr="0050691B">
        <w:tab/>
        <w:t xml:space="preserve">Kielar, S. </w:t>
      </w:r>
      <w:r w:rsidRPr="0050691B">
        <w:rPr>
          <w:i/>
          <w:iCs/>
        </w:rPr>
        <w:t>et al.</w:t>
      </w:r>
      <w:r w:rsidRPr="0050691B">
        <w:t xml:space="preserve"> Anomalous lattice thermal conductivity </w:t>
      </w:r>
      <w:proofErr w:type="gramStart"/>
      <w:r w:rsidRPr="0050691B">
        <w:t>increase</w:t>
      </w:r>
      <w:proofErr w:type="gramEnd"/>
      <w:r w:rsidRPr="0050691B">
        <w:t xml:space="preserve"> with temperature in cubic GeTe correlated with strengthening of second-nearest </w:t>
      </w:r>
      <w:proofErr w:type="spellStart"/>
      <w:r w:rsidRPr="0050691B">
        <w:t>neighbor</w:t>
      </w:r>
      <w:proofErr w:type="spellEnd"/>
      <w:r w:rsidRPr="0050691B">
        <w:t xml:space="preserve"> bonds. </w:t>
      </w:r>
      <w:r w:rsidRPr="0050691B">
        <w:rPr>
          <w:i/>
          <w:iCs/>
        </w:rPr>
        <w:t>Nat. Commun.</w:t>
      </w:r>
      <w:r w:rsidRPr="0050691B">
        <w:t xml:space="preserve"> </w:t>
      </w:r>
      <w:r w:rsidRPr="0050691B">
        <w:rPr>
          <w:b/>
          <w:bCs/>
        </w:rPr>
        <w:t>15</w:t>
      </w:r>
      <w:r w:rsidRPr="0050691B">
        <w:t>, 6981 (2024).</w:t>
      </w:r>
    </w:p>
    <w:p w14:paraId="00F41D6C" w14:textId="77777777" w:rsidR="0050691B" w:rsidRPr="0050691B" w:rsidRDefault="0050691B" w:rsidP="0050691B">
      <w:pPr>
        <w:pStyle w:val="Bibliography"/>
      </w:pPr>
      <w:r w:rsidRPr="0050691B">
        <w:t>13.</w:t>
      </w:r>
      <w:r w:rsidRPr="0050691B">
        <w:tab/>
        <w:t xml:space="preserve">Katsura, Y. </w:t>
      </w:r>
      <w:r w:rsidRPr="0050691B">
        <w:rPr>
          <w:i/>
          <w:iCs/>
        </w:rPr>
        <w:t>et al.</w:t>
      </w:r>
      <w:r w:rsidRPr="0050691B">
        <w:t xml:space="preserve"> </w:t>
      </w:r>
      <w:proofErr w:type="spellStart"/>
      <w:r w:rsidRPr="0050691B">
        <w:t>Starrydata</w:t>
      </w:r>
      <w:proofErr w:type="spellEnd"/>
      <w:r w:rsidRPr="0050691B">
        <w:t xml:space="preserve">: from published plots to shared materials data. </w:t>
      </w:r>
      <w:r w:rsidRPr="0050691B">
        <w:rPr>
          <w:i/>
          <w:iCs/>
        </w:rPr>
        <w:t>Sci. Technol. Adv. Mater. Methods</w:t>
      </w:r>
      <w:r w:rsidRPr="0050691B">
        <w:t xml:space="preserve"> </w:t>
      </w:r>
      <w:r w:rsidRPr="0050691B">
        <w:rPr>
          <w:b/>
          <w:bCs/>
        </w:rPr>
        <w:t>5</w:t>
      </w:r>
      <w:r w:rsidRPr="0050691B">
        <w:t>, 2506976 (2025).</w:t>
      </w:r>
    </w:p>
    <w:p w14:paraId="30197381" w14:textId="77777777" w:rsidR="0050691B" w:rsidRPr="0050691B" w:rsidRDefault="0050691B" w:rsidP="0050691B">
      <w:pPr>
        <w:pStyle w:val="Bibliography"/>
      </w:pPr>
      <w:r w:rsidRPr="0050691B">
        <w:t>14.</w:t>
      </w:r>
      <w:r w:rsidRPr="0050691B">
        <w:tab/>
      </w:r>
      <w:proofErr w:type="spellStart"/>
      <w:r w:rsidRPr="0050691B">
        <w:t>Elfwing</w:t>
      </w:r>
      <w:proofErr w:type="spellEnd"/>
      <w:r w:rsidRPr="0050691B">
        <w:t xml:space="preserve">, S., </w:t>
      </w:r>
      <w:proofErr w:type="spellStart"/>
      <w:r w:rsidRPr="0050691B">
        <w:t>Uchibe</w:t>
      </w:r>
      <w:proofErr w:type="spellEnd"/>
      <w:r w:rsidRPr="0050691B">
        <w:t xml:space="preserve">, E. &amp; </w:t>
      </w:r>
      <w:proofErr w:type="spellStart"/>
      <w:r w:rsidRPr="0050691B">
        <w:t>Doya</w:t>
      </w:r>
      <w:proofErr w:type="spellEnd"/>
      <w:r w:rsidRPr="0050691B">
        <w:t xml:space="preserve">, K. Sigmoid-weighted linear units for neural network function approximation in reinforcement learning. </w:t>
      </w:r>
      <w:r w:rsidRPr="0050691B">
        <w:rPr>
          <w:i/>
          <w:iCs/>
        </w:rPr>
        <w:t xml:space="preserve">Neural </w:t>
      </w:r>
      <w:proofErr w:type="spellStart"/>
      <w:r w:rsidRPr="0050691B">
        <w:rPr>
          <w:i/>
          <w:iCs/>
        </w:rPr>
        <w:t>Netw</w:t>
      </w:r>
      <w:proofErr w:type="spellEnd"/>
      <w:r w:rsidRPr="0050691B">
        <w:rPr>
          <w:i/>
          <w:iCs/>
        </w:rPr>
        <w:t>.</w:t>
      </w:r>
      <w:r w:rsidRPr="0050691B">
        <w:t xml:space="preserve"> </w:t>
      </w:r>
      <w:r w:rsidRPr="0050691B">
        <w:rPr>
          <w:b/>
          <w:bCs/>
        </w:rPr>
        <w:t>107</w:t>
      </w:r>
      <w:r w:rsidRPr="0050691B">
        <w:t>, 3–11 (2018).</w:t>
      </w:r>
    </w:p>
    <w:p w14:paraId="5B70E957" w14:textId="77777777" w:rsidR="0050691B" w:rsidRPr="0050691B" w:rsidRDefault="0050691B" w:rsidP="0050691B">
      <w:pPr>
        <w:pStyle w:val="Bibliography"/>
      </w:pPr>
      <w:r w:rsidRPr="0050691B">
        <w:t>15.</w:t>
      </w:r>
      <w:r w:rsidRPr="0050691B">
        <w:tab/>
        <w:t>Loshchilov, I. &amp; Hutter, F. Decoupled Weight Decay Regularization. in (2019).</w:t>
      </w:r>
    </w:p>
    <w:p w14:paraId="15B48CE8" w14:textId="77777777" w:rsidR="0050691B" w:rsidRPr="0050691B" w:rsidRDefault="0050691B" w:rsidP="0050691B">
      <w:pPr>
        <w:pStyle w:val="Bibliography"/>
      </w:pPr>
      <w:r w:rsidRPr="0050691B">
        <w:t>16.</w:t>
      </w:r>
      <w:r w:rsidRPr="0050691B">
        <w:tab/>
        <w:t xml:space="preserve">Harris, C. R. </w:t>
      </w:r>
      <w:r w:rsidRPr="0050691B">
        <w:rPr>
          <w:i/>
          <w:iCs/>
        </w:rPr>
        <w:t>et al.</w:t>
      </w:r>
      <w:r w:rsidRPr="0050691B">
        <w:t xml:space="preserve"> Array programming with NumPy. </w:t>
      </w:r>
      <w:r w:rsidRPr="0050691B">
        <w:rPr>
          <w:i/>
          <w:iCs/>
        </w:rPr>
        <w:t>Nature</w:t>
      </w:r>
      <w:r w:rsidRPr="0050691B">
        <w:t xml:space="preserve"> </w:t>
      </w:r>
      <w:r w:rsidRPr="0050691B">
        <w:rPr>
          <w:b/>
          <w:bCs/>
        </w:rPr>
        <w:t>585</w:t>
      </w:r>
      <w:r w:rsidRPr="0050691B">
        <w:t>, 357–362 (2020).</w:t>
      </w:r>
    </w:p>
    <w:p w14:paraId="4A8E576E" w14:textId="77777777" w:rsidR="0050691B" w:rsidRPr="0050691B" w:rsidRDefault="0050691B" w:rsidP="0050691B">
      <w:pPr>
        <w:pStyle w:val="Bibliography"/>
      </w:pPr>
      <w:r w:rsidRPr="0050691B">
        <w:t>17.</w:t>
      </w:r>
      <w:r w:rsidRPr="0050691B">
        <w:tab/>
        <w:t xml:space="preserve">Virtanen, P. </w:t>
      </w:r>
      <w:r w:rsidRPr="0050691B">
        <w:rPr>
          <w:i/>
          <w:iCs/>
        </w:rPr>
        <w:t>et al.</w:t>
      </w:r>
      <w:r w:rsidRPr="0050691B">
        <w:t xml:space="preserve"> SciPy 1.0: fundamental algorithms for scientific computing in Python. </w:t>
      </w:r>
      <w:r w:rsidRPr="0050691B">
        <w:rPr>
          <w:i/>
          <w:iCs/>
        </w:rPr>
        <w:t>Nat. Methods</w:t>
      </w:r>
      <w:r w:rsidRPr="0050691B">
        <w:t xml:space="preserve"> </w:t>
      </w:r>
      <w:r w:rsidRPr="0050691B">
        <w:rPr>
          <w:b/>
          <w:bCs/>
        </w:rPr>
        <w:t>17</w:t>
      </w:r>
      <w:r w:rsidRPr="0050691B">
        <w:t>, 261–272 (2020).</w:t>
      </w:r>
    </w:p>
    <w:p w14:paraId="51BCE4D0" w14:textId="77777777" w:rsidR="0050691B" w:rsidRPr="0050691B" w:rsidRDefault="0050691B" w:rsidP="0050691B">
      <w:pPr>
        <w:pStyle w:val="Bibliography"/>
      </w:pPr>
      <w:r w:rsidRPr="0050691B">
        <w:t>18.</w:t>
      </w:r>
      <w:r w:rsidRPr="0050691B">
        <w:tab/>
      </w:r>
      <w:proofErr w:type="spellStart"/>
      <w:r w:rsidRPr="0050691B">
        <w:t>Paszke</w:t>
      </w:r>
      <w:proofErr w:type="spellEnd"/>
      <w:r w:rsidRPr="0050691B">
        <w:t xml:space="preserve">, A. </w:t>
      </w:r>
      <w:r w:rsidRPr="0050691B">
        <w:rPr>
          <w:i/>
          <w:iCs/>
        </w:rPr>
        <w:t>et al.</w:t>
      </w:r>
      <w:r w:rsidRPr="0050691B">
        <w:t xml:space="preserve"> </w:t>
      </w:r>
      <w:proofErr w:type="spellStart"/>
      <w:r w:rsidRPr="0050691B">
        <w:t>PyTorch</w:t>
      </w:r>
      <w:proofErr w:type="spellEnd"/>
      <w:r w:rsidRPr="0050691B">
        <w:t xml:space="preserve">: An Imperative Style, High-Performance Deep Learning Library. </w:t>
      </w:r>
      <w:r w:rsidRPr="0050691B">
        <w:rPr>
          <w:i/>
          <w:iCs/>
        </w:rPr>
        <w:t>Adv. Neural Inf. Process. Syst.</w:t>
      </w:r>
      <w:r w:rsidRPr="0050691B">
        <w:t xml:space="preserve"> </w:t>
      </w:r>
      <w:r w:rsidRPr="0050691B">
        <w:rPr>
          <w:b/>
          <w:bCs/>
        </w:rPr>
        <w:t>32</w:t>
      </w:r>
      <w:r w:rsidRPr="0050691B">
        <w:t>, (2019).</w:t>
      </w:r>
    </w:p>
    <w:p w14:paraId="56A2CED6" w14:textId="77777777" w:rsidR="0050691B" w:rsidRPr="0050691B" w:rsidRDefault="0050691B" w:rsidP="0050691B">
      <w:pPr>
        <w:pStyle w:val="Bibliography"/>
      </w:pPr>
      <w:r w:rsidRPr="0050691B">
        <w:t>19.</w:t>
      </w:r>
      <w:r w:rsidRPr="0050691B">
        <w:tab/>
        <w:t xml:space="preserve">Lueckmann, J.-M., Boelts, J., Greenberg, D., Goncalves, P. &amp; Macke, J. Benchmarking Simulation-Based Inference. in </w:t>
      </w:r>
      <w:r w:rsidRPr="0050691B">
        <w:rPr>
          <w:i/>
          <w:iCs/>
        </w:rPr>
        <w:t xml:space="preserve">Proceedings of </w:t>
      </w:r>
      <w:proofErr w:type="gramStart"/>
      <w:r w:rsidRPr="0050691B">
        <w:rPr>
          <w:i/>
          <w:iCs/>
        </w:rPr>
        <w:t>The</w:t>
      </w:r>
      <w:proofErr w:type="gramEnd"/>
      <w:r w:rsidRPr="0050691B">
        <w:rPr>
          <w:i/>
          <w:iCs/>
        </w:rPr>
        <w:t xml:space="preserve"> 24th International Conference on Artificial Intelligence and Statistics</w:t>
      </w:r>
      <w:r w:rsidRPr="0050691B">
        <w:t xml:space="preserve"> 343–351 (PMLR, 2021).</w:t>
      </w:r>
    </w:p>
    <w:p w14:paraId="3EE5C853" w14:textId="77777777" w:rsidR="0050691B" w:rsidRPr="0050691B" w:rsidRDefault="0050691B" w:rsidP="0050691B">
      <w:pPr>
        <w:pStyle w:val="Bibliography"/>
      </w:pPr>
      <w:r w:rsidRPr="0050691B">
        <w:t>20.</w:t>
      </w:r>
      <w:r w:rsidRPr="0050691B">
        <w:tab/>
        <w:t xml:space="preserve">Fritsch, F. N. &amp; Butland, J. A Method for Constructing Local Monotone Piecewise Cubic Interpolants. </w:t>
      </w:r>
      <w:r w:rsidRPr="0050691B">
        <w:rPr>
          <w:i/>
          <w:iCs/>
        </w:rPr>
        <w:t xml:space="preserve">SIAM J. Sci. Stat. </w:t>
      </w:r>
      <w:proofErr w:type="spellStart"/>
      <w:r w:rsidRPr="0050691B">
        <w:rPr>
          <w:i/>
          <w:iCs/>
        </w:rPr>
        <w:t>Comput</w:t>
      </w:r>
      <w:proofErr w:type="spellEnd"/>
      <w:r w:rsidRPr="0050691B">
        <w:rPr>
          <w:i/>
          <w:iCs/>
        </w:rPr>
        <w:t>.</w:t>
      </w:r>
      <w:r w:rsidRPr="0050691B">
        <w:t xml:space="preserve"> </w:t>
      </w:r>
      <w:r w:rsidRPr="0050691B">
        <w:rPr>
          <w:b/>
          <w:bCs/>
        </w:rPr>
        <w:t>5</w:t>
      </w:r>
      <w:r w:rsidRPr="0050691B">
        <w:t>, 300–304 (1984).</w:t>
      </w:r>
    </w:p>
    <w:p w14:paraId="1042F72A" w14:textId="77777777" w:rsidR="0050691B" w:rsidRPr="0050691B" w:rsidRDefault="0050691B" w:rsidP="0050691B">
      <w:pPr>
        <w:pStyle w:val="Bibliography"/>
      </w:pPr>
      <w:r w:rsidRPr="0050691B">
        <w:t>21.</w:t>
      </w:r>
      <w:r w:rsidRPr="0050691B">
        <w:tab/>
        <w:t xml:space="preserve">Goldsmid, H. J. &amp; Sharp, J. W. Estimation of the thermal band gap of a semiconductor from </w:t>
      </w:r>
      <w:proofErr w:type="spellStart"/>
      <w:r w:rsidRPr="0050691B">
        <w:t>seebeck</w:t>
      </w:r>
      <w:proofErr w:type="spellEnd"/>
      <w:r w:rsidRPr="0050691B">
        <w:t xml:space="preserve"> measurements. </w:t>
      </w:r>
      <w:r w:rsidRPr="0050691B">
        <w:rPr>
          <w:i/>
          <w:iCs/>
        </w:rPr>
        <w:t>J. Electron. Mater.</w:t>
      </w:r>
      <w:r w:rsidRPr="0050691B">
        <w:t xml:space="preserve"> </w:t>
      </w:r>
      <w:r w:rsidRPr="0050691B">
        <w:rPr>
          <w:b/>
          <w:bCs/>
        </w:rPr>
        <w:t>28</w:t>
      </w:r>
      <w:r w:rsidRPr="0050691B">
        <w:t>, 869–872 (1999).</w:t>
      </w:r>
    </w:p>
    <w:p w14:paraId="7410C605" w14:textId="77777777" w:rsidR="0050691B" w:rsidRPr="0050691B" w:rsidRDefault="0050691B" w:rsidP="0050691B">
      <w:pPr>
        <w:pStyle w:val="Bibliography"/>
      </w:pPr>
      <w:r w:rsidRPr="0050691B">
        <w:t>22.</w:t>
      </w:r>
      <w:r w:rsidRPr="0050691B">
        <w:tab/>
        <w:t xml:space="preserve">Gibbs, Z. M., Kim, H.-S., Wang, H. &amp; Snyder, G. J. Band gap estimation from temperature dependent </w:t>
      </w:r>
      <w:proofErr w:type="spellStart"/>
      <w:r w:rsidRPr="0050691B">
        <w:t>Seebeck</w:t>
      </w:r>
      <w:proofErr w:type="spellEnd"/>
      <w:r w:rsidRPr="0050691B">
        <w:t xml:space="preserve"> measurement—Deviations from the </w:t>
      </w:r>
      <w:r w:rsidRPr="0050691B">
        <w:rPr>
          <w:i/>
          <w:iCs/>
        </w:rPr>
        <w:t>2e|S|maxTmax</w:t>
      </w:r>
      <w:r w:rsidRPr="0050691B">
        <w:t xml:space="preserve"> relation. </w:t>
      </w:r>
      <w:r w:rsidRPr="0050691B">
        <w:rPr>
          <w:i/>
          <w:iCs/>
        </w:rPr>
        <w:t>Appl. Phys. Lett.</w:t>
      </w:r>
      <w:r w:rsidRPr="0050691B">
        <w:t xml:space="preserve"> </w:t>
      </w:r>
      <w:r w:rsidRPr="0050691B">
        <w:rPr>
          <w:b/>
          <w:bCs/>
        </w:rPr>
        <w:t>106</w:t>
      </w:r>
      <w:r w:rsidRPr="0050691B">
        <w:t>, 022112 (2015).</w:t>
      </w:r>
    </w:p>
    <w:p w14:paraId="2CC01B52" w14:textId="347603B4" w:rsidR="00C77A4D" w:rsidRDefault="001C2327" w:rsidP="00CA5F74">
      <w:pPr>
        <w:spacing w:after="120" w:line="480" w:lineRule="auto"/>
      </w:pPr>
      <w:r>
        <w:fldChar w:fldCharType="end"/>
      </w:r>
    </w:p>
    <w:sectPr w:rsidR="00B03F2C">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51BB" w14:textId="77777777" w:rsidR="00157121" w:rsidRDefault="00157121">
      <w:r>
        <w:separator/>
      </w:r>
    </w:p>
  </w:endnote>
  <w:endnote w:type="continuationSeparator" w:id="0">
    <w:p w14:paraId="20515282" w14:textId="77777777" w:rsidR="00157121" w:rsidRDefault="0015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FC400" w14:textId="77777777" w:rsidR="00B03F2C" w:rsidRDefault="00000000">
    <w:pPr>
      <w:jc w:val="center"/>
    </w:pPr>
    <w:r>
      <w:rPr>
        <w:sz w:val="18"/>
        <w:szCs w:val="18"/>
      </w:rPr>
      <w:fldChar w:fldCharType="begin"/>
    </w:r>
    <w:r>
      <w:rPr>
        <w:sz w:val="18"/>
        <w:szCs w:val="18"/>
      </w:rPr>
      <w:instrText>PAGE</w:instrText>
    </w:r>
    <w:r>
      <w:rPr>
        <w:sz w:val="18"/>
        <w:szCs w:val="18"/>
      </w:rPr>
      <w:fldChar w:fldCharType="separate"/>
    </w:r>
    <w:r w:rsidR="00406E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F598" w14:textId="77777777" w:rsidR="00157121" w:rsidRDefault="00157121">
      <w:r>
        <w:separator/>
      </w:r>
    </w:p>
  </w:footnote>
  <w:footnote w:type="continuationSeparator" w:id="0">
    <w:p w14:paraId="692B72E1" w14:textId="77777777" w:rsidR="00157121" w:rsidRDefault="00157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91A9B"/>
    <w:multiLevelType w:val="hybridMultilevel"/>
    <w:tmpl w:val="A81CE208"/>
    <w:lvl w:ilvl="0" w:tplc="07745FE4">
      <w:start w:val="1"/>
      <w:numFmt w:val="bullet"/>
      <w:lvlText w:val="●"/>
      <w:lvlJc w:val="left"/>
      <w:pPr>
        <w:ind w:left="720" w:hanging="360"/>
      </w:pPr>
    </w:lvl>
    <w:lvl w:ilvl="1" w:tplc="2CD2FC94">
      <w:start w:val="1"/>
      <w:numFmt w:val="bullet"/>
      <w:lvlText w:val="○"/>
      <w:lvlJc w:val="left"/>
      <w:pPr>
        <w:ind w:left="1440" w:hanging="360"/>
      </w:pPr>
    </w:lvl>
    <w:lvl w:ilvl="2" w:tplc="7DFEE4AE">
      <w:start w:val="1"/>
      <w:numFmt w:val="bullet"/>
      <w:lvlText w:val="■"/>
      <w:lvlJc w:val="left"/>
      <w:pPr>
        <w:ind w:left="2160" w:hanging="360"/>
      </w:pPr>
    </w:lvl>
    <w:lvl w:ilvl="3" w:tplc="8EFE2FF4">
      <w:start w:val="1"/>
      <w:numFmt w:val="bullet"/>
      <w:lvlText w:val="●"/>
      <w:lvlJc w:val="left"/>
      <w:pPr>
        <w:ind w:left="2880" w:hanging="360"/>
      </w:pPr>
    </w:lvl>
    <w:lvl w:ilvl="4" w:tplc="1ED2B014">
      <w:start w:val="1"/>
      <w:numFmt w:val="bullet"/>
      <w:lvlText w:val="○"/>
      <w:lvlJc w:val="left"/>
      <w:pPr>
        <w:ind w:left="3600" w:hanging="360"/>
      </w:pPr>
    </w:lvl>
    <w:lvl w:ilvl="5" w:tplc="8E0851EE">
      <w:start w:val="1"/>
      <w:numFmt w:val="bullet"/>
      <w:lvlText w:val="■"/>
      <w:lvlJc w:val="left"/>
      <w:pPr>
        <w:ind w:left="4320" w:hanging="360"/>
      </w:pPr>
    </w:lvl>
    <w:lvl w:ilvl="6" w:tplc="9774ABBA">
      <w:start w:val="1"/>
      <w:numFmt w:val="bullet"/>
      <w:lvlText w:val="●"/>
      <w:lvlJc w:val="left"/>
      <w:pPr>
        <w:ind w:left="5040" w:hanging="360"/>
      </w:pPr>
    </w:lvl>
    <w:lvl w:ilvl="7" w:tplc="81A64E50">
      <w:start w:val="1"/>
      <w:numFmt w:val="bullet"/>
      <w:lvlText w:val="●"/>
      <w:lvlJc w:val="left"/>
      <w:pPr>
        <w:ind w:left="5760" w:hanging="360"/>
      </w:pPr>
    </w:lvl>
    <w:lvl w:ilvl="8" w:tplc="E60E6A78">
      <w:start w:val="1"/>
      <w:numFmt w:val="bullet"/>
      <w:lvlText w:val="●"/>
      <w:lvlJc w:val="left"/>
      <w:pPr>
        <w:ind w:left="6480" w:hanging="360"/>
      </w:pPr>
    </w:lvl>
  </w:abstractNum>
  <w:num w:numId="1" w16cid:durableId="1740857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F2C"/>
    <w:rsid w:val="00103115"/>
    <w:rsid w:val="00136703"/>
    <w:rsid w:val="00157121"/>
    <w:rsid w:val="001C2327"/>
    <w:rsid w:val="00235DE9"/>
    <w:rsid w:val="002E19BD"/>
    <w:rsid w:val="00325CCA"/>
    <w:rsid w:val="00406E59"/>
    <w:rsid w:val="00416240"/>
    <w:rsid w:val="00452274"/>
    <w:rsid w:val="00465676"/>
    <w:rsid w:val="0050691B"/>
    <w:rsid w:val="0052592A"/>
    <w:rsid w:val="005864B2"/>
    <w:rsid w:val="00734974"/>
    <w:rsid w:val="007A414E"/>
    <w:rsid w:val="007D7635"/>
    <w:rsid w:val="007E0CED"/>
    <w:rsid w:val="0082248E"/>
    <w:rsid w:val="00B03F2C"/>
    <w:rsid w:val="00B25669"/>
    <w:rsid w:val="00C570CB"/>
    <w:rsid w:val="00C77A4D"/>
    <w:rsid w:val="00CA5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FA79F"/>
  <w15:docId w15:val="{781221EF-A9C9-406F-B815-F8884123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sz w:val="26"/>
      <w:szCs w:val="26"/>
    </w:rPr>
  </w:style>
  <w:style w:type="paragraph" w:styleId="Heading2">
    <w:name w:val="heading 2"/>
    <w:uiPriority w:val="9"/>
    <w:unhideWhenUsed/>
    <w:qFormat/>
    <w:pPr>
      <w:keepNext/>
      <w:spacing w:before="220" w:after="100"/>
      <w:outlineLvl w:val="1"/>
    </w:pPr>
    <w:rPr>
      <w:b/>
      <w:bCs/>
      <w:i/>
      <w:i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2E19BD"/>
    <w:rPr>
      <w:color w:val="666666"/>
    </w:rPr>
  </w:style>
  <w:style w:type="paragraph" w:styleId="Bibliography">
    <w:name w:val="Bibliography"/>
    <w:basedOn w:val="Normal"/>
    <w:next w:val="Normal"/>
    <w:uiPriority w:val="37"/>
    <w:unhideWhenUsed/>
    <w:rsid w:val="001C2327"/>
    <w:pPr>
      <w:tabs>
        <w:tab w:val="left" w:pos="384"/>
      </w:tabs>
      <w:spacing w:line="480" w:lineRule="auto"/>
      <w:ind w:left="384" w:hanging="384"/>
    </w:pPr>
  </w:style>
  <w:style w:type="character" w:styleId="UnresolvedMention">
    <w:name w:val="Unresolved Mention"/>
    <w:basedOn w:val="DefaultParagraphFont"/>
    <w:uiPriority w:val="99"/>
    <w:semiHidden/>
    <w:unhideWhenUsed/>
    <w:rsid w:val="00103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6084/m9.figshare.3433581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SGovindanMI/bipolar-kappaL-sbi" TargetMode="External"/><Relationship Id="rId2" Type="http://schemas.openxmlformats.org/officeDocument/2006/relationships/styles" Target="styles.xml"/><Relationship Id="rId16" Type="http://schemas.openxmlformats.org/officeDocument/2006/relationships/hyperlink" Target="https://github.com/starrydata/starrydata_datasets/releases/tag/data-2026100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6084/m9.figshare.34335810"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GovindanMI/bipolar-kappaL-s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33</Pages>
  <Words>18574</Words>
  <Characters>109962</Characters>
  <Application>Microsoft Office Word</Application>
  <DocSecurity>0</DocSecurity>
  <Lines>1718</Lines>
  <Paragraphs>694</Paragraphs>
  <ScaleCrop>false</ScaleCrop>
  <HeadingPairs>
    <vt:vector size="2" baseType="variant">
      <vt:variant>
        <vt:lpstr>Title</vt:lpstr>
      </vt:variant>
      <vt:variant>
        <vt:i4>1</vt:i4>
      </vt:variant>
    </vt:vector>
  </HeadingPairs>
  <TitlesOfParts>
    <vt:vector size="1" baseType="lpstr">
      <vt:lpstr>combined_manuscript</vt:lpstr>
    </vt:vector>
  </TitlesOfParts>
  <Company/>
  <LinksUpToDate>false</LinksUpToDate>
  <CharactersWithSpaces>127842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combined_manuscript</dc:title>
  <dc:subject>Source-consistent thermoelectric corpus with reference and extended model analyses</dc:subject>
  <dc:creator>Authors</dc:creator>
  <cp:lastModifiedBy>Govindan Namboothiri</cp:lastModifiedBy>
  <cp:revision>9</cp:revision>
  <dcterms:created xsi:type="dcterms:W3CDTF">2026-10-10T04:02:00Z</dcterms:created>
  <dcterms:modified xsi:type="dcterms:W3CDTF">2026-10-11T23:26:00Z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id="KvZ9Bpl7"/&gt;&lt;style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