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t>Carrier asymmetry and thermal-model dependence in neural transport decomposition</w:t>
      </w:r>
    </w:p>
    <w:p>
      <w:r>
        <w:t>Model names correspond to the physical hypotheses defined in the main text. All coverage values are nominal 95% pointwise coverage conditional on scored cases. Native populations can differ; common-case comparisons use explicit intersections.</w:t>
      </w:r>
    </w:p>
    <w:p>
      <w:pPr>
        <w:pStyle w:val="Heading1"/>
        <w:keepNext/>
      </w:pPr>
      <w:r>
        <w:t>Supplementary Table 1 | Independent same-model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361"/>
        <w:gridCol w:w="1134"/>
        <w:gridCol w:w="1984"/>
        <w:gridCol w:w="1984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Scored / generated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Admitted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Lattice coverage percent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Bipolar coverage percent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5986/6000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5842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91.7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5989/6000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5882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93.3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5998/6000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5856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94.7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5992/6000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5847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90.9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5993/6000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5887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93.9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Supplementary Table 2 | Native narrow-gap upturn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935"/>
        <w:gridCol w:w="1049"/>
        <w:gridCol w:w="1247"/>
        <w:gridCol w:w="1247"/>
        <w:gridCol w:w="1134"/>
        <w:gridCol w:w="119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9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Scored</w:t>
            </w:r>
          </w:p>
        </w:tc>
        <w:tc>
          <w:tcPr>
            <w:tcW w:type="dxa" w:w="10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Admitted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Lattice coverage percent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Bipolar coverage percent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Slope subset n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Median slope error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9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999</w:t>
            </w:r>
          </w:p>
        </w:tc>
        <w:tc>
          <w:tcPr>
            <w:tcW w:type="dxa" w:w="10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998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97.2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92.9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343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-0.019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9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656</w:t>
            </w:r>
          </w:p>
        </w:tc>
        <w:tc>
          <w:tcPr>
            <w:tcW w:type="dxa" w:w="10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634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36.2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91.6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-0.702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9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599</w:t>
            </w:r>
          </w:p>
        </w:tc>
        <w:tc>
          <w:tcPr>
            <w:tcW w:type="dxa" w:w="10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577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40.7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82.6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154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-0.693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9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999</w:t>
            </w:r>
          </w:p>
        </w:tc>
        <w:tc>
          <w:tcPr>
            <w:tcW w:type="dxa" w:w="10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985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95.4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88.4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359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-0.058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9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619</w:t>
            </w:r>
          </w:p>
        </w:tc>
        <w:tc>
          <w:tcPr>
            <w:tcW w:type="dxa" w:w="10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571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37.3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85.3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174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-0.660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Supplementary Table 3 | Experimental slope comparisons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964"/>
        <w:gridCol w:w="2154"/>
        <w:gridCol w:w="2154"/>
        <w:gridCol w:w="2154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Native paired n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Native C minus B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All-model-common C minus B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Paired change from Reference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4312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-0.165 [-0.184, -0.150]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-0.107 [-0.122, -0.092]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0.000 [0.000, 0.000]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4187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-0.452 [-0.499, -0.407]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-0.593 [-0.702, -0.481]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-0.425 [-0.540, -0.354]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4507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-0.302 [-0.322, -0.287]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-0.227 [-0.242, -0.208]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-0.094 [-0.102, -0.087]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5368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-0.209 [-0.222, -0.194]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-0.145 [-0.165, -0.132]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-0.018 [-0.024, -0.014]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4225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-0.577 [-0.683, -0.504]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-0.373 [-0.456, -0.308]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-0.231 [-0.284, -0.188]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3114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-0.283 [-0.308, -0.254]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-0.181 [-0.199, -0.163]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-0.065 [-0.070, -0.059]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Supplementary Table 4 | Common-case upturn accuracy and interval width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Lattice coverage percent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Median interval width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Median slope error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Median absolute slope error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41.7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0.699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-0.541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0.541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97.2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9.983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-0.241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0.661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42.5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0.898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-0.600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0.600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45.4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0.972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-0.594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0.594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95.2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6.446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-0.606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0.822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41.3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0.751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-0.562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0.562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Supplementary Table 5 | Common-case mobility-prefactor stress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134"/>
        <w:gridCol w:w="1304"/>
        <w:gridCol w:w="2154"/>
        <w:gridCol w:w="2154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Mobility ratio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Common scored n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Lattice coverage percent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Bipolar coverage percent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75.5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98.3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82.7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89.9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95.6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89.4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72.1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86.1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77.0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74.9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98.4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86.0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89.9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96.5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90.5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70.2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86.6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76.9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Supplementary Table 6 | Transfer between thermal truth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984"/>
        <w:gridCol w:w="1304"/>
        <w:gridCol w:w="1871"/>
        <w:gridCol w:w="1871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Inference model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Truth model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Scored / generated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Lattice coverage percent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Bipolar coverage percent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662/1000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58.1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69.3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164/1000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21.8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65.1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999/1000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74.5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91.6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996/1000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90.2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95.5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999/1000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92.6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94.9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268/1000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25.8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85.9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867/1000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74.8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84.6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312/1000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25.8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80.8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781/1000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62.6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70.8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741/1000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82.4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76.2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743/1000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83.7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75.2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145/1000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23.9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68.7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Supplementary Table 7 | Effective-scattering ambiguity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Admitted 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Ambiguous majority/shared exponent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Ambiguous minority exponent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10740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5575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9445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8210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2362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6082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9604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2621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7891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7736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1975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shared parameter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5623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792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shared parameter</w:t>
            </w:r>
          </w:p>
        </w:tc>
      </w:tr>
    </w:tbl>
    <w:p>
      <w:pPr>
        <w:spacing w:after="0"/>
      </w:pPr>
    </w:p>
    <w:p>
      <w:pPr>
        <w:pStyle w:val="Heading1"/>
      </w:pPr>
      <w:r>
        <w:t>Supplementary Table 8 | Neural training completion</w:t>
      </w:r>
    </w:p>
    <w:p>
      <w:pPr>
        <w:keepNext/>
      </w:pPr>
      <w:r>
        <w:t>Epochs are one-based. The selected checkpoint is the best qualifying validation checkpoint. These are single-seed runs, not replicated convergence assessments.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964"/>
        <w:gridCol w:w="2154"/>
        <w:gridCol w:w="2154"/>
        <w:gridCol w:w="2154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Completed epochs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Selected epoch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Stop reason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75B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bands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178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128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patience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Rising channel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568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patience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Flexible lattice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899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epoch_cap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rising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264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214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patience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6131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/>
                <w:sz w:val="18"/>
              </w:rPr>
              <w:t>Independent + flexible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214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164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patience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8"/>
              </w:rPr>
              <w:t>6141</w:t>
            </w:r>
          </w:p>
        </w:tc>
      </w:tr>
    </w:tbl>
    <w:p>
      <w:pPr>
        <w:spacing w:after="0"/>
      </w:pPr>
    </w:p>
    <w:p>
      <w:r>
        <w:t>Full per-curve inference outputs, comparison masks, nested matched-draw summaries, subgroup summaries and software provenance are supplied in the repository. The prior-support adaptation and inherited development-benchmark status are described in Methods. No simulation-based calibration ranks or external validation measurements are supplied.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Model-sensitivity study: article-format revision, pending external validation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