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4E8B"/>
          <w:sz w:val="44"/>
        </w:rPr>
        <w:t>PROJECT CHARTER &amp; PROPOSAL</w:t>
        <w:br/>
        <w:t>COME FOR ROAD CHILD (CRC)</w:t>
      </w:r>
    </w:p>
    <w:p>
      <w:pPr>
        <w:jc w:val="center"/>
      </w:pPr>
      <w:r>
        <w:rPr>
          <w:rFonts w:ascii="Calibri" w:hAnsi="Calibri"/>
          <w:i/>
          <w:color w:val="646464"/>
          <w:sz w:val="22"/>
        </w:rPr>
        <w:t>Official Digital Web Platform &amp; Transparency Portal (gstu-crc.org)</w:t>
        <w:br/>
        <w:t>Document Code: CRC-SOW-2026-01 | Version 1.0 (Formal)</w:t>
        <w:br/>
      </w:r>
    </w:p>
    <w:p>
      <w:pPr>
        <w:pStyle w:val="Heading1"/>
      </w:pPr>
      <w:r>
        <w:t>1. Executive Summary &amp; Problem Statement</w:t>
      </w:r>
    </w:p>
    <w:p>
      <w:r>
        <w:t>Come for Road Child (CRC) is a nationwide volunteer social and humanitarian organization founded on 5 June 2016 by Md. Rasel Ahmed and Md. Sakib Ahmed, originating at Gopalganj Science and Technology University (GSTU). The organization operates under the slogan 'The World Will Be Free from Street Children by Connected Together', anchored in the three core pillars: Brotherhood, Commitment, and Trust.</w:t>
      </w:r>
    </w:p>
    <w:p>
      <w:r>
        <w:t>The primary challenge addressed by this project is the absence of an integrated, transparent digital infrastructure capable of serving donors, branch coordinators, volunteers, and the public. To ensure long-term sustainability, CRC requires a high-performance, tamper-evident web portal to showcase institutional initiatives such as 'Hatekhori School', streamline multi-tier governance, publicly publish audited financial disclosures, and accept local and international donations.</w:t>
      </w:r>
    </w:p>
    <w:p>
      <w:pPr>
        <w:pStyle w:val="Heading1"/>
      </w:pPr>
      <w:r>
        <w:t>2. Core Project Objectives</w:t>
      </w:r>
    </w:p>
    <w:tbl>
      <w:tblPr>
        <w:tblW w:type="auto" w:w="0"/>
        <w:jc w:val="center"/>
        <w:tblLook w:firstColumn="1" w:firstRow="1" w:lastColumn="0" w:lastRow="0" w:noHBand="0" w:noVBand="1" w:val="04A0"/>
      </w:tblPr>
      <w:tblGrid>
        <w:gridCol w:w="4680"/>
        <w:gridCol w:w="4680"/>
      </w:tblGrid>
      <w:tr>
        <w:tc>
          <w:tcPr>
            <w:tcW w:type="dxa" w:w="4680"/>
            <w:shd w:fill="104E8B"/>
          </w:tcPr>
          <w:p>
            <w:r>
              <w:rPr>
                <w:b/>
                <w:color w:val="FFFFFF"/>
              </w:rPr>
              <w:t>Objective Pillar</w:t>
            </w:r>
          </w:p>
        </w:tc>
        <w:tc>
          <w:tcPr>
            <w:tcW w:type="dxa" w:w="4680"/>
            <w:shd w:fill="104E8B"/>
          </w:tcPr>
          <w:p>
            <w:r>
              <w:rPr>
                <w:b/>
                <w:color w:val="FFFFFF"/>
              </w:rPr>
              <w:t>Description &amp; Success Criteria</w:t>
            </w:r>
          </w:p>
        </w:tc>
      </w:tr>
      <w:tr>
        <w:tc>
          <w:tcPr>
            <w:tcW w:type="dxa" w:w="4680"/>
            <w:shd w:fill="F4F6F9"/>
          </w:tcPr>
          <w:p>
            <w:r>
              <w:rPr>
                <w:b/>
              </w:rPr>
              <w:t>Institutional Legitimacy &amp; SEO</w:t>
            </w:r>
          </w:p>
        </w:tc>
        <w:tc>
          <w:tcPr>
            <w:tcW w:type="dxa" w:w="4680"/>
          </w:tcPr>
          <w:p>
            <w:r>
              <w:t>Secure custom domain (gstu-crc.org) with top-ranking search visibility on Google.</w:t>
            </w:r>
          </w:p>
        </w:tc>
      </w:tr>
      <w:tr>
        <w:tc>
          <w:tcPr>
            <w:tcW w:type="dxa" w:w="4680"/>
            <w:shd w:fill="F4F6F9"/>
          </w:tcPr>
          <w:p>
            <w:r>
              <w:rPr>
                <w:b/>
              </w:rPr>
              <w:t>Fundraising &amp; Child Sponsorship</w:t>
            </w:r>
          </w:p>
        </w:tc>
        <w:tc>
          <w:tcPr>
            <w:tcW w:type="dxa" w:w="4680"/>
          </w:tcPr>
          <w:p>
            <w:r>
              <w:t>Empower one-time donations, recurring funds, and 'Support a Child' sponsorships with instant voucher generation.</w:t>
            </w:r>
          </w:p>
        </w:tc>
      </w:tr>
      <w:tr>
        <w:tc>
          <w:tcPr>
            <w:tcW w:type="dxa" w:w="4680"/>
            <w:shd w:fill="F4F6F9"/>
          </w:tcPr>
          <w:p>
            <w:r>
              <w:rPr>
                <w:b/>
              </w:rPr>
              <w:t>Financial Transparency</w:t>
            </w:r>
          </w:p>
        </w:tc>
        <w:tc>
          <w:tcPr>
            <w:tcW w:type="dxa" w:w="4680"/>
          </w:tcPr>
          <w:p>
            <w:r>
              <w:t>Publicly distribute external and internal audit reports, expenditure disclosures, and statutory constitution texts.</w:t>
            </w:r>
          </w:p>
        </w:tc>
      </w:tr>
      <w:tr>
        <w:tc>
          <w:tcPr>
            <w:tcW w:type="dxa" w:w="4680"/>
            <w:shd w:fill="F4F6F9"/>
          </w:tcPr>
          <w:p>
            <w:r>
              <w:rPr>
                <w:b/>
              </w:rPr>
              <w:t>Child Safeguarding (Report a Concern)</w:t>
            </w:r>
          </w:p>
        </w:tc>
        <w:tc>
          <w:tcPr>
            <w:tcW w:type="dxa" w:w="4680"/>
          </w:tcPr>
          <w:p>
            <w:r>
              <w:t>Provide a confidential, whistleblower-safe mechanism to report street children in distress or organizational concerns.</w:t>
            </w:r>
          </w:p>
        </w:tc>
      </w:tr>
      <w:tr>
        <w:tc>
          <w:tcPr>
            <w:tcW w:type="dxa" w:w="4680"/>
            <w:shd w:fill="F4F6F9"/>
          </w:tcPr>
          <w:p>
            <w:r>
              <w:rPr>
                <w:b/>
              </w:rPr>
              <w:t>Multi-Branch Volunteer Network</w:t>
            </w:r>
          </w:p>
        </w:tc>
        <w:tc>
          <w:tcPr>
            <w:tcW w:type="dxa" w:w="4680"/>
          </w:tcPr>
          <w:p>
            <w:r>
              <w:t>Digitalize volunteer recruitment, membership registry, and interactive activity mapping across university branches.</w:t>
            </w:r>
          </w:p>
        </w:tc>
      </w:tr>
    </w:tbl>
    <w:p>
      <w:pPr>
        <w:pStyle w:val="Heading1"/>
      </w:pPr>
      <w:r>
        <w:t>3. Approved Technical Architecture</w:t>
      </w:r>
    </w:p>
    <w:p>
      <w:r>
        <w:t>Following rigorous feasibility analysis, the engineering steering committee has approved a decoupled enterprise architecture:</w:t>
      </w:r>
    </w:p>
    <w:p>
      <w:pPr>
        <w:pStyle w:val="ListBullet"/>
      </w:pPr>
      <w:r>
        <w:t>• Frontend Layer: Next.js 15 (React 19, TypeScript, Tailwind CSS, SSR/SSG for Google indexing)</w:t>
      </w:r>
    </w:p>
    <w:p>
      <w:pPr>
        <w:pStyle w:val="ListBullet"/>
      </w:pPr>
      <w:r>
        <w:t>• Backend Layer: Nest.js 10+ (Enterprise TypeScript REST API, Swagger/OpenAPI, Class-Validator)</w:t>
      </w:r>
    </w:p>
    <w:p>
      <w:pPr>
        <w:pStyle w:val="ListBullet"/>
      </w:pPr>
      <w:r>
        <w:t>• Database Layer: Supabase (PostgreSQL with Prisma ORM and Row-Level Security)</w:t>
      </w:r>
    </w:p>
    <w:p>
      <w:pPr>
        <w:pStyle w:val="ListBullet"/>
      </w:pPr>
      <w:r>
        <w:t>• Media &amp; Document Pipeline: Cloudinary (Auto-WebP photos) + Supabase Storage (PDFs/Excel)</w:t>
      </w:r>
    </w:p>
    <w:p>
      <w:pPr>
        <w:pStyle w:val="ListBullet"/>
      </w:pPr>
      <w:r>
        <w:t>• Google Drive Auto-Sync: Nest.js Service Account background mirroring for executive records</w:t>
      </w:r>
    </w:p>
    <w:p>
      <w:pPr>
        <w:pStyle w:val="ListBullet"/>
      </w:pPr>
      <w:r>
        <w:t>• Disaster Recovery: 3-Tier backup (Daily cloud snapshots + Nightly pg_dump to Drive + One-click Admin export)</w:t>
      </w:r>
    </w:p>
    <w:p>
      <w:pPr>
        <w:pStyle w:val="Heading1"/>
      </w:pPr>
      <w:r>
        <w:t>4. Governance Sign-off &amp; Authority</w:t>
      </w:r>
    </w:p>
    <w:p>
      <w:r>
        <w:t>This Charter is endorsed by the Executive and Permanent Councils of CRC as the binding technical baseline.</w:t>
      </w:r>
    </w:p>
    <w:tbl>
      <w:tblPr>
        <w:tblW w:type="auto" w:w="0"/>
        <w:jc w:val="center"/>
        <w:tblLook w:firstColumn="1" w:firstRow="1" w:lastColumn="0" w:lastRow="0" w:noHBand="0" w:noVBand="1" w:val="04A0"/>
      </w:tblPr>
      <w:tblGrid>
        <w:gridCol w:w="4680"/>
        <w:gridCol w:w="4680"/>
      </w:tblGrid>
      <w:tr>
        <w:tc>
          <w:tcPr>
            <w:tcW w:type="dxa" w:w="4680"/>
          </w:tcPr>
          <w:p>
            <w:r>
              <w:br/>
              <w:br/>
              <w:t>___________________________</w:t>
              <w:br/>
              <w:t>Md. Rasel Ahmed</w:t>
              <w:br/>
              <w:t>Founder &amp; Founding President, CRC</w:t>
            </w:r>
          </w:p>
        </w:tc>
        <w:tc>
          <w:tcPr>
            <w:tcW w:type="dxa" w:w="4680"/>
          </w:tcPr>
          <w:p>
            <w:r>
              <w:br/>
              <w:br/>
              <w:t>___________________________</w:t>
              <w:br/>
              <w:t>Md. Sakib Ahmed</w:t>
              <w:br/>
              <w:t>Founding President, CRC GSTU Branch</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