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4E8B"/>
          <w:sz w:val="40"/>
        </w:rPr>
        <w:t>SOFTWARE REQUIREMENTS SPECIFICATION (SRS)</w:t>
        <w:br/>
        <w:t>COME FOR ROAD CHILD (CRC)</w:t>
      </w:r>
    </w:p>
    <w:p>
      <w:pPr>
        <w:jc w:val="center"/>
      </w:pPr>
      <w:r>
        <w:rPr>
          <w:rFonts w:ascii="Calibri" w:hAnsi="Calibri"/>
          <w:i/>
          <w:color w:val="646464"/>
          <w:sz w:val="22"/>
        </w:rPr>
        <w:t>Standard: IEEE 830-1998 / ISO/IEC/IEEE 29148:2018</w:t>
        <w:br/>
        <w:t>Target Platform: gstu-crc.org | Version 1.0</w:t>
        <w:br/>
      </w:r>
    </w:p>
    <w:p>
      <w:pPr>
        <w:pStyle w:val="Heading1"/>
      </w:pPr>
      <w:r>
        <w:t>1. Introduction &amp; Purpose</w:t>
      </w:r>
    </w:p>
    <w:p>
      <w:r>
        <w:t>This Software Requirements Specification (SRS) establishes the definitive functional, behavioral, and non-functional requirements for the Come for Road Child (CRC) Official Web Platform. It conforms to the IEEE 830-1998 standard.</w:t>
      </w:r>
    </w:p>
    <w:p>
      <w:pPr>
        <w:pStyle w:val="Heading1"/>
      </w:pPr>
      <w:r>
        <w:t>2. Functional Requirements (FR)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4E8B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3120"/>
            <w:shd w:fill="104E8B"/>
          </w:tcPr>
          <w:p>
            <w:r>
              <w:rPr>
                <w:b/>
                <w:color w:val="FFFFFF"/>
              </w:rPr>
              <w:t>Feature Module</w:t>
            </w:r>
          </w:p>
        </w:tc>
        <w:tc>
          <w:tcPr>
            <w:tcW w:type="dxa" w:w="3120"/>
            <w:shd w:fill="104E8B"/>
          </w:tcPr>
          <w:p>
            <w:r>
              <w:rPr>
                <w:b/>
                <w:color w:val="FFFFFF"/>
              </w:rPr>
              <w:t>Functional Specification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b/>
              </w:rPr>
              <w:t>FR-01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Donation &amp; Sponsorship Engine</w:t>
            </w:r>
          </w:p>
        </w:tc>
        <w:tc>
          <w:tcPr>
            <w:tcW w:type="dxa" w:w="3120"/>
          </w:tcPr>
          <w:p>
            <w:r>
              <w:t>Supports one-time/recurring donations and 'Support a Child' sponsorships with automated PDF receipts.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b/>
              </w:rPr>
              <w:t>FR-02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Three-Tier Governance Directory</w:t>
            </w:r>
          </w:p>
        </w:tc>
        <w:tc>
          <w:tcPr>
            <w:tcW w:type="dxa" w:w="3120"/>
          </w:tcPr>
          <w:p>
            <w:r>
              <w:t>Renders dynamic hierarchical directories for Permanent, Executive, and Temporary Councils.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b/>
              </w:rPr>
              <w:t>FR-03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Hatekhori School &amp; Program Showcase</w:t>
            </w:r>
          </w:p>
        </w:tc>
        <w:tc>
          <w:tcPr>
            <w:tcW w:type="dxa" w:w="3120"/>
          </w:tcPr>
          <w:p>
            <w:r>
              <w:t>Interactive media and statistical showcase of free educational activities for underprivileged children.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b/>
              </w:rPr>
              <w:t>FR-04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Whistleblower Safeguarding Form</w:t>
            </w:r>
          </w:p>
        </w:tc>
        <w:tc>
          <w:tcPr>
            <w:tcW w:type="dxa" w:w="3120"/>
          </w:tcPr>
          <w:p>
            <w:r>
              <w:t>Confidential 'Report a Concern' submission with encrypted transmission and zero IP logging.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b/>
              </w:rPr>
              <w:t>FR-05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Automated Excel Member Roster</w:t>
            </w:r>
          </w:p>
        </w:tc>
        <w:tc>
          <w:tcPr>
            <w:tcW w:type="dxa" w:w="3120"/>
          </w:tcPr>
          <w:p>
            <w:r>
              <w:t>Server-side dynamic compilation of active members into formatted .xlsx spreadsheets via exceljs.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b/>
              </w:rPr>
              <w:t>FR-06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Google Drive Background Vault</w:t>
            </w:r>
          </w:p>
        </w:tc>
        <w:tc>
          <w:tcPr>
            <w:tcW w:type="dxa" w:w="3120"/>
          </w:tcPr>
          <w:p>
            <w:r>
              <w:t>Automatic synchronization of newly generated audit reports and rosters to a secure Google Drive.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b/>
              </w:rPr>
              <w:t>FR-07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Financial Transparency Center</w:t>
            </w:r>
          </w:p>
        </w:tc>
        <w:tc>
          <w:tcPr>
            <w:tcW w:type="dxa" w:w="3120"/>
          </w:tcPr>
          <w:p>
            <w:r>
              <w:t>Public downloadable repository of statutory texts, constitution, and chartered accountant audit reports.</w:t>
            </w:r>
          </w:p>
        </w:tc>
      </w:tr>
    </w:tbl>
    <w:p>
      <w:pPr>
        <w:pStyle w:val="Heading1"/>
      </w:pPr>
      <w:r>
        <w:t>3. Non-Functional Requirements (NFR)</w:t>
      </w:r>
    </w:p>
    <w:p>
      <w:pPr>
        <w:pStyle w:val="ListBullet"/>
      </w:pPr>
      <w:r>
        <w:t>• Performance: Core Web Vitals score &gt;= 90; SSR initial load under 500ms.</w:t>
      </w:r>
    </w:p>
    <w:p>
      <w:pPr>
        <w:pStyle w:val="ListBullet"/>
      </w:pPr>
      <w:r>
        <w:t>• Scalability: Decoupled Nest.js API capable of sustaining 1,000+ concurrent requests.</w:t>
      </w:r>
    </w:p>
    <w:p>
      <w:pPr>
        <w:pStyle w:val="ListBullet"/>
      </w:pPr>
      <w:r>
        <w:t>• Security: OWASP Top 10 protection, strict DTO class validation, TLS 1.3 encryption.</w:t>
      </w:r>
    </w:p>
    <w:p>
      <w:pPr>
        <w:pStyle w:val="ListBullet"/>
      </w:pPr>
      <w:r>
        <w:t>• Reliability: 3-Tier Disaster Recovery ensuring 99.9% data durability.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