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Versioned Complaint Workflow API</w:t>
      </w:r>
    </w:p>
    <w:p>
      <w:r>
        <w:t>Every mutation requires Idempotency-Key. Mutations after intake also require If-Match with the current entity version. A replay with the same idempotency key returns the original result before stale-version validation. GET requests do not mutate workflow or request-audit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/api/v1/complaints</w:t>
            </w:r>
          </w:p>
        </w:tc>
        <w:tc>
          <w:tcPr>
            <w:tcW w:type="dxa" w:w="2880"/>
          </w:tcPr>
          <w:p>
            <w:r>
              <w:t>Intake a complaint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/api/v1/complaints/{id}/analysis-runs</w:t>
            </w:r>
          </w:p>
        </w:tc>
        <w:tc>
          <w:tcPr>
            <w:tcW w:type="dxa" w:w="2880"/>
          </w:tcPr>
          <w:p>
            <w:r>
              <w:t>Request asynchronous issue analysis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/api/v1/complaints/{id}/draft-runs</w:t>
            </w:r>
          </w:p>
        </w:tc>
        <w:tc>
          <w:tcPr>
            <w:tcW w:type="dxa" w:w="2880"/>
          </w:tcPr>
          <w:p>
            <w:r>
              <w:t>Request evidence-gated draft generation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/api/v1/runs/{id}</w:t>
            </w:r>
          </w:p>
        </w:tc>
        <w:tc>
          <w:tcPr>
            <w:tcW w:type="dxa" w:w="2880"/>
          </w:tcPr>
          <w:p>
            <w:r>
              <w:t>Inspect job status and failure reason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/api/v1/issues/{id}/location-confirmations</w:t>
            </w:r>
          </w:p>
        </w:tc>
        <w:tc>
          <w:tcPr>
            <w:tcW w:type="dxa" w:w="2880"/>
          </w:tcPr>
          <w:p>
            <w:r>
              <w:t>Record human-confirmed location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/api/v1/drafts/{id}/reviews</w:t>
            </w:r>
          </w:p>
        </w:tc>
        <w:tc>
          <w:tcPr>
            <w:tcW w:type="dxa" w:w="2880"/>
          </w:tcPr>
          <w:p>
            <w:r>
              <w:t>Record reviewer decision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/api/v1/drafts/{id}/approvals</w:t>
            </w:r>
          </w:p>
        </w:tc>
        <w:tc>
          <w:tcPr>
            <w:tcW w:type="dxa" w:w="2880"/>
          </w:tcPr>
          <w:p>
            <w:r>
              <w:t>Record separate approver decision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/api/v1/complaints/{id}/complete</w:t>
            </w:r>
          </w:p>
        </w:tc>
        <w:tc>
          <w:tcPr>
            <w:tcW w:type="dxa" w:w="2880"/>
          </w:tcPr>
          <w:p>
            <w:r>
              <w:t>Record manual completion after approval</w:t>
            </w:r>
          </w:p>
        </w:tc>
      </w:tr>
    </w:tbl>
    <w:p>
      <w:r>
        <w:t>Internal Python workers use /internal/v1/worker/jobs/claim, /results, /support-results, and /failures with a dedicated service token. Spring owns every lease, retry, completion, failure, and audit transition. These endpoints are not browser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