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Evidence-Verified Complaint Support Architecture</w:t>
      </w:r>
    </w:p>
    <w:p>
      <w:r>
        <w:t>Generated: 2026-06-04</w:t>
      </w:r>
    </w:p>
    <w:p>
      <w:r>
        <w:t>Spring is authoritative for workflow state, permissions, deterministic verification, audit, human decisions, and job leases. Python workers perform provider-backed analysis and draft generation plus restricted asynchronous support tasks. Spring applies a worker result only after governed hash, schema, prompt-version, and evidence-candidate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Responsibility</w:t>
            </w:r>
          </w:p>
        </w:tc>
        <w:tc>
          <w:tcPr>
            <w:tcW w:type="dxa" w:w="2880"/>
          </w:tcPr>
          <w:p>
            <w:r>
              <w:t>Forbidden responsibility</w:t>
            </w:r>
          </w:p>
        </w:tc>
      </w:tr>
      <w:tr>
        <w:tc>
          <w:tcPr>
            <w:tcW w:type="dxa" w:w="2880"/>
          </w:tcPr>
          <w:p>
            <w:r>
              <w:t>egov-boot-web</w:t>
            </w:r>
          </w:p>
        </w:tc>
        <w:tc>
          <w:tcPr>
            <w:tcW w:type="dxa" w:w="2880"/>
          </w:tcPr>
          <w:p>
            <w:r>
              <w:t>State, roles, jobs, evidence, reviews, approvals</w:t>
            </w:r>
          </w:p>
        </w:tc>
        <w:tc>
          <w:tcPr>
            <w:tcW w:type="dxa" w:w="2880"/>
          </w:tcPr>
          <w:p>
            <w:r>
              <w:t>External automatic send</w:t>
            </w:r>
          </w:p>
        </w:tc>
      </w:tr>
      <w:tr>
        <w:tc>
          <w:tcPr>
            <w:tcW w:type="dxa" w:w="2880"/>
          </w:tcPr>
          <w:p>
            <w:r>
              <w:t>Python worker</w:t>
            </w:r>
          </w:p>
        </w:tc>
        <w:tc>
          <w:tcPr>
            <w:tcW w:type="dxa" w:w="2880"/>
          </w:tcPr>
          <w:p>
            <w:r>
              <w:t>AI provider calls, redaction, quarantined attachment extraction, retrieval, verification support</w:t>
            </w:r>
          </w:p>
        </w:tc>
        <w:tc>
          <w:tcPr>
            <w:tcW w:type="dxa" w:w="2880"/>
          </w:tcPr>
          <w:p>
            <w:r>
              <w:t>Approval, completion, or authoritative state changes</w:t>
            </w:r>
          </w:p>
        </w:tc>
      </w:tr>
      <w:tr>
        <w:tc>
          <w:tcPr>
            <w:tcW w:type="dxa" w:w="2880"/>
          </w:tcPr>
          <w:p>
            <w:r>
              <w:t>Internal worker API</w:t>
            </w:r>
          </w:p>
        </w:tc>
        <w:tc>
          <w:tcPr>
            <w:tcW w:type="dxa" w:w="2880"/>
          </w:tcPr>
          <w:p>
            <w:r>
              <w:t>Service-token claim, AI/support result, and failure contract</w:t>
            </w:r>
          </w:p>
        </w:tc>
        <w:tc>
          <w:tcPr>
            <w:tcW w:type="dxa" w:w="2880"/>
          </w:tcPr>
          <w:p>
            <w:r>
              <w:t>Browser access or human workflow decisions</w:t>
            </w:r>
          </w:p>
        </w:tc>
      </w:tr>
      <w:tr>
        <w:tc>
          <w:tcPr>
            <w:tcW w:type="dxa" w:w="2880"/>
          </w:tcPr>
          <w:p>
            <w:r>
              <w:t>Knowledge maintenance</w:t>
            </w:r>
          </w:p>
        </w:tc>
        <w:tc>
          <w:tcPr>
            <w:tcW w:type="dxa" w:w="2880"/>
          </w:tcPr>
          <w:p>
            <w:r>
              <w:t>Official-source freshness and derived purpose-specific OpenSearch indices</w:t>
            </w:r>
          </w:p>
        </w:tc>
        <w:tc>
          <w:tcPr>
            <w:tcW w:type="dxa" w:w="2880"/>
          </w:tcPr>
          <w:p>
            <w:r>
              <w:t>Workflow decisions</w:t>
            </w:r>
          </w:p>
        </w:tc>
      </w:tr>
      <w:tr>
        <w:tc>
          <w:tcPr>
            <w:tcW w:type="dxa" w:w="2880"/>
          </w:tcPr>
          <w:p>
            <w:r>
              <w:t>PostgreSQL</w:t>
            </w:r>
          </w:p>
        </w:tc>
        <w:tc>
          <w:tcPr>
            <w:tcW w:type="dxa" w:w="2880"/>
          </w:tcPr>
          <w:p>
            <w:r>
              <w:t>Versioned state, source registry, immutable evidence snapshots, audit</w:t>
            </w:r>
          </w:p>
        </w:tc>
        <w:tc>
          <w:tcPr>
            <w:tcW w:type="dxa" w:w="2880"/>
          </w:tcPr>
          <w:p>
            <w:r>
              <w:t>None</w:t>
            </w:r>
          </w:p>
        </w:tc>
      </w:tr>
      <w:tr>
        <w:tc>
          <w:tcPr>
            <w:tcW w:type="dxa" w:w="2880"/>
          </w:tcPr>
          <w:p>
            <w:r>
              <w:t>Review workspace</w:t>
            </w:r>
          </w:p>
        </w:tc>
        <w:tc>
          <w:tcPr>
            <w:tcW w:type="dxa" w:w="2880"/>
          </w:tcPr>
          <w:p>
            <w:r>
              <w:t>Explicit human requests and decisions</w:t>
            </w:r>
          </w:p>
        </w:tc>
        <w:tc>
          <w:tcPr>
            <w:tcW w:type="dxa" w:w="2880"/>
          </w:tcPr>
          <w:p>
            <w:r>
              <w:t>Browser API keys</w:t>
            </w:r>
          </w:p>
        </w:tc>
      </w:tr>
    </w:tbl>
    <w:p>
      <w:r>
        <w:t>Draft providers return draft-claims-v1 JSON. Spring validates every claim and supplied evidence ID before rendering a review draft and linking immutable snapshots. Official legal evidence requires a source version, legal basis, effective period, jurisdiction, source URL, verification status, and a content hash that matches the captured text. Conflicting or incomplete candidates remain visible as non-supporting immutable snapshots.</w:t>
      </w:r>
    </w:p>
    <w:p>
      <w:r>
        <w:t>Analysis providers return exactly one complaint-support-v1 JSON document. Untrusted complaint, analysis, and evidence text is boundary-escaped before provider calls.</w:t>
      </w:r>
    </w:p>
    <w:p>
      <w:r>
        <w:t>Official-law synchronization preserves XML provisions, effective dates, source versions, and hashes. Stale or failed sources are excluded. Quarantined attachments must pass malware inspection, extraction, and redaction before their derivatives may enter a provider prompt.</w:t>
      </w:r>
    </w:p>
    <w:p>
      <w:r>
        <w:t>OpenAI, Bedrock, Mock, and public APIs share a bounded provider runtime with independent cost limits, retries, and circuit state. Attachment and sensitive-payload objects without database references are removed only after the configured orphan-cleanup grace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