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B3A6B" w:color="auto" w:val="clear"/>
            <w:tcMar>
              <w:top w:type="dxa" w:w="200"/>
              <w:left w:type="dxa" w:w="200"/>
              <w:bottom w:type="dxa" w:w="200"/>
              <w:right w:type="dxa" w:w="200"/>
            </w:tcMar>
          </w:tcPr>
          <w:p>
            <w:pPr>
              <w:spacing w:after="40"/>
            </w:pPr>
            <w:r>
              <w:rPr>
                <w:rFonts w:ascii="Calibri" w:cs="Calibri" w:eastAsia="Calibri" w:hAnsi="Calibri"/>
                <w:b/>
                <w:bCs/>
                <w:color w:val="AFC6E9"/>
                <w:spacing w:val="30"/>
                <w:sz w:val="17"/>
                <w:szCs w:val="17"/>
              </w:rPr>
              <w:t xml:space="preserve">TRIUN CONSTRUCTION &amp; ENGINEERING</w:t>
            </w:r>
          </w:p>
          <w:p>
            <w:pPr>
              <w:spacing w:after="50"/>
            </w:pPr>
            <w:r>
              <w:rPr>
                <w:rFonts w:ascii="Calibri" w:cs="Calibri" w:eastAsia="Calibri" w:hAnsi="Calibri"/>
                <w:b/>
                <w:bCs/>
                <w:color w:val="FFFFFF"/>
                <w:sz w:val="34"/>
                <w:szCs w:val="34"/>
              </w:rPr>
              <w:t xml:space="preserve">Exterior Window Perimeter Sealant</w:t>
            </w:r>
          </w:p>
          <w:p>
            <w:pPr>
              <w:spacing w:after="0"/>
            </w:pPr>
            <w:r>
              <w:rPr>
                <w:rFonts w:ascii="Calibri" w:cs="Calibri" w:eastAsia="Calibri" w:hAnsi="Calibri"/>
                <w:color w:val="D6E4F5"/>
                <w:sz w:val="22"/>
                <w:szCs w:val="22"/>
              </w:rPr>
              <w:t xml:space="preserve">Product Selection &amp; Submittal Reference</w:t>
            </w:r>
          </w:p>
        </w:tc>
      </w:tr>
    </w:tbl>
    <w:p>
      <w:pPr>
        <w:spacing w:after="160"/>
      </w:pPr>
      <w:r>
        <w:rPr>
          <w:rFonts w:ascii="Calibri" w:cs="Calibri" w:eastAsia="Calibri" w:hAnsi="Calibri"/>
          <w:b w:val="false"/>
          <w:bCs w:val="false"/>
          <w:i w:val="false"/>
          <w:iCs w:val="false"/>
          <w:color w:val="22262B"/>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40"/>
        <w:gridCol w:w="2000"/>
        <w:gridCol w:w="3040"/>
      </w:tblGrid>
      <w:tr>
        <w:trPr>
          <w:cantSplit/>
        </w:trPr>
        <w:tc>
          <w:tcPr>
            <w:tcW w:type="dxa" w:w="2200"/>
            <w:tcBorders>
              <w:top w:val="single" w:color="C9D4E4" w:sz="2"/>
              <w:left w:val="single" w:color="C9D4E4" w:sz="2"/>
              <w:bottom w:val="single" w:color="C9D4E4" w:sz="2"/>
              <w:right w:val="single" w:color="C9D4E4" w:sz="2"/>
            </w:tcBorders>
            <w:shd w:fill="F2F4F7"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1B3A6B"/>
                <w:sz w:val="16"/>
                <w:szCs w:val="16"/>
              </w:rPr>
              <w:t xml:space="preserve">PROJECT</w:t>
            </w:r>
          </w:p>
        </w:tc>
        <w:tc>
          <w:tcPr>
            <w:tcW w:type="dxa" w:w="2840"/>
            <w:tcBorders>
              <w:top w:val="single" w:color="C9D4E4" w:sz="2"/>
              <w:left w:val="single" w:color="C9D4E4" w:sz="2"/>
              <w:bottom w:val="single" w:color="C9D4E4" w:sz="2"/>
              <w:right w:val="single" w:color="C9D4E4" w:sz="2"/>
            </w:tcBorders>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Home2 Suites by Hilton — Eagle Pass, TX</w:t>
            </w:r>
          </w:p>
        </w:tc>
        <w:tc>
          <w:tcPr>
            <w:tcW w:type="dxa" w:w="2000"/>
            <w:tcBorders>
              <w:top w:val="single" w:color="C9D4E4" w:sz="2"/>
              <w:left w:val="single" w:color="C9D4E4" w:sz="2"/>
              <w:bottom w:val="single" w:color="C9D4E4" w:sz="2"/>
              <w:right w:val="single" w:color="C9D4E4" w:sz="2"/>
            </w:tcBorders>
            <w:shd w:fill="F2F4F7"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1B3A6B"/>
                <w:sz w:val="16"/>
                <w:szCs w:val="16"/>
              </w:rPr>
              <w:t xml:space="preserve">PROJECT CODE</w:t>
            </w:r>
          </w:p>
        </w:tc>
        <w:tc>
          <w:tcPr>
            <w:tcW w:type="dxa" w:w="3040"/>
            <w:tcBorders>
              <w:top w:val="single" w:color="C9D4E4" w:sz="2"/>
              <w:left w:val="single" w:color="C9D4E4" w:sz="2"/>
              <w:bottom w:val="single" w:color="C9D4E4" w:sz="2"/>
              <w:right w:val="single" w:color="C9D4E4" w:sz="2"/>
            </w:tcBorders>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22262B"/>
                <w:sz w:val="18"/>
                <w:szCs w:val="18"/>
              </w:rPr>
              <w:t xml:space="preserve">H2SEP</w:t>
            </w:r>
          </w:p>
        </w:tc>
      </w:tr>
      <w:tr>
        <w:trPr>
          <w:cantSplit/>
        </w:trPr>
        <w:tc>
          <w:tcPr>
            <w:tcW w:type="dxa" w:w="2200"/>
            <w:tcBorders>
              <w:top w:val="single" w:color="C9D4E4" w:sz="2"/>
              <w:left w:val="single" w:color="C9D4E4" w:sz="2"/>
              <w:bottom w:val="single" w:color="C9D4E4" w:sz="2"/>
              <w:right w:val="single" w:color="C9D4E4" w:sz="2"/>
            </w:tcBorders>
            <w:shd w:fill="F2F4F7"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1B3A6B"/>
                <w:sz w:val="16"/>
                <w:szCs w:val="16"/>
              </w:rPr>
              <w:t xml:space="preserve">SPEC SECTION</w:t>
            </w:r>
          </w:p>
        </w:tc>
        <w:tc>
          <w:tcPr>
            <w:tcW w:type="dxa" w:w="2840"/>
            <w:tcBorders>
              <w:top w:val="single" w:color="C9D4E4" w:sz="2"/>
              <w:left w:val="single" w:color="C9D4E4" w:sz="2"/>
              <w:bottom w:val="single" w:color="C9D4E4" w:sz="2"/>
              <w:right w:val="single" w:color="C9D4E4" w:sz="2"/>
            </w:tcBorders>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07 92 00 — Joint Sealants (coordinate w/ 08 51 13)</w:t>
            </w:r>
          </w:p>
        </w:tc>
        <w:tc>
          <w:tcPr>
            <w:tcW w:type="dxa" w:w="2000"/>
            <w:tcBorders>
              <w:top w:val="single" w:color="C9D4E4" w:sz="2"/>
              <w:left w:val="single" w:color="C9D4E4" w:sz="2"/>
              <w:bottom w:val="single" w:color="C9D4E4" w:sz="2"/>
              <w:right w:val="single" w:color="C9D4E4" w:sz="2"/>
            </w:tcBorders>
            <w:shd w:fill="F2F4F7"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1B3A6B"/>
                <w:sz w:val="16"/>
                <w:szCs w:val="16"/>
              </w:rPr>
              <w:t xml:space="preserve">DATE</w:t>
            </w:r>
          </w:p>
        </w:tc>
        <w:tc>
          <w:tcPr>
            <w:tcW w:type="dxa" w:w="3040"/>
            <w:tcBorders>
              <w:top w:val="single" w:color="C9D4E4" w:sz="2"/>
              <w:left w:val="single" w:color="C9D4E4" w:sz="2"/>
              <w:bottom w:val="single" w:color="C9D4E4" w:sz="2"/>
              <w:right w:val="single" w:color="C9D4E4" w:sz="2"/>
            </w:tcBorders>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August 13, 2026</w:t>
            </w:r>
          </w:p>
        </w:tc>
      </w:tr>
      <w:tr>
        <w:trPr>
          <w:cantSplit/>
        </w:trPr>
        <w:tc>
          <w:tcPr>
            <w:tcW w:type="dxa" w:w="2200"/>
            <w:tcBorders>
              <w:top w:val="single" w:color="C9D4E4" w:sz="2"/>
              <w:left w:val="single" w:color="C9D4E4" w:sz="2"/>
              <w:bottom w:val="single" w:color="C9D4E4" w:sz="2"/>
              <w:right w:val="single" w:color="C9D4E4" w:sz="2"/>
            </w:tcBorders>
            <w:shd w:fill="F2F4F7"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1B3A6B"/>
                <w:sz w:val="16"/>
                <w:szCs w:val="16"/>
              </w:rPr>
              <w:t xml:space="preserve">BASIS OF DESIGN</w:t>
            </w:r>
          </w:p>
        </w:tc>
        <w:tc>
          <w:tcPr>
            <w:tcW w:type="dxa" w:w="7880"/>
            <w:gridSpan w:val="3"/>
            <w:tcBorders>
              <w:top w:val="single" w:color="C9D4E4" w:sz="2"/>
              <w:left w:val="single" w:color="C9D4E4" w:sz="2"/>
              <w:bottom w:val="single" w:color="C9D4E4" w:sz="2"/>
              <w:right w:val="single" w:color="C9D4E4" w:sz="2"/>
            </w:tcBorders>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Quaker Windows &amp; Doors — Installation Guidelines for Quaker Aluminum Products, New Construction Nail Fin Installation with a Drainable Weather Resistant Barrier; QWP part # IG-001, Rev. v1.8, dated 08/04/2023</w:t>
            </w:r>
          </w:p>
        </w:tc>
      </w:tr>
      <w:tr>
        <w:trPr>
          <w:cantSplit/>
        </w:trPr>
        <w:tc>
          <w:tcPr>
            <w:tcW w:type="dxa" w:w="2200"/>
            <w:tcBorders>
              <w:top w:val="single" w:color="C9D4E4" w:sz="2"/>
              <w:left w:val="single" w:color="C9D4E4" w:sz="2"/>
              <w:bottom w:val="single" w:color="C9D4E4" w:sz="2"/>
              <w:right w:val="single" w:color="C9D4E4" w:sz="2"/>
            </w:tcBorders>
            <w:shd w:fill="F2F4F7"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1B3A6B"/>
                <w:sz w:val="16"/>
                <w:szCs w:val="16"/>
              </w:rPr>
              <w:t xml:space="preserve">PREPARED BY</w:t>
            </w:r>
          </w:p>
        </w:tc>
        <w:tc>
          <w:tcPr>
            <w:tcW w:type="dxa" w:w="7880"/>
            <w:gridSpan w:val="3"/>
            <w:tcBorders>
              <w:top w:val="single" w:color="C9D4E4" w:sz="2"/>
              <w:left w:val="single" w:color="C9D4E4" w:sz="2"/>
              <w:bottom w:val="single" w:color="C9D4E4" w:sz="2"/>
              <w:right w:val="single" w:color="C9D4E4" w:sz="2"/>
            </w:tcBorders>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Triun Construction &amp; Engineering — Project Management</w:t>
            </w:r>
          </w:p>
        </w:tc>
      </w:tr>
    </w:tbl>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1.  Governing Requirement</w:t>
      </w:r>
    </w:p>
    <w:p>
      <w:pPr>
        <w:spacing w:after="100" w:before="0" w:line="264"/>
      </w:pPr>
      <w:r>
        <w:rPr>
          <w:rFonts w:ascii="Calibri" w:cs="Calibri" w:eastAsia="Calibri" w:hAnsi="Calibri"/>
          <w:b w:val="false"/>
          <w:bCs w:val="false"/>
          <w:i w:val="false"/>
          <w:iCs w:val="false"/>
          <w:color w:val="22262B"/>
          <w:sz w:val="19"/>
          <w:szCs w:val="19"/>
        </w:rPr>
        <w:t xml:space="preserve">The window manufacturer's installation guide establishes the sealant requirement. Two provisions on page 2 of IG-001 v1.8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5FA3" w:sz="18"/>
              <w:bottom w:val="none" w:color="FFFFFF" w:sz="0"/>
              <w:right w:val="none" w:color="FFFFFF" w:sz="0"/>
            </w:tcBorders>
            <w:shd w:fill="D6E4F5" w:color="auto" w:val="clear"/>
            <w:tcMar>
              <w:top w:type="dxa" w:w="130"/>
              <w:left w:type="dxa" w:w="170"/>
              <w:bottom w:type="dxa" w:w="130"/>
              <w:right w:type="dxa" w:w="170"/>
            </w:tcMar>
          </w:tcPr>
          <w:p>
            <w:pPr>
              <w:spacing w:after="60" w:line="250"/>
            </w:pPr>
            <w:r>
              <w:rPr>
                <w:rFonts w:ascii="Calibri" w:cs="Calibri" w:eastAsia="Calibri" w:hAnsi="Calibri"/>
                <w:b/>
                <w:bCs/>
                <w:color w:val="2E5FA3"/>
                <w:sz w:val="19"/>
                <w:szCs w:val="19"/>
              </w:rPr>
              <w:t xml:space="preserve">IG-001 v1.8, Page 2 — "Sealing"</w:t>
            </w:r>
          </w:p>
          <w:p>
            <w:pPr>
              <w:spacing w:after="0" w:line="250"/>
            </w:pPr>
            <w:r>
              <w:rPr>
                <w:rFonts w:ascii="Calibri" w:cs="Calibri" w:eastAsia="Calibri" w:hAnsi="Calibri"/>
                <w:b w:val="false"/>
                <w:bCs w:val="false"/>
                <w:i/>
                <w:iCs/>
                <w:color w:val="22262B"/>
                <w:sz w:val="18"/>
                <w:szCs w:val="18"/>
              </w:rPr>
              <w:t xml:space="preserve">“Quaker recommends 100% silicone (ASTM C920 compliant) neutral cure only sealant. Always clean all areas where sealant will be applied. Failure to do so could result in product or property damage.”</w:t>
            </w:r>
          </w:p>
        </w:tc>
      </w:tr>
    </w:tbl>
    <w:p>
      <w:pPr>
        <w:spacing w:after="90"/>
      </w:pPr>
      <w:r>
        <w:rPr>
          <w:rFonts w:ascii="Calibri" w:cs="Calibri" w:eastAsia="Calibri" w:hAnsi="Calibri"/>
          <w:b w:val="false"/>
          <w:bCs w:val="false"/>
          <w:i w:val="false"/>
          <w:iCs w:val="false"/>
          <w:color w:val="22262B"/>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5FA3" w:sz="18"/>
              <w:bottom w:val="none" w:color="FFFFFF" w:sz="0"/>
              <w:right w:val="none" w:color="FFFFFF" w:sz="0"/>
            </w:tcBorders>
            <w:shd w:fill="D6E4F5" w:color="auto" w:val="clear"/>
            <w:tcMar>
              <w:top w:type="dxa" w:w="130"/>
              <w:left w:type="dxa" w:w="170"/>
              <w:bottom w:type="dxa" w:w="130"/>
              <w:right w:type="dxa" w:w="170"/>
            </w:tcMar>
          </w:tcPr>
          <w:p>
            <w:pPr>
              <w:spacing w:after="60" w:line="250"/>
            </w:pPr>
            <w:r>
              <w:rPr>
                <w:rFonts w:ascii="Calibri" w:cs="Calibri" w:eastAsia="Calibri" w:hAnsi="Calibri"/>
                <w:b/>
                <w:bCs/>
                <w:color w:val="2E5FA3"/>
                <w:sz w:val="19"/>
                <w:szCs w:val="19"/>
              </w:rPr>
              <w:t xml:space="preserve">IG-001 v1.8, Page 2 — "Installation"</w:t>
            </w:r>
          </w:p>
          <w:p>
            <w:pPr>
              <w:spacing w:after="0" w:line="250"/>
            </w:pPr>
            <w:r>
              <w:rPr>
                <w:rFonts w:ascii="Calibri" w:cs="Calibri" w:eastAsia="Calibri" w:hAnsi="Calibri"/>
                <w:b w:val="false"/>
                <w:bCs w:val="false"/>
                <w:i/>
                <w:iCs/>
                <w:color w:val="22262B"/>
                <w:sz w:val="18"/>
                <w:szCs w:val="18"/>
              </w:rPr>
              <w:t xml:space="preserve">“Nailing flanges and drip caps (integral or applied) do not take the place of window flashing. All windows and doors must be properly flashed and sealed with material compatible sealant for protection against water and air infiltration around the entire perimeter.”</w:t>
            </w:r>
          </w:p>
        </w:tc>
      </w:tr>
    </w:tbl>
    <w:p>
      <w:pPr>
        <w:spacing w:after="140"/>
      </w:pPr>
      <w:r>
        <w:rPr>
          <w:rFonts w:ascii="Calibri" w:cs="Calibri" w:eastAsia="Calibri" w:hAnsi="Calibri"/>
          <w:b w:val="false"/>
          <w:bCs w:val="false"/>
          <w:i w:val="false"/>
          <w:iCs w:val="false"/>
          <w:color w:val="22262B"/>
          <w:sz w:val="19"/>
          <w:szCs w:val="19"/>
        </w:rPr>
        <w:t xml:space="preserve"/>
      </w:r>
    </w:p>
    <w:p>
      <w:pPr>
        <w:pStyle w:val="Heading2"/>
        <w:keepNext/>
        <w:spacing w:after="90" w:before="200"/>
      </w:pPr>
      <w:r>
        <w:rPr>
          <w:rFonts w:ascii="Calibri" w:cs="Calibri" w:eastAsia="Calibri" w:hAnsi="Calibri"/>
          <w:b/>
          <w:bCs/>
          <w:color w:val="2E5FA3"/>
          <w:sz w:val="21"/>
          <w:szCs w:val="21"/>
        </w:rPr>
        <w:t xml:space="preserve">Requirement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dxa" w:w="2520"/>
            <w:tcBorders>
              <w:top w:val="single" w:color="C9D4E4" w:sz="2"/>
              <w:left w:val="single" w:color="C9D4E4" w:sz="2"/>
              <w:bottom w:val="single" w:color="C9D4E4" w:sz="2"/>
              <w:right w:val="single" w:color="C9D4E4" w:sz="2"/>
            </w:tcBorders>
            <w:shd w:fill="D6E4F5" w:color="auto" w:val="clear"/>
            <w:tcMar>
              <w:top w:type="dxa" w:w="140"/>
              <w:left w:type="dxa" w:w="110"/>
              <w:bottom w:type="dxa" w:w="140"/>
              <w:right w:type="dxa" w:w="110"/>
            </w:tcMar>
          </w:tcPr>
          <w:p>
            <w:pPr>
              <w:spacing w:after="50" w:line="240"/>
              <w:jc w:val="center"/>
            </w:pPr>
            <w:r>
              <w:rPr>
                <w:rFonts w:ascii="Calibri" w:cs="Calibri" w:eastAsia="Calibri" w:hAnsi="Calibri"/>
                <w:b/>
                <w:bCs/>
                <w:color w:val="2E5FA3"/>
                <w:spacing w:val="20"/>
                <w:sz w:val="15"/>
                <w:szCs w:val="15"/>
              </w:rPr>
              <w:t xml:space="preserve">COMPOSITION</w:t>
            </w:r>
          </w:p>
          <w:p>
            <w:pPr>
              <w:spacing w:after="0" w:line="240"/>
              <w:jc w:val="center"/>
            </w:pPr>
            <w:r>
              <w:rPr>
                <w:rFonts w:ascii="Calibri" w:cs="Calibri" w:eastAsia="Calibri" w:hAnsi="Calibri"/>
                <w:b/>
                <w:bCs/>
                <w:color w:val="1B3A6B"/>
                <w:sz w:val="20"/>
                <w:szCs w:val="20"/>
              </w:rPr>
              <w:t xml:space="preserve">100% Silicone</w:t>
            </w:r>
          </w:p>
        </w:tc>
        <w:tc>
          <w:tcPr>
            <w:tcW w:type="dxa" w:w="2520"/>
            <w:tcBorders>
              <w:top w:val="single" w:color="C9D4E4" w:sz="2"/>
              <w:left w:val="single" w:color="C9D4E4" w:sz="2"/>
              <w:bottom w:val="single" w:color="C9D4E4" w:sz="2"/>
              <w:right w:val="single" w:color="C9D4E4" w:sz="2"/>
            </w:tcBorders>
            <w:shd w:fill="D6E4F5" w:color="auto" w:val="clear"/>
            <w:tcMar>
              <w:top w:type="dxa" w:w="140"/>
              <w:left w:type="dxa" w:w="110"/>
              <w:bottom w:type="dxa" w:w="140"/>
              <w:right w:type="dxa" w:w="110"/>
            </w:tcMar>
          </w:tcPr>
          <w:p>
            <w:pPr>
              <w:spacing w:after="50" w:line="240"/>
              <w:jc w:val="center"/>
            </w:pPr>
            <w:r>
              <w:rPr>
                <w:rFonts w:ascii="Calibri" w:cs="Calibri" w:eastAsia="Calibri" w:hAnsi="Calibri"/>
                <w:b/>
                <w:bCs/>
                <w:color w:val="2E5FA3"/>
                <w:spacing w:val="20"/>
                <w:sz w:val="15"/>
                <w:szCs w:val="15"/>
              </w:rPr>
              <w:t xml:space="preserve">CURE TYPE</w:t>
            </w:r>
          </w:p>
          <w:p>
            <w:pPr>
              <w:spacing w:after="0" w:line="240"/>
              <w:jc w:val="center"/>
            </w:pPr>
            <w:r>
              <w:rPr>
                <w:rFonts w:ascii="Calibri" w:cs="Calibri" w:eastAsia="Calibri" w:hAnsi="Calibri"/>
                <w:b/>
                <w:bCs/>
                <w:color w:val="1B3A6B"/>
                <w:sz w:val="20"/>
                <w:szCs w:val="20"/>
              </w:rPr>
              <w:t xml:space="preserve">Neutral Cure Only</w:t>
            </w:r>
          </w:p>
        </w:tc>
        <w:tc>
          <w:tcPr>
            <w:tcW w:type="dxa" w:w="2520"/>
            <w:tcBorders>
              <w:top w:val="single" w:color="C9D4E4" w:sz="2"/>
              <w:left w:val="single" w:color="C9D4E4" w:sz="2"/>
              <w:bottom w:val="single" w:color="C9D4E4" w:sz="2"/>
              <w:right w:val="single" w:color="C9D4E4" w:sz="2"/>
            </w:tcBorders>
            <w:shd w:fill="D6E4F5" w:color="auto" w:val="clear"/>
            <w:tcMar>
              <w:top w:type="dxa" w:w="140"/>
              <w:left w:type="dxa" w:w="110"/>
              <w:bottom w:type="dxa" w:w="140"/>
              <w:right w:type="dxa" w:w="110"/>
            </w:tcMar>
          </w:tcPr>
          <w:p>
            <w:pPr>
              <w:spacing w:after="50" w:line="240"/>
              <w:jc w:val="center"/>
            </w:pPr>
            <w:r>
              <w:rPr>
                <w:rFonts w:ascii="Calibri" w:cs="Calibri" w:eastAsia="Calibri" w:hAnsi="Calibri"/>
                <w:b/>
                <w:bCs/>
                <w:color w:val="2E5FA3"/>
                <w:spacing w:val="20"/>
                <w:sz w:val="15"/>
                <w:szCs w:val="15"/>
              </w:rPr>
              <w:t xml:space="preserve">STANDARD</w:t>
            </w:r>
          </w:p>
          <w:p>
            <w:pPr>
              <w:spacing w:after="0" w:line="240"/>
              <w:jc w:val="center"/>
            </w:pPr>
            <w:r>
              <w:rPr>
                <w:rFonts w:ascii="Calibri" w:cs="Calibri" w:eastAsia="Calibri" w:hAnsi="Calibri"/>
                <w:b/>
                <w:bCs/>
                <w:color w:val="1B3A6B"/>
                <w:sz w:val="20"/>
                <w:szCs w:val="20"/>
              </w:rPr>
              <w:t xml:space="preserve">ASTM C920</w:t>
            </w:r>
          </w:p>
        </w:tc>
        <w:tc>
          <w:tcPr>
            <w:tcW w:type="dxa" w:w="2520"/>
            <w:tcBorders>
              <w:top w:val="single" w:color="C9D4E4" w:sz="2"/>
              <w:left w:val="single" w:color="C9D4E4" w:sz="2"/>
              <w:bottom w:val="single" w:color="C9D4E4" w:sz="2"/>
              <w:right w:val="single" w:color="C9D4E4" w:sz="2"/>
            </w:tcBorders>
            <w:shd w:fill="D6E4F5" w:color="auto" w:val="clear"/>
            <w:tcMar>
              <w:top w:type="dxa" w:w="140"/>
              <w:left w:type="dxa" w:w="110"/>
              <w:bottom w:type="dxa" w:w="140"/>
              <w:right w:type="dxa" w:w="110"/>
            </w:tcMar>
          </w:tcPr>
          <w:p>
            <w:pPr>
              <w:spacing w:after="50" w:line="240"/>
              <w:jc w:val="center"/>
            </w:pPr>
            <w:r>
              <w:rPr>
                <w:rFonts w:ascii="Calibri" w:cs="Calibri" w:eastAsia="Calibri" w:hAnsi="Calibri"/>
                <w:b/>
                <w:bCs/>
                <w:color w:val="2E5FA3"/>
                <w:spacing w:val="20"/>
                <w:sz w:val="15"/>
                <w:szCs w:val="15"/>
              </w:rPr>
              <w:t xml:space="preserve">COMPATIBILITY</w:t>
            </w:r>
          </w:p>
          <w:p>
            <w:pPr>
              <w:spacing w:after="0" w:line="240"/>
              <w:jc w:val="center"/>
            </w:pPr>
            <w:r>
              <w:rPr>
                <w:rFonts w:ascii="Calibri" w:cs="Calibri" w:eastAsia="Calibri" w:hAnsi="Calibri"/>
                <w:b/>
                <w:bCs/>
                <w:color w:val="1B3A6B"/>
                <w:sz w:val="20"/>
                <w:szCs w:val="20"/>
              </w:rPr>
              <w:t xml:space="preserve">Field-Verified</w:t>
            </w:r>
          </w:p>
        </w:tc>
      </w:tr>
    </w:tbl>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2.  Related Material Standards in the Same Guide</w:t>
      </w:r>
    </w:p>
    <w:p>
      <w:pPr>
        <w:spacing w:after="100" w:before="0" w:line="264"/>
      </w:pPr>
      <w:r>
        <w:rPr>
          <w:rFonts w:ascii="Calibri" w:cs="Calibri" w:eastAsia="Calibri" w:hAnsi="Calibri"/>
          <w:b w:val="false"/>
          <w:bCs w:val="false"/>
          <w:i w:val="false"/>
          <w:iCs w:val="false"/>
          <w:color w:val="22262B"/>
          <w:sz w:val="19"/>
          <w:szCs w:val="19"/>
        </w:rPr>
        <w:t xml:space="preserve">IG-001 sets separate standards for the adjacent materials. These are frequently conflated on submittals — they are distinct requirements and each needs its own product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5300"/>
        <w:gridCol w:w="2080"/>
      </w:tblGrid>
      <w:tr>
        <w:trPr>
          <w:cantSplit/>
          <w:tblHeader/>
        </w:trPr>
        <w:tc>
          <w:tcPr>
            <w:tcW w:type="dxa" w:w="27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Material</w:t>
            </w:r>
          </w:p>
        </w:tc>
        <w:tc>
          <w:tcPr>
            <w:tcW w:type="dxa" w:w="53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Requirement per IG-001 v1.8</w:t>
            </w:r>
          </w:p>
        </w:tc>
        <w:tc>
          <w:tcPr>
            <w:tcW w:type="dxa" w:w="208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Reference</w:t>
            </w:r>
          </w:p>
        </w:tc>
      </w:tr>
      <w:tr>
        <w:trPr>
          <w:cantSplit/>
        </w:trPr>
        <w:tc>
          <w:tcPr>
            <w:tcW w:type="dxa" w:w="2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22262B"/>
                <w:sz w:val="18"/>
                <w:szCs w:val="18"/>
              </w:rPr>
              <w:t xml:space="preserve">Perimeter sealant</w:t>
            </w:r>
          </w:p>
        </w:tc>
        <w:tc>
          <w:tcPr>
            <w:tcW w:type="dxa" w:w="53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100% silicone, neutral cure, ASTM C920 compliant</w:t>
            </w:r>
          </w:p>
        </w:tc>
        <w:tc>
          <w:tcPr>
            <w:tcW w:type="dxa" w:w="20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iCs/>
                <w:color w:val="5A5A5A"/>
                <w:sz w:val="18"/>
                <w:szCs w:val="18"/>
              </w:rPr>
              <w:t xml:space="preserve">p. 2 — Sealing</w:t>
            </w:r>
          </w:p>
        </w:tc>
      </w:tr>
      <w:tr>
        <w:trPr>
          <w:cantSplit/>
        </w:trPr>
        <w:tc>
          <w:tcPr>
            <w:tcW w:type="dxa" w:w="2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22262B"/>
                <w:sz w:val="18"/>
                <w:szCs w:val="18"/>
              </w:rPr>
              <w:t xml:space="preserve">Minimally expanding foam</w:t>
            </w:r>
          </w:p>
        </w:tc>
        <w:tc>
          <w:tcPr>
            <w:tcW w:type="dxa" w:w="53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Compliant with AAMA 812-19</w:t>
            </w:r>
          </w:p>
        </w:tc>
        <w:tc>
          <w:tcPr>
            <w:tcW w:type="dxa" w:w="20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iCs/>
                <w:color w:val="5A5A5A"/>
                <w:sz w:val="18"/>
                <w:szCs w:val="18"/>
              </w:rPr>
              <w:t xml:space="preserve">p. 2 — Sealing</w:t>
            </w:r>
          </w:p>
        </w:tc>
      </w:tr>
      <w:tr>
        <w:trPr>
          <w:cantSplit/>
        </w:trPr>
        <w:tc>
          <w:tcPr>
            <w:tcW w:type="dxa" w:w="2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22262B"/>
                <w:sz w:val="18"/>
                <w:szCs w:val="18"/>
              </w:rPr>
              <w:t xml:space="preserve">Self-adhered flashing tape</w:t>
            </w:r>
          </w:p>
        </w:tc>
        <w:tc>
          <w:tcPr>
            <w:tcW w:type="dxa" w:w="53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Meets ASTM D779 performance requirements</w:t>
            </w:r>
          </w:p>
        </w:tc>
        <w:tc>
          <w:tcPr>
            <w:tcW w:type="dxa" w:w="20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iCs/>
                <w:color w:val="5A5A5A"/>
                <w:sz w:val="18"/>
                <w:szCs w:val="18"/>
              </w:rPr>
              <w:t xml:space="preserve">p. 2 — Sealing</w:t>
            </w:r>
          </w:p>
        </w:tc>
      </w:tr>
      <w:tr>
        <w:trPr>
          <w:cantSplit/>
        </w:trPr>
        <w:tc>
          <w:tcPr>
            <w:tcW w:type="dxa" w:w="2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22262B"/>
                <w:sz w:val="18"/>
                <w:szCs w:val="18"/>
              </w:rPr>
              <w:t xml:space="preserve">Backer rod</w:t>
            </w:r>
          </w:p>
        </w:tc>
        <w:tc>
          <w:tcPr>
            <w:tcW w:type="dxa" w:w="53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Closed-cell foam backer rod (listed required material)</w:t>
            </w:r>
          </w:p>
        </w:tc>
        <w:tc>
          <w:tcPr>
            <w:tcW w:type="dxa" w:w="20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iCs/>
                <w:color w:val="5A5A5A"/>
                <w:sz w:val="18"/>
                <w:szCs w:val="18"/>
              </w:rPr>
              <w:t xml:space="preserve">p. 1 — Materials</w:t>
            </w:r>
          </w:p>
        </w:tc>
      </w:tr>
      <w:tr>
        <w:trPr>
          <w:cantSplit/>
        </w:trPr>
        <w:tc>
          <w:tcPr>
            <w:tcW w:type="dxa" w:w="2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22262B"/>
                <w:sz w:val="18"/>
                <w:szCs w:val="18"/>
              </w:rPr>
              <w:t xml:space="preserve">Surface cleaner</w:t>
            </w:r>
          </w:p>
        </w:tc>
        <w:tc>
          <w:tcPr>
            <w:tcW w:type="dxa" w:w="53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IPA (isopropyl) alcohol (listed required material)</w:t>
            </w:r>
          </w:p>
        </w:tc>
        <w:tc>
          <w:tcPr>
            <w:tcW w:type="dxa" w:w="20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iCs/>
                <w:color w:val="5A5A5A"/>
                <w:sz w:val="18"/>
                <w:szCs w:val="18"/>
              </w:rPr>
              <w:t xml:space="preserve">p. 1 — Materials</w:t>
            </w:r>
          </w:p>
        </w:tc>
      </w:tr>
      <w:tr>
        <w:trPr>
          <w:cantSplit/>
        </w:trPr>
        <w:tc>
          <w:tcPr>
            <w:tcW w:type="dxa" w:w="2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22262B"/>
                <w:sz w:val="18"/>
                <w:szCs w:val="18"/>
              </w:rPr>
              <w:t xml:space="preserve">Fasteners</w:t>
            </w:r>
          </w:p>
        </w:tc>
        <w:tc>
          <w:tcPr>
            <w:tcW w:type="dxa" w:w="53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1½" min. embedment into structural framing; min. 3 full threads, 5/16" head</w:t>
            </w:r>
          </w:p>
        </w:tc>
        <w:tc>
          <w:tcPr>
            <w:tcW w:type="dxa" w:w="20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iCs/>
                <w:color w:val="5A5A5A"/>
                <w:sz w:val="18"/>
                <w:szCs w:val="18"/>
              </w:rPr>
              <w:t xml:space="preserve">p. 1 — Fastening</w:t>
            </w:r>
          </w:p>
        </w:tc>
      </w:tr>
    </w:tbl>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3.  Two Distinct Sealant Duties</w:t>
      </w:r>
    </w:p>
    <w:p>
      <w:pPr>
        <w:spacing w:after="100" w:before="0" w:line="264"/>
      </w:pPr>
      <w:r>
        <w:rPr>
          <w:rFonts w:ascii="Calibri" w:cs="Calibri" w:eastAsia="Calibri" w:hAnsi="Calibri"/>
          <w:b w:val="false"/>
          <w:bCs w:val="false"/>
          <w:i w:val="false"/>
          <w:iCs w:val="false"/>
          <w:color w:val="22262B"/>
          <w:sz w:val="19"/>
          <w:szCs w:val="19"/>
        </w:rPr>
        <w:t xml:space="preserve">IG-001 calls for sealant in ten separate operations, and those operations do not all bond to the same substrates. Splitting them correctly is what determines whether one product or two is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900"/>
        <w:gridCol w:w="2880"/>
      </w:tblGrid>
      <w:tr>
        <w:trPr>
          <w:cantSplit/>
          <w:tblHeader/>
        </w:trPr>
        <w:tc>
          <w:tcPr>
            <w:tcW w:type="dxa" w:w="15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Duty</w:t>
            </w:r>
          </w:p>
        </w:tc>
        <w:tc>
          <w:tcPr>
            <w:tcW w:type="dxa" w:w="28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Where it occurs (IG-001 step)</w:t>
            </w:r>
          </w:p>
        </w:tc>
        <w:tc>
          <w:tcPr>
            <w:tcW w:type="dxa" w:w="29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Must bond to</w:t>
            </w:r>
          </w:p>
        </w:tc>
        <w:tc>
          <w:tcPr>
            <w:tcW w:type="dxa" w:w="288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Controlling property</w:t>
            </w:r>
          </w:p>
        </w:tc>
      </w:tr>
      <w:tr>
        <w:trPr>
          <w:cantSplit/>
        </w:trPr>
        <w:tc>
          <w:tcPr>
            <w:tcW w:type="dxa" w:w="1500"/>
            <w:tcBorders>
              <w:top w:val="single" w:color="C9D4E4" w:sz="2"/>
              <w:left w:val="single" w:color="C9D4E4" w:sz="2"/>
              <w:bottom w:val="single" w:color="C9D4E4" w:sz="2"/>
              <w:right w:val="single" w:color="C9D4E4" w:sz="2"/>
            </w:tcBorders>
            <w:shd w:fill="FEF3E2" w:color="auto" w:val="clear"/>
            <w:tcMar>
              <w:top w:type="dxa" w:w="70"/>
              <w:left w:type="dxa" w:w="105"/>
              <w:bottom w:type="dxa" w:w="70"/>
              <w:right w:type="dxa" w:w="105"/>
            </w:tcMar>
            <w:vAlign w:val="center"/>
          </w:tcPr>
          <w:p>
            <w:pPr>
              <w:spacing w:after="0" w:line="240"/>
              <w:jc w:val="center"/>
            </w:pPr>
            <w:r>
              <w:rPr>
                <w:rFonts w:ascii="Calibri" w:cs="Calibri" w:eastAsia="Calibri" w:hAnsi="Calibri"/>
                <w:b/>
                <w:bCs/>
                <w:color w:val="B7600A"/>
                <w:sz w:val="19"/>
                <w:szCs w:val="19"/>
              </w:rPr>
              <w:t xml:space="preserve">DUTY A</w:t>
            </w:r>
          </w:p>
          <w:p>
            <w:pPr>
              <w:spacing w:after="0" w:line="240"/>
              <w:jc w:val="center"/>
            </w:pPr>
            <w:r>
              <w:rPr>
                <w:rFonts w:ascii="Calibri" w:cs="Calibri" w:eastAsia="Calibri" w:hAnsi="Calibri"/>
                <w:b/>
                <w:bCs/>
                <w:color w:val="B7600A"/>
                <w:sz w:val="17"/>
                <w:szCs w:val="17"/>
              </w:rPr>
              <w:t xml:space="preserve">Concealed</w:t>
            </w:r>
          </w:p>
        </w:tc>
        <w:tc>
          <w:tcPr>
            <w:tcW w:type="dxa" w:w="28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Step 11 bead behind the nail fin at jambs &amp; head; Step 27 mulled-unit fin gaps; Steps 28–29 flashing tape corners and tape-to-frame bead</w:t>
            </w:r>
          </w:p>
        </w:tc>
        <w:tc>
          <w:tcPr>
            <w:tcW w:type="dxa" w:w="29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Housewrap / WRB, sheathing, self-adhered flashing tape, nail fin</w:t>
            </w:r>
          </w:p>
        </w:tc>
        <w:tc>
          <w:tcPr>
            <w:tcW w:type="dxa" w:w="28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Adhesion to low-surface-energy WRB. Low movement. Color irrelevant — fully concealed.</w:t>
            </w:r>
          </w:p>
        </w:tc>
      </w:tr>
      <w:tr>
        <w:trPr>
          <w:cantSplit/>
        </w:trPr>
        <w:tc>
          <w:tcPr>
            <w:tcW w:type="dxa" w:w="1500"/>
            <w:tcBorders>
              <w:top w:val="single" w:color="C9D4E4" w:sz="2"/>
              <w:left w:val="single" w:color="C9D4E4" w:sz="2"/>
              <w:bottom w:val="single" w:color="C9D4E4" w:sz="2"/>
              <w:right w:val="single" w:color="C9D4E4" w:sz="2"/>
            </w:tcBorders>
            <w:shd w:fill="E8F5EE" w:color="auto" w:val="clear"/>
            <w:tcMar>
              <w:top w:type="dxa" w:w="70"/>
              <w:left w:type="dxa" w:w="105"/>
              <w:bottom w:type="dxa" w:w="70"/>
              <w:right w:type="dxa" w:w="105"/>
            </w:tcMar>
            <w:vAlign w:val="center"/>
          </w:tcPr>
          <w:p>
            <w:pPr>
              <w:spacing w:after="0" w:line="240"/>
              <w:jc w:val="center"/>
            </w:pPr>
            <w:r>
              <w:rPr>
                <w:rFonts w:ascii="Calibri" w:cs="Calibri" w:eastAsia="Calibri" w:hAnsi="Calibri"/>
                <w:b/>
                <w:bCs/>
                <w:color w:val="1A7A4A"/>
                <w:sz w:val="19"/>
                <w:szCs w:val="19"/>
              </w:rPr>
              <w:t xml:space="preserve">DUTY B</w:t>
            </w:r>
          </w:p>
          <w:p>
            <w:pPr>
              <w:spacing w:after="0" w:line="240"/>
              <w:jc w:val="center"/>
            </w:pPr>
            <w:r>
              <w:rPr>
                <w:rFonts w:ascii="Calibri" w:cs="Calibri" w:eastAsia="Calibri" w:hAnsi="Calibri"/>
                <w:b/>
                <w:bCs/>
                <w:color w:val="1A7A4A"/>
                <w:sz w:val="17"/>
                <w:szCs w:val="17"/>
              </w:rPr>
              <w:t xml:space="preserve">Exposed</w:t>
            </w:r>
          </w:p>
        </w:tc>
        <w:tc>
          <w:tcPr>
            <w:tcW w:type="dxa" w:w="28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Steps 20, 21, 24, 25 head &amp; sill flashing cap beads and end seals; Step 32 interior bead; frame-to-finish perimeter joint (by others)</w:t>
            </w:r>
          </w:p>
        </w:tc>
        <w:tc>
          <w:tcPr>
            <w:tcW w:type="dxa" w:w="29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Aluminum window frame, head/sill flashing, stucco / EIFS / masonry finish</w:t>
            </w:r>
          </w:p>
        </w:tc>
        <w:tc>
          <w:tcPr>
            <w:tcW w:type="dxa" w:w="28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Color match, UV durability, non-staining on porous finishes, higher ASTM C920 movement class.</w:t>
            </w:r>
          </w:p>
        </w:tc>
      </w:tr>
    </w:tbl>
    <w:p>
      <w:pPr>
        <w:spacing w:after="90"/>
      </w:pPr>
      <w:r>
        <w:rPr>
          <w:rFonts w:ascii="Calibri" w:cs="Calibri" w:eastAsia="Calibri" w:hAnsi="Calibri"/>
          <w:b w:val="false"/>
          <w:bCs w:val="false"/>
          <w:i w:val="false"/>
          <w:iCs w:val="false"/>
          <w:color w:val="22262B"/>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7600A" w:sz="18"/>
              <w:bottom w:val="none" w:color="FFFFFF" w:sz="0"/>
              <w:right w:val="none" w:color="FFFFFF" w:sz="0"/>
            </w:tcBorders>
            <w:shd w:fill="FEF3E2" w:color="auto" w:val="clear"/>
            <w:tcMar>
              <w:top w:type="dxa" w:w="130"/>
              <w:left w:type="dxa" w:w="170"/>
              <w:bottom w:type="dxa" w:w="130"/>
              <w:right w:type="dxa" w:w="170"/>
            </w:tcMar>
          </w:tcPr>
          <w:p>
            <w:pPr>
              <w:spacing w:after="60" w:line="250"/>
            </w:pPr>
            <w:r>
              <w:rPr>
                <w:rFonts w:ascii="Calibri" w:cs="Calibri" w:eastAsia="Calibri" w:hAnsi="Calibri"/>
                <w:b/>
                <w:bCs/>
                <w:color w:val="B7600A"/>
                <w:sz w:val="19"/>
                <w:szCs w:val="19"/>
              </w:rPr>
              <w:t xml:space="preserve">Why this matters</w:t>
            </w:r>
          </w:p>
          <w:p>
            <w:pPr>
              <w:spacing w:after="0" w:line="250"/>
            </w:pPr>
            <w:r>
              <w:rPr>
                <w:rFonts w:ascii="Calibri" w:cs="Calibri" w:eastAsia="Calibri" w:hAnsi="Calibri"/>
                <w:b w:val="false"/>
                <w:bCs w:val="false"/>
                <w:i w:val="false"/>
                <w:iCs w:val="false"/>
                <w:color w:val="22262B"/>
                <w:sz w:val="18"/>
                <w:szCs w:val="18"/>
              </w:rPr>
              <w:t xml:space="preserve">Most architectural weatherproofing silicones will not bond to spun-bonded polyolefin housewrap. A single Class 50 weatherseal selected only for the exposed joints will very likely fail the Step 11 bead behind the nail fin — the joint that keeps bulk water out of the wall. This is the most common failure point on nail fin installations.</w:t>
            </w:r>
          </w:p>
        </w:tc>
      </w:tr>
    </w:tbl>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4.  Sealant Application Locations by Install Step</w:t>
      </w:r>
    </w:p>
    <w:p>
      <w:pPr>
        <w:spacing w:after="100" w:before="0" w:line="264"/>
      </w:pPr>
      <w:r>
        <w:rPr>
          <w:rFonts w:ascii="Calibri" w:cs="Calibri" w:eastAsia="Calibri" w:hAnsi="Calibri"/>
          <w:b w:val="false"/>
          <w:bCs w:val="false"/>
          <w:i w:val="false"/>
          <w:iCs w:val="false"/>
          <w:color w:val="22262B"/>
          <w:sz w:val="19"/>
          <w:szCs w:val="19"/>
        </w:rPr>
        <w:t xml:space="preserve">Per IG-001 v1.8, Steps 11 through 32. Use this list for quantity takeoff and for field QC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550"/>
        <w:gridCol w:w="4030"/>
        <w:gridCol w:w="1700"/>
      </w:tblGrid>
      <w:tr>
        <w:trPr>
          <w:cantSplit/>
          <w:tblHeader/>
        </w:trPr>
        <w:tc>
          <w:tcPr>
            <w:tcW w:type="dxa" w:w="8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Step</w:t>
            </w:r>
          </w:p>
        </w:tc>
        <w:tc>
          <w:tcPr>
            <w:tcW w:type="dxa" w:w="355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Location</w:t>
            </w:r>
          </w:p>
        </w:tc>
        <w:tc>
          <w:tcPr>
            <w:tcW w:type="dxa" w:w="403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Bead / requirement</w:t>
            </w:r>
          </w:p>
        </w:tc>
        <w:tc>
          <w:tcPr>
            <w:tcW w:type="dxa" w:w="17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8"/>
                <w:szCs w:val="18"/>
              </w:rPr>
              <w:t xml:space="preserve">Duty</w:t>
            </w:r>
          </w:p>
        </w:tc>
      </w:tr>
      <w:tr>
        <w:trPr>
          <w:cantSplit/>
        </w:trPr>
        <w:tc>
          <w:tcPr>
            <w:tcW w:type="dxa" w:w="8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11</w:t>
            </w:r>
          </w:p>
        </w:tc>
        <w:tc>
          <w:tcPr>
            <w:tcW w:type="dxa" w:w="355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Jambs &amp; head of rough opening, behind the nail fin</w:t>
            </w:r>
          </w:p>
        </w:tc>
        <w:tc>
          <w:tcPr>
            <w:tcW w:type="dxa" w:w="403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Continuous 3/8" bead, no more than 1/2" from edge of opening; must line up with nail hole slots</w:t>
            </w:r>
          </w:p>
        </w:tc>
        <w:tc>
          <w:tcPr>
            <w:tcW w:type="dxa" w:w="1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A — Concealed</w:t>
            </w:r>
          </w:p>
        </w:tc>
      </w:tr>
      <w:tr>
        <w:trPr>
          <w:cantSplit/>
        </w:trPr>
        <w:tc>
          <w:tcPr>
            <w:tcW w:type="dxa" w:w="8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11</w:t>
            </w:r>
          </w:p>
        </w:tc>
        <w:tc>
          <w:tcPr>
            <w:tcW w:type="dxa" w:w="355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Sill of rough opening</w:t>
            </w:r>
          </w:p>
        </w:tc>
        <w:tc>
          <w:tcPr>
            <w:tcW w:type="dxa" w:w="403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NO sealant, or a non-continuous bead — required to allow drainage</w:t>
            </w:r>
          </w:p>
        </w:tc>
        <w:tc>
          <w:tcPr>
            <w:tcW w:type="dxa" w:w="1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C8392B"/>
                <w:sz w:val="17"/>
                <w:szCs w:val="17"/>
              </w:rPr>
              <w:t xml:space="preserve">— (none)</w:t>
            </w:r>
          </w:p>
        </w:tc>
      </w:tr>
      <w:tr>
        <w:trPr>
          <w:cantSplit/>
        </w:trPr>
        <w:tc>
          <w:tcPr>
            <w:tcW w:type="dxa" w:w="8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20</w:t>
            </w:r>
          </w:p>
        </w:tc>
        <w:tc>
          <w:tcPr>
            <w:tcW w:type="dxa" w:w="355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Bottom of head flashing to top of window</w:t>
            </w:r>
          </w:p>
        </w:tc>
        <w:tc>
          <w:tcPr>
            <w:tcW w:type="dxa" w:w="403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Caulk the seam</w:t>
            </w:r>
          </w:p>
        </w:tc>
        <w:tc>
          <w:tcPr>
            <w:tcW w:type="dxa" w:w="1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B — Exposed</w:t>
            </w:r>
          </w:p>
        </w:tc>
      </w:tr>
      <w:tr>
        <w:trPr>
          <w:cantSplit/>
        </w:trPr>
        <w:tc>
          <w:tcPr>
            <w:tcW w:type="dxa" w:w="8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21</w:t>
            </w:r>
          </w:p>
        </w:tc>
        <w:tc>
          <w:tcPr>
            <w:tcW w:type="dxa" w:w="355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Both ends of head flashing at window</w:t>
            </w:r>
          </w:p>
        </w:tc>
        <w:tc>
          <w:tcPr>
            <w:tcW w:type="dxa" w:w="403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Backer rod + sealant</w:t>
            </w:r>
          </w:p>
        </w:tc>
        <w:tc>
          <w:tcPr>
            <w:tcW w:type="dxa" w:w="1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B — Exposed</w:t>
            </w:r>
          </w:p>
        </w:tc>
      </w:tr>
      <w:tr>
        <w:trPr>
          <w:cantSplit/>
        </w:trPr>
        <w:tc>
          <w:tcPr>
            <w:tcW w:type="dxa" w:w="8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24</w:t>
            </w:r>
          </w:p>
        </w:tc>
        <w:tc>
          <w:tcPr>
            <w:tcW w:type="dxa" w:w="355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Both ends of sill flashing at window</w:t>
            </w:r>
          </w:p>
        </w:tc>
        <w:tc>
          <w:tcPr>
            <w:tcW w:type="dxa" w:w="403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Backer rod + sealant</w:t>
            </w:r>
          </w:p>
        </w:tc>
        <w:tc>
          <w:tcPr>
            <w:tcW w:type="dxa" w:w="1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B — Exposed</w:t>
            </w:r>
          </w:p>
        </w:tc>
      </w:tr>
      <w:tr>
        <w:trPr>
          <w:cantSplit/>
        </w:trPr>
        <w:tc>
          <w:tcPr>
            <w:tcW w:type="dxa" w:w="8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25</w:t>
            </w:r>
          </w:p>
        </w:tc>
        <w:tc>
          <w:tcPr>
            <w:tcW w:type="dxa" w:w="355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Sill flashing to window</w:t>
            </w:r>
          </w:p>
        </w:tc>
        <w:tc>
          <w:tcPr>
            <w:tcW w:type="dxa" w:w="403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Continuous cap bead</w:t>
            </w:r>
          </w:p>
        </w:tc>
        <w:tc>
          <w:tcPr>
            <w:tcW w:type="dxa" w:w="1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B — Exposed</w:t>
            </w:r>
          </w:p>
        </w:tc>
      </w:tr>
      <w:tr>
        <w:trPr>
          <w:cantSplit/>
        </w:trPr>
        <w:tc>
          <w:tcPr>
            <w:tcW w:type="dxa" w:w="8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27</w:t>
            </w:r>
          </w:p>
        </w:tc>
        <w:tc>
          <w:tcPr>
            <w:tcW w:type="dxa" w:w="355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Mulled units — gaps between nail fins / at window joints</w:t>
            </w:r>
          </w:p>
        </w:tc>
        <w:tc>
          <w:tcPr>
            <w:tcW w:type="dxa" w:w="403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Seal remaining gaps and tool in smooth, both sides</w:t>
            </w:r>
          </w:p>
        </w:tc>
        <w:tc>
          <w:tcPr>
            <w:tcW w:type="dxa" w:w="1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A — Concealed</w:t>
            </w:r>
          </w:p>
        </w:tc>
      </w:tr>
      <w:tr>
        <w:trPr>
          <w:cantSplit/>
        </w:trPr>
        <w:tc>
          <w:tcPr>
            <w:tcW w:type="dxa" w:w="8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28</w:t>
            </w:r>
          </w:p>
        </w:tc>
        <w:tc>
          <w:tcPr>
            <w:tcW w:type="dxa" w:w="355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Top corners of head flashing tape</w:t>
            </w:r>
          </w:p>
        </w:tc>
        <w:tc>
          <w:tcPr>
            <w:tcW w:type="dxa" w:w="403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Sealant at corners</w:t>
            </w:r>
          </w:p>
        </w:tc>
        <w:tc>
          <w:tcPr>
            <w:tcW w:type="dxa" w:w="1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A — Concealed</w:t>
            </w:r>
          </w:p>
        </w:tc>
      </w:tr>
      <w:tr>
        <w:trPr>
          <w:cantSplit/>
        </w:trPr>
        <w:tc>
          <w:tcPr>
            <w:tcW w:type="dxa" w:w="8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29</w:t>
            </w:r>
          </w:p>
        </w:tc>
        <w:tc>
          <w:tcPr>
            <w:tcW w:type="dxa" w:w="355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Mulled units — flashing tape to main frame</w:t>
            </w:r>
          </w:p>
        </w:tc>
        <w:tc>
          <w:tcPr>
            <w:tcW w:type="dxa" w:w="403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Continuous bead, tooled smooth; verify no gaps remain</w:t>
            </w:r>
          </w:p>
        </w:tc>
        <w:tc>
          <w:tcPr>
            <w:tcW w:type="dxa" w:w="1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A — Concealed</w:t>
            </w:r>
          </w:p>
        </w:tc>
      </w:tr>
      <w:tr>
        <w:trPr>
          <w:cantSplit/>
        </w:trPr>
        <w:tc>
          <w:tcPr>
            <w:tcW w:type="dxa" w:w="8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B3A6B"/>
                <w:sz w:val="18"/>
                <w:szCs w:val="18"/>
              </w:rPr>
              <w:t xml:space="preserve">32</w:t>
            </w:r>
          </w:p>
        </w:tc>
        <w:tc>
          <w:tcPr>
            <w:tcW w:type="dxa" w:w="355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Interior — entire bottom and up 6" both jambs</w:t>
            </w:r>
          </w:p>
        </w:tc>
        <w:tc>
          <w:tcPr>
            <w:tcW w:type="dxa" w:w="403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8"/>
                <w:szCs w:val="18"/>
              </w:rPr>
              <w:t xml:space="preserve">Continuous cap bead</w:t>
            </w:r>
          </w:p>
        </w:tc>
        <w:tc>
          <w:tcPr>
            <w:tcW w:type="dxa" w:w="1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5A5A5A"/>
                <w:sz w:val="17"/>
                <w:szCs w:val="17"/>
              </w:rPr>
              <w:t xml:space="preserve">B — Interior</w:t>
            </w:r>
          </w:p>
        </w:tc>
      </w:tr>
    </w:tbl>
    <w:p>
      <w:pPr>
        <w:spacing w:after="90"/>
      </w:pPr>
      <w:r>
        <w:rPr>
          <w:rFonts w:ascii="Calibri" w:cs="Calibri" w:eastAsia="Calibri" w:hAnsi="Calibri"/>
          <w:b w:val="false"/>
          <w:bCs w:val="false"/>
          <w:i w:val="false"/>
          <w:iCs w:val="false"/>
          <w:color w:val="22262B"/>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C8392B" w:sz="18"/>
              <w:bottom w:val="none" w:color="FFFFFF" w:sz="0"/>
              <w:right w:val="none" w:color="FFFFFF" w:sz="0"/>
            </w:tcBorders>
            <w:shd w:fill="FBEAE8" w:color="auto" w:val="clear"/>
            <w:tcMar>
              <w:top w:type="dxa" w:w="130"/>
              <w:left w:type="dxa" w:w="170"/>
              <w:bottom w:type="dxa" w:w="130"/>
              <w:right w:type="dxa" w:w="170"/>
            </w:tcMar>
          </w:tcPr>
          <w:p>
            <w:pPr>
              <w:spacing w:after="60" w:line="250"/>
            </w:pPr>
            <w:r>
              <w:rPr>
                <w:rFonts w:ascii="Calibri" w:cs="Calibri" w:eastAsia="Calibri" w:hAnsi="Calibri"/>
                <w:b/>
                <w:bCs/>
                <w:color w:val="C8392B"/>
                <w:sz w:val="19"/>
                <w:szCs w:val="19"/>
              </w:rPr>
              <w:t xml:space="preserve">Critical — do not seal the sill</w:t>
            </w:r>
          </w:p>
          <w:p>
            <w:pPr>
              <w:spacing w:after="0" w:line="250"/>
            </w:pPr>
            <w:r>
              <w:rPr>
                <w:rFonts w:ascii="Calibri" w:cs="Calibri" w:eastAsia="Calibri" w:hAnsi="Calibri"/>
                <w:b w:val="false"/>
                <w:bCs w:val="false"/>
                <w:i w:val="false"/>
                <w:iCs w:val="false"/>
                <w:color w:val="22262B"/>
                <w:sz w:val="18"/>
                <w:szCs w:val="18"/>
              </w:rPr>
              <w:t xml:space="preserve">Step 11 requires NO sealant at the bottom of the opening, or a non-continuous bead, to allow drainage. A continuous bead at the sill traps water in the opening and defeats the drainable WRB assembly. Confirm this in the field before the units are set.</w:t>
            </w:r>
          </w:p>
        </w:tc>
      </w:tr>
    </w:tbl>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5.  Qualified Products</w:t>
      </w:r>
    </w:p>
    <w:p>
      <w:pPr>
        <w:spacing w:after="100" w:before="0" w:line="264"/>
      </w:pPr>
      <w:r>
        <w:rPr>
          <w:rFonts w:ascii="Calibri" w:cs="Calibri" w:eastAsia="Calibri" w:hAnsi="Calibri"/>
          <w:b w:val="false"/>
          <w:bCs w:val="false"/>
          <w:i w:val="false"/>
          <w:iCs w:val="false"/>
          <w:color w:val="22262B"/>
          <w:sz w:val="19"/>
          <w:szCs w:val="19"/>
        </w:rPr>
        <w:t xml:space="preserve">All products listed are 100% silicone, neutral cure, and ASTM C920 compliant, and therefore satisfy the IG-001 v1.8 requirement on their face. Classifications below are taken from each manufacturer's current published technical data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300"/>
        <w:gridCol w:w="780"/>
        <w:gridCol w:w="2900"/>
      </w:tblGrid>
      <w:tr>
        <w:trPr>
          <w:cantSplit/>
          <w:tblHeader/>
        </w:trPr>
        <w:tc>
          <w:tcPr>
            <w:tcW w:type="dxa" w:w="24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7"/>
                <w:szCs w:val="17"/>
              </w:rPr>
              <w:t xml:space="preserve">Product</w:t>
            </w:r>
          </w:p>
        </w:tc>
        <w:tc>
          <w:tcPr>
            <w:tcW w:type="dxa" w:w="27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7"/>
                <w:szCs w:val="17"/>
              </w:rPr>
              <w:t xml:space="preserve">ASTM C920 classification</w:t>
            </w:r>
          </w:p>
        </w:tc>
        <w:tc>
          <w:tcPr>
            <w:tcW w:type="dxa" w:w="13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7"/>
                <w:szCs w:val="17"/>
              </w:rPr>
              <w:t xml:space="preserve">Movement</w:t>
            </w:r>
          </w:p>
        </w:tc>
        <w:tc>
          <w:tcPr>
            <w:tcW w:type="dxa" w:w="78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7"/>
                <w:szCs w:val="17"/>
              </w:rPr>
              <w:t xml:space="preserve">Duty</w:t>
            </w:r>
          </w:p>
        </w:tc>
        <w:tc>
          <w:tcPr>
            <w:tcW w:type="dxa" w:w="2900"/>
            <w:tcBorders>
              <w:top w:val="single" w:color="C9D4E4" w:sz="2"/>
              <w:left w:val="single" w:color="C9D4E4" w:sz="2"/>
              <w:bottom w:val="single" w:color="C9D4E4" w:sz="2"/>
              <w:right w:val="single" w:color="C9D4E4" w:sz="2"/>
            </w:tcBorders>
            <w:shd w:fill="1B3A6B" w:color="auto" w:val="clear"/>
            <w:tcMar>
              <w:top w:type="dxa" w:w="70"/>
              <w:left w:type="dxa" w:w="105"/>
              <w:bottom w:type="dxa" w:w="70"/>
              <w:right w:type="dxa" w:w="105"/>
            </w:tcMar>
            <w:vAlign w:val="center"/>
          </w:tcPr>
          <w:p>
            <w:pPr>
              <w:spacing w:after="0" w:line="250"/>
            </w:pPr>
            <w:r>
              <w:rPr>
                <w:rFonts w:ascii="Calibri" w:cs="Calibri" w:eastAsia="Calibri" w:hAnsi="Calibri"/>
                <w:b/>
                <w:bCs/>
                <w:i w:val="false"/>
                <w:iCs w:val="false"/>
                <w:color w:val="FFFFFF"/>
                <w:sz w:val="17"/>
                <w:szCs w:val="17"/>
              </w:rPr>
              <w:t xml:space="preserve">Notes</w:t>
            </w:r>
          </w:p>
        </w:tc>
      </w:tr>
      <w:tr>
        <w:trPr>
          <w:cantSplit/>
        </w:trPr>
        <w:tc>
          <w:tcPr>
            <w:tcW w:type="dxa" w:w="24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DOWSIL 758</w:t>
            </w:r>
          </w:p>
          <w:p>
            <w:pPr>
              <w:spacing w:after="0" w:line="240"/>
            </w:pPr>
            <w:r>
              <w:rPr>
                <w:rFonts w:ascii="Calibri" w:cs="Calibri" w:eastAsia="Calibri" w:hAnsi="Calibri"/>
                <w:b w:val="false"/>
                <w:bCs w:val="false"/>
                <w:color w:val="5A5A5A"/>
                <w:sz w:val="17"/>
                <w:szCs w:val="17"/>
              </w:rPr>
              <w:t xml:space="preserve">Silicone Weather Barrier</w:t>
            </w:r>
          </w:p>
        </w:tc>
        <w:tc>
          <w:tcPr>
            <w:tcW w:type="dxa" w:w="2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Type S, Grade NS, Class 25</w:t>
            </w:r>
          </w:p>
        </w:tc>
        <w:tc>
          <w:tcPr>
            <w:tcW w:type="dxa" w:w="13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±25%</w:t>
            </w:r>
          </w:p>
        </w:tc>
        <w:tc>
          <w:tcPr>
            <w:tcW w:type="dxa" w:w="7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B7600A"/>
                <w:sz w:val="18"/>
                <w:szCs w:val="18"/>
              </w:rPr>
              <w:t xml:space="preserve">A</w:t>
            </w:r>
          </w:p>
        </w:tc>
        <w:tc>
          <w:tcPr>
            <w:tcW w:type="dxa" w:w="29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Purpose-built for this duty. Primerless adhesion to polyethylene-film WRBs, spun-bonded polyolefin and woven air barriers, peel-and-stick WRBs, anodized aluminum, vinyl, PVC, powder coat and Kynar. Peel strength &gt;40 pli unprimed to anodized and powder-coated aluminum.</w:t>
            </w:r>
          </w:p>
        </w:tc>
      </w:tr>
      <w:tr>
        <w:trPr>
          <w:cantSplit/>
        </w:trPr>
        <w:tc>
          <w:tcPr>
            <w:tcW w:type="dxa" w:w="24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DOWSIL 791</w:t>
            </w:r>
          </w:p>
          <w:p>
            <w:pPr>
              <w:spacing w:after="0" w:line="240"/>
            </w:pPr>
            <w:r>
              <w:rPr>
                <w:rFonts w:ascii="Calibri" w:cs="Calibri" w:eastAsia="Calibri" w:hAnsi="Calibri"/>
                <w:b w:val="false"/>
                <w:bCs w:val="false"/>
                <w:color w:val="5A5A5A"/>
                <w:sz w:val="17"/>
                <w:szCs w:val="17"/>
              </w:rPr>
              <w:t xml:space="preserve">Silicone Weatherproofing</w:t>
            </w:r>
          </w:p>
        </w:tc>
        <w:tc>
          <w:tcPr>
            <w:tcW w:type="dxa" w:w="2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Type S, Grade NS, Class 50, Use NT, M, G, A</w:t>
            </w:r>
          </w:p>
        </w:tc>
        <w:tc>
          <w:tcPr>
            <w:tcW w:type="dxa" w:w="13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±50%</w:t>
            </w:r>
          </w:p>
        </w:tc>
        <w:tc>
          <w:tcPr>
            <w:tcW w:type="dxa" w:w="7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Medium modulus. 7 stock colors plus custom match to virtually any substrate.</w:t>
            </w:r>
          </w:p>
        </w:tc>
      </w:tr>
      <w:tr>
        <w:trPr>
          <w:cantSplit/>
        </w:trPr>
        <w:tc>
          <w:tcPr>
            <w:tcW w:type="dxa" w:w="24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DOWSIL 795</w:t>
            </w:r>
          </w:p>
          <w:p>
            <w:pPr>
              <w:spacing w:after="0" w:line="240"/>
            </w:pPr>
            <w:r>
              <w:rPr>
                <w:rFonts w:ascii="Calibri" w:cs="Calibri" w:eastAsia="Calibri" w:hAnsi="Calibri"/>
                <w:b w:val="false"/>
                <w:bCs w:val="false"/>
                <w:color w:val="5A5A5A"/>
                <w:sz w:val="17"/>
                <w:szCs w:val="17"/>
              </w:rPr>
              <w:t xml:space="preserve">Silicone Building Sealant</w:t>
            </w:r>
          </w:p>
        </w:tc>
        <w:tc>
          <w:tcPr>
            <w:tcW w:type="dxa" w:w="2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Type S, Grade NS, Class 50</w:t>
            </w:r>
          </w:p>
        </w:tc>
        <w:tc>
          <w:tcPr>
            <w:tcW w:type="dxa" w:w="13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±50%</w:t>
            </w:r>
          </w:p>
        </w:tc>
        <w:tc>
          <w:tcPr>
            <w:tcW w:type="dxa" w:w="7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Commercial workhorse; weatherseal and structural. Very broad distribution.</w:t>
            </w:r>
          </w:p>
        </w:tc>
      </w:tr>
      <w:tr>
        <w:trPr>
          <w:cantSplit/>
        </w:trPr>
        <w:tc>
          <w:tcPr>
            <w:tcW w:type="dxa" w:w="24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Sikasil WS-295</w:t>
            </w:r>
          </w:p>
        </w:tc>
        <w:tc>
          <w:tcPr>
            <w:tcW w:type="dxa" w:w="2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Type S, Grade NS, Class 50, Use NT, M, G, A, O</w:t>
            </w:r>
          </w:p>
        </w:tc>
        <w:tc>
          <w:tcPr>
            <w:tcW w:type="dxa" w:w="13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±50%</w:t>
            </w:r>
          </w:p>
        </w:tc>
        <w:tc>
          <w:tcPr>
            <w:tcW w:type="dxa" w:w="7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Data sheet expressly lists “perimeter weathersealing of doors, windows.” Non-staining; full Use designation list.</w:t>
            </w:r>
          </w:p>
        </w:tc>
      </w:tr>
      <w:tr>
        <w:trPr>
          <w:cantSplit/>
        </w:trPr>
        <w:tc>
          <w:tcPr>
            <w:tcW w:type="dxa" w:w="24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Tremco Spectrem 2</w:t>
            </w:r>
          </w:p>
        </w:tc>
        <w:tc>
          <w:tcPr>
            <w:tcW w:type="dxa" w:w="2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Type S, Grade NS, Class 50, Use NT, M, G, A, O</w:t>
            </w:r>
          </w:p>
        </w:tc>
        <w:tc>
          <w:tcPr>
            <w:tcW w:type="dxa" w:w="13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±50%</w:t>
            </w:r>
          </w:p>
        </w:tc>
        <w:tc>
          <w:tcPr>
            <w:tcW w:type="dxa" w:w="7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Expressly listed for perimeter caulking and weatherproofing. Adheres to glass, aluminum, painted metal, stone, concrete, brick, plastics.</w:t>
            </w:r>
          </w:p>
        </w:tc>
      </w:tr>
      <w:tr>
        <w:trPr>
          <w:cantSplit/>
        </w:trPr>
        <w:tc>
          <w:tcPr>
            <w:tcW w:type="dxa" w:w="24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Tremco Spectrem 1</w:t>
            </w:r>
          </w:p>
        </w:tc>
        <w:tc>
          <w:tcPr>
            <w:tcW w:type="dxa" w:w="2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Type S, Grade NS, Class 100/50, Use NT, M, G, A, O</w:t>
            </w:r>
          </w:p>
        </w:tc>
        <w:tc>
          <w:tcPr>
            <w:tcW w:type="dxa" w:w="13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+100 / −50%</w:t>
            </w:r>
          </w:p>
        </w:tc>
        <w:tc>
          <w:tcPr>
            <w:tcW w:type="dxa" w:w="7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Ultra-low modulus. Lists window perimeters and air barrier transitions. Meets EIMA 300.01 (EIFS); GREENGUARD Gold certified.</w:t>
            </w:r>
          </w:p>
        </w:tc>
      </w:tr>
      <w:tr>
        <w:trPr>
          <w:cantSplit/>
        </w:trPr>
        <w:tc>
          <w:tcPr>
            <w:tcW w:type="dxa" w:w="24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GE / Momentive SilPruf SCS2000</w:t>
            </w:r>
          </w:p>
        </w:tc>
        <w:tc>
          <w:tcPr>
            <w:tcW w:type="dxa" w:w="2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Type S, Grade NS, Class 25, Use NT, G, A, O</w:t>
            </w:r>
          </w:p>
        </w:tc>
        <w:tc>
          <w:tcPr>
            <w:tcW w:type="dxa" w:w="13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w:t>
            </w:r>
          </w:p>
        </w:tc>
        <w:tc>
          <w:tcPr>
            <w:tcW w:type="dxa" w:w="7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Medium modulus, widely stocked; primerless adhesion to most substrates including coated and anodized aluminum.</w:t>
            </w:r>
          </w:p>
        </w:tc>
      </w:tr>
      <w:tr>
        <w:trPr>
          <w:cantSplit/>
        </w:trPr>
        <w:tc>
          <w:tcPr>
            <w:tcW w:type="dxa" w:w="24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GE / Momentive SilPruf NB SCS9000</w:t>
            </w:r>
          </w:p>
        </w:tc>
        <w:tc>
          <w:tcPr>
            <w:tcW w:type="dxa" w:w="2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Type S, Grade NS, Class 50, Use A, G, M, O</w:t>
            </w:r>
          </w:p>
        </w:tc>
        <w:tc>
          <w:tcPr>
            <w:tcW w:type="dxa" w:w="13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±50%</w:t>
            </w:r>
          </w:p>
        </w:tc>
        <w:tc>
          <w:tcPr>
            <w:tcW w:type="dxa" w:w="7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Non-bleed, non-staining; formulated to reduce dirt pickup and surface streaking. Use where the finish is porous or stain-sensitive.</w:t>
            </w:r>
          </w:p>
        </w:tc>
      </w:tr>
      <w:tr>
        <w:trPr>
          <w:cantSplit/>
        </w:trPr>
        <w:tc>
          <w:tcPr>
            <w:tcW w:type="dxa" w:w="24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Pecora 895NST</w:t>
            </w:r>
          </w:p>
        </w:tc>
        <w:tc>
          <w:tcPr>
            <w:tcW w:type="dxa" w:w="27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Class 50, Type S, Grade NS, Use G, A, M, O</w:t>
            </w:r>
          </w:p>
        </w:tc>
        <w:tc>
          <w:tcPr>
            <w:tcW w:type="dxa" w:w="13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±50%</w:t>
            </w:r>
          </w:p>
        </w:tc>
        <w:tc>
          <w:tcPr>
            <w:tcW w:type="dxa" w:w="78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FFFFF"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Non-staining (passes ASTM C1248 on marble/granite). Structural and weatherproofing. See Limitation 3 regarding the Use list.</w:t>
            </w:r>
          </w:p>
        </w:tc>
      </w:tr>
      <w:tr>
        <w:trPr>
          <w:cantSplit/>
        </w:trPr>
        <w:tc>
          <w:tcPr>
            <w:tcW w:type="dxa" w:w="24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40"/>
            </w:pPr>
            <w:r>
              <w:rPr>
                <w:rFonts w:ascii="Calibri" w:cs="Calibri" w:eastAsia="Calibri" w:hAnsi="Calibri"/>
                <w:b/>
                <w:bCs/>
                <w:color w:val="1B3A6B"/>
                <w:sz w:val="18"/>
                <w:szCs w:val="18"/>
              </w:rPr>
              <w:t xml:space="preserve">Pecora 890NST</w:t>
            </w:r>
          </w:p>
        </w:tc>
        <w:tc>
          <w:tcPr>
            <w:tcW w:type="dxa" w:w="27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Class 100, Type S, Grade NS, Use G, A, M, O</w:t>
            </w:r>
          </w:p>
        </w:tc>
        <w:tc>
          <w:tcPr>
            <w:tcW w:type="dxa" w:w="13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val="false"/>
                <w:bCs w:val="false"/>
                <w:i w:val="false"/>
                <w:iCs w:val="false"/>
                <w:color w:val="22262B"/>
                <w:sz w:val="17"/>
                <w:szCs w:val="17"/>
              </w:rPr>
              <w:t xml:space="preserve">+100 / −50%</w:t>
            </w:r>
          </w:p>
        </w:tc>
        <w:tc>
          <w:tcPr>
            <w:tcW w:type="dxa" w:w="78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jc w:val="center"/>
            </w:pPr>
            <w:r>
              <w:rPr>
                <w:rFonts w:ascii="Calibri" w:cs="Calibri" w:eastAsia="Calibri" w:hAnsi="Calibri"/>
                <w:b/>
                <w:bCs/>
                <w:i w:val="false"/>
                <w:iCs w:val="false"/>
                <w:color w:val="1A7A4A"/>
                <w:sz w:val="18"/>
                <w:szCs w:val="18"/>
              </w:rPr>
              <w:t xml:space="preserve">B</w:t>
            </w:r>
          </w:p>
        </w:tc>
        <w:tc>
          <w:tcPr>
            <w:tcW w:type="dxa" w:w="2900"/>
            <w:tcBorders>
              <w:top w:val="single" w:color="C9D4E4" w:sz="2"/>
              <w:left w:val="single" w:color="C9D4E4" w:sz="2"/>
              <w:bottom w:val="single" w:color="C9D4E4" w:sz="2"/>
              <w:right w:val="single" w:color="C9D4E4" w:sz="2"/>
            </w:tcBorders>
            <w:shd w:fill="F7F9FC" w:color="auto" w:val="clear"/>
            <w:tcMar>
              <w:top w:type="dxa" w:w="70"/>
              <w:left w:type="dxa" w:w="105"/>
              <w:bottom w:type="dxa" w:w="70"/>
              <w:right w:type="dxa" w:w="105"/>
            </w:tcMar>
            <w:vAlign w:val="center"/>
          </w:tcPr>
          <w:p>
            <w:pPr>
              <w:spacing w:after="0" w:line="250"/>
            </w:pPr>
            <w:r>
              <w:rPr>
                <w:rFonts w:ascii="Calibri" w:cs="Calibri" w:eastAsia="Calibri" w:hAnsi="Calibri"/>
                <w:b w:val="false"/>
                <w:bCs w:val="false"/>
                <w:i w:val="false"/>
                <w:iCs w:val="false"/>
                <w:color w:val="22262B"/>
                <w:sz w:val="17"/>
                <w:szCs w:val="17"/>
              </w:rPr>
              <w:t xml:space="preserve">Ultra-low modulus, non-staining; specifically suited to EIFS. Application temp −20 to 120°F. See Limitation 3.</w:t>
            </w:r>
          </w:p>
        </w:tc>
      </w:tr>
    </w:tbl>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6.  Recommended Package</w:t>
      </w:r>
    </w:p>
    <w:p>
      <w:pPr>
        <w:pStyle w:val="Heading2"/>
        <w:keepNext/>
        <w:spacing w:after="90" w:before="200"/>
      </w:pPr>
      <w:r>
        <w:rPr>
          <w:rFonts w:ascii="Calibri" w:cs="Calibri" w:eastAsia="Calibri" w:hAnsi="Calibri"/>
          <w:b/>
          <w:bCs/>
          <w:color w:val="2E5FA3"/>
          <w:sz w:val="21"/>
          <w:szCs w:val="21"/>
        </w:rPr>
        <w:t xml:space="preserve">Option 1 — Two-product package (recommended)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A7A4A" w:sz="18"/>
              <w:bottom w:val="none" w:color="FFFFFF" w:sz="0"/>
              <w:right w:val="none" w:color="FFFFFF" w:sz="0"/>
            </w:tcBorders>
            <w:shd w:fill="E8F5EE" w:color="auto" w:val="clear"/>
            <w:tcMar>
              <w:top w:type="dxa" w:w="130"/>
              <w:left w:type="dxa" w:w="170"/>
              <w:bottom w:type="dxa" w:w="130"/>
              <w:right w:type="dxa" w:w="170"/>
            </w:tcMar>
          </w:tcPr>
          <w:p>
            <w:pPr>
              <w:spacing w:after="60" w:line="250"/>
            </w:pPr>
            <w:r>
              <w:rPr>
                <w:rFonts w:ascii="Calibri" w:cs="Calibri" w:eastAsia="Calibri" w:hAnsi="Calibri"/>
                <w:b/>
                <w:bCs/>
                <w:color w:val="1A7A4A"/>
                <w:sz w:val="19"/>
                <w:szCs w:val="19"/>
              </w:rPr>
              <w:t xml:space="preserve">RECOMMENDED</w:t>
            </w:r>
          </w:p>
          <w:p>
            <w:pPr>
              <w:spacing w:after="60" w:line="250"/>
            </w:pPr>
            <w:r>
              <w:rPr>
                <w:rFonts w:ascii="Calibri" w:cs="Calibri" w:eastAsia="Calibri" w:hAnsi="Calibri"/>
                <w:b/>
                <w:bCs/>
                <w:i w:val="false"/>
                <w:iCs w:val="false"/>
                <w:color w:val="1A7A4A"/>
                <w:sz w:val="18"/>
                <w:szCs w:val="18"/>
              </w:rPr>
              <w:t xml:space="preserve">Duty A — Concealed:  </w:t>
            </w:r>
            <w:r>
              <w:rPr>
                <w:rFonts w:ascii="Calibri" w:cs="Calibri" w:eastAsia="Calibri" w:hAnsi="Calibri"/>
                <w:b/>
                <w:bCs/>
                <w:i w:val="false"/>
                <w:iCs w:val="false"/>
                <w:color w:val="22262B"/>
                <w:sz w:val="18"/>
                <w:szCs w:val="18"/>
              </w:rPr>
              <w:t xml:space="preserve">DOWSIL 758 Silicone Weather Barrier Sealant.</w:t>
            </w:r>
            <w:r>
              <w:rPr>
                <w:rFonts w:ascii="Calibri" w:cs="Calibri" w:eastAsia="Calibri" w:hAnsi="Calibri"/>
                <w:b w:val="false"/>
                <w:bCs w:val="false"/>
                <w:i w:val="false"/>
                <w:iCs w:val="false"/>
                <w:color w:val="22262B"/>
                <w:sz w:val="18"/>
                <w:szCs w:val="18"/>
              </w:rPr>
              <w:t xml:space="preserve">  Its published substrate list — polyethylene-film WRBs, spun-bonded polyolefin and woven air barriers, peel-and-stick WRBs, anodized aluminum, vinyl, PVC, powder coat and Kynar — is precisely the substrate list in IG-001 Steps 11 and 28–29.</w:t>
            </w:r>
          </w:p>
          <w:p>
            <w:pPr>
              <w:spacing w:after="0" w:line="250"/>
            </w:pPr>
            <w:r>
              <w:rPr>
                <w:rFonts w:ascii="Calibri" w:cs="Calibri" w:eastAsia="Calibri" w:hAnsi="Calibri"/>
                <w:b/>
                <w:bCs/>
                <w:i w:val="false"/>
                <w:iCs w:val="false"/>
                <w:color w:val="1A7A4A"/>
                <w:sz w:val="18"/>
                <w:szCs w:val="18"/>
              </w:rPr>
              <w:t xml:space="preserve">Duty B — Exposed:  </w:t>
            </w:r>
            <w:r>
              <w:rPr>
                <w:rFonts w:ascii="Calibri" w:cs="Calibri" w:eastAsia="Calibri" w:hAnsi="Calibri"/>
                <w:b/>
                <w:bCs/>
                <w:i w:val="false"/>
                <w:iCs w:val="false"/>
                <w:color w:val="22262B"/>
                <w:sz w:val="18"/>
                <w:szCs w:val="18"/>
              </w:rPr>
              <w:t xml:space="preserve">Sikasil WS-295 or Tremco Spectrem 2.</w:t>
            </w:r>
            <w:r>
              <w:rPr>
                <w:rFonts w:ascii="Calibri" w:cs="Calibri" w:eastAsia="Calibri" w:hAnsi="Calibri"/>
                <w:b w:val="false"/>
                <w:bCs w:val="false"/>
                <w:i w:val="false"/>
                <w:iCs w:val="false"/>
                <w:color w:val="22262B"/>
                <w:sz w:val="18"/>
                <w:szCs w:val="18"/>
              </w:rPr>
              <w:t xml:space="preserve">  Both are Class 50 with the complete Use NT, M, G, A, O designation, both are non-staining, and both offer a wide stock color range plus custom match.</w:t>
            </w:r>
          </w:p>
        </w:tc>
      </w:tr>
    </w:tbl>
    <w:p>
      <w:pPr>
        <w:spacing w:after="90"/>
      </w:pPr>
      <w:r>
        <w:rPr>
          <w:rFonts w:ascii="Calibri" w:cs="Calibri" w:eastAsia="Calibri" w:hAnsi="Calibri"/>
          <w:b w:val="false"/>
          <w:bCs w:val="false"/>
          <w:i w:val="false"/>
          <w:iCs w:val="false"/>
          <w:color w:val="22262B"/>
          <w:sz w:val="19"/>
          <w:szCs w:val="19"/>
        </w:rPr>
        <w:t xml:space="preserve"/>
      </w:r>
    </w:p>
    <w:p>
      <w:pPr>
        <w:pStyle w:val="Heading2"/>
        <w:keepNext/>
        <w:spacing w:after="90" w:before="200"/>
      </w:pPr>
      <w:r>
        <w:rPr>
          <w:rFonts w:ascii="Calibri" w:cs="Calibri" w:eastAsia="Calibri" w:hAnsi="Calibri"/>
          <w:b/>
          <w:bCs/>
          <w:color w:val="2E5FA3"/>
          <w:sz w:val="21"/>
          <w:szCs w:val="21"/>
        </w:rPr>
        <w:t xml:space="preserve">Option 2 — Single product for all beads</w:t>
      </w:r>
    </w:p>
    <w:p>
      <w:pPr>
        <w:spacing w:after="100" w:before="0" w:line="264"/>
      </w:pPr>
      <w:r>
        <w:rPr>
          <w:rFonts w:ascii="Calibri" w:cs="Calibri" w:eastAsia="Calibri" w:hAnsi="Calibri"/>
          <w:b w:val="false"/>
          <w:bCs w:val="false"/>
          <w:i w:val="false"/>
          <w:iCs w:val="false"/>
          <w:color w:val="22262B"/>
          <w:sz w:val="19"/>
          <w:szCs w:val="19"/>
        </w:rPr>
        <w:t xml:space="preserve">If a single SKU on site is preferred for field simplicity, use Sikasil WS-295 or Tremco Spectrem 2 throughout — but only after the manufacturer confirms adhesion to the specific WRB and flashing tape in writing. Do not assume it.</w:t>
      </w:r>
    </w:p>
    <w:p>
      <w:pPr>
        <w:spacing w:after="60"/>
      </w:pPr>
      <w:r>
        <w:rPr>
          <w:rFonts w:ascii="Calibri" w:cs="Calibri" w:eastAsia="Calibri" w:hAnsi="Calibri"/>
          <w:b w:val="false"/>
          <w:bCs w:val="false"/>
          <w:i w:val="false"/>
          <w:iCs w:val="false"/>
          <w:color w:val="22262B"/>
          <w:sz w:val="19"/>
          <w:szCs w:val="19"/>
        </w:rPr>
        <w:t xml:space="preserve"/>
      </w:r>
    </w:p>
    <w:p>
      <w:pPr>
        <w:pStyle w:val="Heading2"/>
        <w:keepNext/>
        <w:spacing w:after="90" w:before="200"/>
      </w:pPr>
      <w:r>
        <w:rPr>
          <w:rFonts w:ascii="Calibri" w:cs="Calibri" w:eastAsia="Calibri" w:hAnsi="Calibri"/>
          <w:b/>
          <w:bCs/>
          <w:color w:val="2E5FA3"/>
          <w:sz w:val="21"/>
          <w:szCs w:val="21"/>
        </w:rPr>
        <w:t xml:space="preserve">If the exterior finish is EIFS or stucco</w:t>
      </w:r>
    </w:p>
    <w:p>
      <w:pPr>
        <w:spacing w:after="100" w:before="0" w:line="264"/>
      </w:pPr>
      <w:r>
        <w:rPr>
          <w:rFonts w:ascii="Calibri" w:cs="Calibri" w:eastAsia="Calibri" w:hAnsi="Calibri"/>
          <w:b w:val="false"/>
          <w:bCs w:val="false"/>
          <w:i w:val="false"/>
          <w:iCs w:val="false"/>
          <w:color w:val="22262B"/>
          <w:sz w:val="19"/>
          <w:szCs w:val="19"/>
        </w:rPr>
        <w:t xml:space="preserve">Substitute the Duty B product with Tremco Spectrem 1 or Pecora 890NST. Both are ultra-low modulus Class 100 and both are formulated for EIFS; Spectrem 1 additionally meets EIMA Test Method 300.01.</w:t>
      </w:r>
    </w:p>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7.  Limitations &amp; Exceptions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7600A" w:sz="18"/>
              <w:bottom w:val="none" w:color="FFFFFF" w:sz="0"/>
              <w:right w:val="none" w:color="FFFFFF" w:sz="0"/>
            </w:tcBorders>
            <w:shd w:fill="FEF3E2" w:color="auto" w:val="clear"/>
            <w:tcMar>
              <w:top w:type="dxa" w:w="130"/>
              <w:left w:type="dxa" w:w="170"/>
              <w:bottom w:type="dxa" w:w="130"/>
              <w:right w:type="dxa" w:w="170"/>
            </w:tcMar>
          </w:tcPr>
          <w:p>
            <w:pPr>
              <w:spacing w:after="60" w:line="250"/>
            </w:pPr>
            <w:r>
              <w:rPr>
                <w:rFonts w:ascii="Calibri" w:cs="Calibri" w:eastAsia="Calibri" w:hAnsi="Calibri"/>
                <w:b/>
                <w:bCs/>
                <w:color w:val="B7600A"/>
                <w:sz w:val="19"/>
                <w:szCs w:val="19"/>
              </w:rPr>
              <w:t xml:space="preserve">Limitation 1 — DOWSIL 758 is a concealed-joint product</w:t>
            </w:r>
          </w:p>
          <w:p>
            <w:pPr>
              <w:spacing w:after="0" w:line="250"/>
            </w:pPr>
            <w:r>
              <w:rPr>
                <w:rFonts w:ascii="Calibri" w:cs="Calibri" w:eastAsia="Calibri" w:hAnsi="Calibri"/>
                <w:b w:val="false"/>
                <w:bCs w:val="false"/>
                <w:i w:val="false"/>
                <w:iCs w:val="false"/>
                <w:color w:val="22262B"/>
                <w:sz w:val="18"/>
                <w:szCs w:val="18"/>
              </w:rPr>
              <w:t xml:space="preserve">758 is available in white only, and Dow's data sheet states it is not to be used as an aesthetic weatherseal, nor in structural, below-grade, or continuous water immersion applications. It must not end up on the exposed head and sill flashing cap beads (Steps 20, 21, 24, 25) or the Step 32 interior bead.</w:t>
            </w:r>
          </w:p>
        </w:tc>
      </w:tr>
    </w:tbl>
    <w:p>
      <w:pPr>
        <w:spacing w:after="90"/>
      </w:pPr>
      <w:r>
        <w:rPr>
          <w:rFonts w:ascii="Calibri" w:cs="Calibri" w:eastAsia="Calibri" w:hAnsi="Calibri"/>
          <w:b w:val="false"/>
          <w:bCs w:val="false"/>
          <w:i w:val="false"/>
          <w:iCs w:val="false"/>
          <w:color w:val="22262B"/>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7600A" w:sz="18"/>
              <w:bottom w:val="none" w:color="FFFFFF" w:sz="0"/>
              <w:right w:val="none" w:color="FFFFFF" w:sz="0"/>
            </w:tcBorders>
            <w:shd w:fill="FEF3E2" w:color="auto" w:val="clear"/>
            <w:tcMar>
              <w:top w:type="dxa" w:w="130"/>
              <w:left w:type="dxa" w:w="170"/>
              <w:bottom w:type="dxa" w:w="130"/>
              <w:right w:type="dxa" w:w="170"/>
            </w:tcMar>
          </w:tcPr>
          <w:p>
            <w:pPr>
              <w:spacing w:after="60" w:line="250"/>
            </w:pPr>
            <w:r>
              <w:rPr>
                <w:rFonts w:ascii="Calibri" w:cs="Calibri" w:eastAsia="Calibri" w:hAnsi="Calibri"/>
                <w:b/>
                <w:bCs/>
                <w:color w:val="B7600A"/>
                <w:sz w:val="19"/>
                <w:szCs w:val="19"/>
              </w:rPr>
              <w:t xml:space="preserve">Limitation 2 — DOWSIL 758 is Class 25, not Class 50</w:t>
            </w:r>
          </w:p>
          <w:p>
            <w:pPr>
              <w:spacing w:after="0" w:line="250"/>
            </w:pPr>
            <w:r>
              <w:rPr>
                <w:rFonts w:ascii="Calibri" w:cs="Calibri" w:eastAsia="Calibri" w:hAnsi="Calibri"/>
                <w:b w:val="false"/>
                <w:bCs w:val="false"/>
                <w:i w:val="false"/>
                <w:iCs w:val="false"/>
                <w:color w:val="22262B"/>
                <w:sz w:val="18"/>
                <w:szCs w:val="18"/>
              </w:rPr>
              <w:t xml:space="preserve">If the architect's Section 07 92 00 requires Class 50 minimum, 758 does not satisfy that on its face. It remains appropriate for the concealed duty, but the submittal must state the two-product split explicitly so the reviewer does not reject the package on a class mismatch.</w:t>
            </w:r>
          </w:p>
        </w:tc>
      </w:tr>
    </w:tbl>
    <w:p>
      <w:pPr>
        <w:spacing w:after="90"/>
      </w:pPr>
      <w:r>
        <w:rPr>
          <w:rFonts w:ascii="Calibri" w:cs="Calibri" w:eastAsia="Calibri" w:hAnsi="Calibri"/>
          <w:b w:val="false"/>
          <w:bCs w:val="false"/>
          <w:i w:val="false"/>
          <w:iCs w:val="false"/>
          <w:color w:val="22262B"/>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7600A" w:sz="18"/>
              <w:bottom w:val="none" w:color="FFFFFF" w:sz="0"/>
              <w:right w:val="none" w:color="FFFFFF" w:sz="0"/>
            </w:tcBorders>
            <w:shd w:fill="FEF3E2" w:color="auto" w:val="clear"/>
            <w:tcMar>
              <w:top w:type="dxa" w:w="130"/>
              <w:left w:type="dxa" w:w="170"/>
              <w:bottom w:type="dxa" w:w="130"/>
              <w:right w:type="dxa" w:w="170"/>
            </w:tcMar>
          </w:tcPr>
          <w:p>
            <w:pPr>
              <w:spacing w:after="60" w:line="250"/>
            </w:pPr>
            <w:r>
              <w:rPr>
                <w:rFonts w:ascii="Calibri" w:cs="Calibri" w:eastAsia="Calibri" w:hAnsi="Calibri"/>
                <w:b/>
                <w:bCs/>
                <w:color w:val="B7600A"/>
                <w:sz w:val="19"/>
                <w:szCs w:val="19"/>
              </w:rPr>
              <w:t xml:space="preserve">Limitation 3 — Pecora Use designations omit “NT”</w:t>
            </w:r>
          </w:p>
          <w:p>
            <w:pPr>
              <w:spacing w:after="0" w:line="250"/>
            </w:pPr>
            <w:r>
              <w:rPr>
                <w:rFonts w:ascii="Calibri" w:cs="Calibri" w:eastAsia="Calibri" w:hAnsi="Calibri"/>
                <w:b w:val="false"/>
                <w:bCs w:val="false"/>
                <w:i w:val="false"/>
                <w:iCs w:val="false"/>
                <w:color w:val="22262B"/>
                <w:sz w:val="18"/>
                <w:szCs w:val="18"/>
              </w:rPr>
              <w:t xml:space="preserve">Pecora's published Use list for both 895NST and 890NST is G, A, M, O. Every other product in Section 5 carries NT (non-traffic). If the project specification requires Use NT, confirm with Pecora in writing before submitting — do not assume the omission is a typographical one.</w:t>
            </w:r>
          </w:p>
        </w:tc>
      </w:tr>
    </w:tbl>
    <w:p>
      <w:pPr>
        <w:spacing w:after="90"/>
      </w:pPr>
      <w:r>
        <w:rPr>
          <w:rFonts w:ascii="Calibri" w:cs="Calibri" w:eastAsia="Calibri" w:hAnsi="Calibri"/>
          <w:b w:val="false"/>
          <w:bCs w:val="false"/>
          <w:i w:val="false"/>
          <w:iCs w:val="false"/>
          <w:color w:val="22262B"/>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C8392B" w:sz="18"/>
              <w:bottom w:val="none" w:color="FFFFFF" w:sz="0"/>
              <w:right w:val="none" w:color="FFFFFF" w:sz="0"/>
            </w:tcBorders>
            <w:shd w:fill="FBEAE8" w:color="auto" w:val="clear"/>
            <w:tcMar>
              <w:top w:type="dxa" w:w="130"/>
              <w:left w:type="dxa" w:w="170"/>
              <w:bottom w:type="dxa" w:w="130"/>
              <w:right w:type="dxa" w:w="170"/>
            </w:tcMar>
          </w:tcPr>
          <w:p>
            <w:pPr>
              <w:spacing w:after="60" w:line="250"/>
            </w:pPr>
            <w:r>
              <w:rPr>
                <w:rFonts w:ascii="Calibri" w:cs="Calibri" w:eastAsia="Calibri" w:hAnsi="Calibri"/>
                <w:b/>
                <w:bCs/>
                <w:color w:val="C8392B"/>
                <w:sz w:val="19"/>
                <w:szCs w:val="19"/>
              </w:rPr>
              <w:t xml:space="preserve">Limitation 4 — IG-001 does not specify a C920 class</w:t>
            </w:r>
          </w:p>
          <w:p>
            <w:pPr>
              <w:spacing w:after="0" w:line="250"/>
            </w:pPr>
            <w:r>
              <w:rPr>
                <w:rFonts w:ascii="Calibri" w:cs="Calibri" w:eastAsia="Calibri" w:hAnsi="Calibri"/>
                <w:b w:val="false"/>
                <w:bCs w:val="false"/>
                <w:i w:val="false"/>
                <w:iCs w:val="false"/>
                <w:color w:val="22262B"/>
                <w:sz w:val="18"/>
                <w:szCs w:val="18"/>
              </w:rPr>
              <w:t xml:space="preserve">ASTM C920 requires a Type (S/M), Grade (NS/P), Class (12½, 25, 35, 50, 100/50) and Use designations. Quaker states only “ASTM C920 compliant.” For an exterior perimeter joint, Type S, Grade NS, Class 25 minimum, Use NT, G, A, O would be the expected call. If Section 07 92 00 is likewise silent, issue an RFI to the architect rather than selecting the class unilaterally.</w:t>
            </w:r>
          </w:p>
        </w:tc>
      </w:tr>
    </w:tbl>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8.  Pre-Order Action Items</w:t>
      </w:r>
    </w:p>
    <w:p>
      <w:pPr>
        <w:pStyle w:val="ListParagraph"/>
        <w:numPr>
          <w:ilvl w:val="0"/>
          <w:numId w:val="2"/>
        </w:numPr>
        <w:spacing w:after="90" w:line="264"/>
      </w:pPr>
      <w:r>
        <w:rPr>
          <w:rFonts w:ascii="Calibri" w:cs="Calibri" w:eastAsia="Calibri" w:hAnsi="Calibri"/>
          <w:b/>
          <w:bCs/>
          <w:i w:val="false"/>
          <w:iCs w:val="false"/>
          <w:color w:val="22262B"/>
          <w:sz w:val="19"/>
          <w:szCs w:val="19"/>
        </w:rPr>
        <w:t xml:space="preserve">Obtain the WRB and flashing tape manufacturers and product names actually being installed</w:t>
      </w:r>
      <w:r>
        <w:rPr>
          <w:rFonts w:ascii="Calibri" w:cs="Calibri" w:eastAsia="Calibri" w:hAnsi="Calibri"/>
          <w:b w:val="false"/>
          <w:bCs w:val="false"/>
          <w:i w:val="false"/>
          <w:iCs w:val="false"/>
          <w:color w:val="22262B"/>
          <w:sz w:val="19"/>
          <w:szCs w:val="19"/>
        </w:rPr>
        <w:t xml:space="preserve">, and submit them to the sealant manufacturer for ASTM C794 adhesion and ASTM C1087 compatibility testing. All manufacturers listed in Section 5 perform this at no cost on submitted substrates. This is the single highest-value step in the package.</w:t>
      </w:r>
    </w:p>
    <w:p>
      <w:pPr>
        <w:pStyle w:val="ListParagraph"/>
        <w:numPr>
          <w:ilvl w:val="0"/>
          <w:numId w:val="2"/>
        </w:numPr>
        <w:spacing w:after="90" w:line="264"/>
      </w:pPr>
      <w:r>
        <w:rPr>
          <w:rFonts w:ascii="Calibri" w:cs="Calibri" w:eastAsia="Calibri" w:hAnsi="Calibri"/>
          <w:b/>
          <w:bCs/>
          <w:i w:val="false"/>
          <w:iCs w:val="false"/>
          <w:color w:val="22262B"/>
          <w:sz w:val="19"/>
          <w:szCs w:val="19"/>
        </w:rPr>
        <w:t xml:space="preserve">Confirm the exterior finish assembly</w:t>
      </w:r>
      <w:r>
        <w:rPr>
          <w:rFonts w:ascii="Calibri" w:cs="Calibri" w:eastAsia="Calibri" w:hAnsi="Calibri"/>
          <w:b w:val="false"/>
          <w:bCs w:val="false"/>
          <w:i w:val="false"/>
          <w:iCs w:val="false"/>
          <w:color w:val="22262B"/>
          <w:sz w:val="19"/>
          <w:szCs w:val="19"/>
        </w:rPr>
        <w:t xml:space="preserve"> (stucco, EIFS, brick, metal panel). This determines whether a non-staining grade per ASTM C1248 is required and whether an ultra-low modulus Class 100 product is warranted.</w:t>
      </w:r>
    </w:p>
    <w:p>
      <w:pPr>
        <w:pStyle w:val="ListParagraph"/>
        <w:numPr>
          <w:ilvl w:val="0"/>
          <w:numId w:val="2"/>
        </w:numPr>
        <w:spacing w:after="90" w:line="264"/>
      </w:pPr>
      <w:r>
        <w:rPr>
          <w:rFonts w:ascii="Calibri" w:cs="Calibri" w:eastAsia="Calibri" w:hAnsi="Calibri"/>
          <w:b/>
          <w:bCs/>
          <w:i w:val="false"/>
          <w:iCs w:val="false"/>
          <w:color w:val="22262B"/>
          <w:sz w:val="19"/>
          <w:szCs w:val="19"/>
        </w:rPr>
        <w:t xml:space="preserve">Confirm the required ASTM C920 class in Section 07 92 00.</w:t>
      </w:r>
      <w:r>
        <w:rPr>
          <w:rFonts w:ascii="Calibri" w:cs="Calibri" w:eastAsia="Calibri" w:hAnsi="Calibri"/>
          <w:b w:val="false"/>
          <w:bCs w:val="false"/>
          <w:i w:val="false"/>
          <w:iCs w:val="false"/>
          <w:color w:val="22262B"/>
          <w:sz w:val="19"/>
          <w:szCs w:val="19"/>
        </w:rPr>
        <w:t xml:space="preserve"> If the specification is silent, issue an RFI per Limitation 4 before ordering.</w:t>
      </w:r>
    </w:p>
    <w:p>
      <w:pPr>
        <w:pStyle w:val="ListParagraph"/>
        <w:numPr>
          <w:ilvl w:val="0"/>
          <w:numId w:val="2"/>
        </w:numPr>
        <w:spacing w:after="90" w:line="264"/>
      </w:pPr>
      <w:r>
        <w:rPr>
          <w:rFonts w:ascii="Calibri" w:cs="Calibri" w:eastAsia="Calibri" w:hAnsi="Calibri"/>
          <w:b/>
          <w:bCs/>
          <w:i w:val="false"/>
          <w:iCs w:val="false"/>
          <w:color w:val="22262B"/>
          <w:sz w:val="19"/>
          <w:szCs w:val="19"/>
        </w:rPr>
        <w:t xml:space="preserve">Order color to match the window frame finish</w:t>
      </w:r>
      <w:r>
        <w:rPr>
          <w:rFonts w:ascii="Calibri" w:cs="Calibri" w:eastAsia="Calibri" w:hAnsi="Calibri"/>
          <w:b w:val="false"/>
          <w:bCs w:val="false"/>
          <w:i w:val="false"/>
          <w:iCs w:val="false"/>
          <w:color w:val="22262B"/>
          <w:sz w:val="19"/>
          <w:szCs w:val="19"/>
        </w:rPr>
        <w:t xml:space="preserve">, and confirm custom-match lead time. Custom color is typically 2–4 weeks and is a recurring closeout delay if left to the end.</w:t>
      </w:r>
    </w:p>
    <w:p>
      <w:pPr>
        <w:pStyle w:val="ListParagraph"/>
        <w:numPr>
          <w:ilvl w:val="0"/>
          <w:numId w:val="2"/>
        </w:numPr>
        <w:spacing w:after="90" w:line="264"/>
      </w:pPr>
      <w:r>
        <w:rPr>
          <w:rFonts w:ascii="Calibri" w:cs="Calibri" w:eastAsia="Calibri" w:hAnsi="Calibri"/>
          <w:b/>
          <w:bCs/>
          <w:i w:val="false"/>
          <w:iCs w:val="false"/>
          <w:color w:val="22262B"/>
          <w:sz w:val="19"/>
          <w:szCs w:val="19"/>
        </w:rPr>
        <w:t xml:space="preserve">Plan for Eagle Pass heat.</w:t>
      </w:r>
      <w:r>
        <w:rPr>
          <w:rFonts w:ascii="Calibri" w:cs="Calibri" w:eastAsia="Calibri" w:hAnsi="Calibri"/>
          <w:b w:val="false"/>
          <w:bCs w:val="false"/>
          <w:i w:val="false"/>
          <w:iCs w:val="false"/>
          <w:color w:val="22262B"/>
          <w:sz w:val="19"/>
          <w:szCs w:val="19"/>
        </w:rPr>
        <w:t xml:space="preserve"> Silicone skins in roughly 15 minutes at 77°F and materially faster in summer conditions, and IG-001 requires tooling before skin-over at several steps. Sequence short bead runs and keep the IPA wipe — also required by IG-001 — ahead of the gun.</w:t>
      </w:r>
    </w:p>
    <w:p>
      <w:pPr>
        <w:pStyle w:val="ListParagraph"/>
        <w:numPr>
          <w:ilvl w:val="0"/>
          <w:numId w:val="2"/>
        </w:numPr>
        <w:spacing w:after="90" w:line="264"/>
      </w:pPr>
      <w:r>
        <w:rPr>
          <w:rFonts w:ascii="Calibri" w:cs="Calibri" w:eastAsia="Calibri" w:hAnsi="Calibri"/>
          <w:b/>
          <w:bCs/>
          <w:i w:val="false"/>
          <w:iCs w:val="false"/>
          <w:color w:val="22262B"/>
          <w:sz w:val="19"/>
          <w:szCs w:val="19"/>
        </w:rPr>
        <w:t xml:space="preserve">Verify backer rod is closed-cell foam</w:t>
      </w:r>
      <w:r>
        <w:rPr>
          <w:rFonts w:ascii="Calibri" w:cs="Calibri" w:eastAsia="Calibri" w:hAnsi="Calibri"/>
          <w:b w:val="false"/>
          <w:bCs w:val="false"/>
          <w:i w:val="false"/>
          <w:iCs w:val="false"/>
          <w:color w:val="22262B"/>
          <w:sz w:val="19"/>
          <w:szCs w:val="19"/>
        </w:rPr>
        <w:t xml:space="preserve"> and sized to compress approximately 25% in the joint, per the sealant manufacturer's joint design guidance.</w:t>
      </w:r>
    </w:p>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9.  Excluded Materials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C8392B" w:sz="18"/>
              <w:bottom w:val="none" w:color="FFFFFF" w:sz="0"/>
              <w:right w:val="none" w:color="FFFFFF" w:sz="0"/>
            </w:tcBorders>
            <w:shd w:fill="FBEAE8" w:color="auto" w:val="clear"/>
            <w:tcMar>
              <w:top w:type="dxa" w:w="130"/>
              <w:left w:type="dxa" w:w="170"/>
              <w:bottom w:type="dxa" w:w="130"/>
              <w:right w:type="dxa" w:w="170"/>
            </w:tcMar>
          </w:tcPr>
          <w:p>
            <w:pPr>
              <w:spacing w:after="60" w:line="250"/>
            </w:pPr>
            <w:r>
              <w:rPr>
                <w:rFonts w:ascii="Calibri" w:cs="Calibri" w:eastAsia="Calibri" w:hAnsi="Calibri"/>
                <w:b/>
                <w:bCs/>
                <w:color w:val="C8392B"/>
                <w:sz w:val="19"/>
                <w:szCs w:val="19"/>
              </w:rPr>
              <w:t xml:space="preserve">Not permitted under IG-001 v1.8</w:t>
            </w:r>
          </w:p>
          <w:p>
            <w:pPr>
              <w:spacing w:after="60" w:line="250"/>
            </w:pPr>
            <w:r>
              <w:rPr>
                <w:rFonts w:ascii="Calibri" w:cs="Calibri" w:eastAsia="Calibri" w:hAnsi="Calibri"/>
                <w:b w:val="false"/>
                <w:bCs w:val="false"/>
                <w:i w:val="false"/>
                <w:iCs w:val="false"/>
                <w:color w:val="22262B"/>
                <w:sz w:val="18"/>
                <w:szCs w:val="18"/>
              </w:rPr>
              <w:t xml:space="preserve">The requirement for “100% silicone … neutral cure only” excludes each of the following, regardless of any other performance claim:</w:t>
            </w:r>
          </w:p>
          <w:p>
            <w:pPr>
              <w:spacing w:after="60" w:line="250"/>
            </w:pPr>
            <w:r>
              <w:rPr>
                <w:rFonts w:ascii="Calibri" w:cs="Calibri" w:eastAsia="Calibri" w:hAnsi="Calibri"/>
                <w:b/>
                <w:bCs/>
                <w:i w:val="false"/>
                <w:iCs w:val="false"/>
                <w:color w:val="22262B"/>
                <w:sz w:val="18"/>
                <w:szCs w:val="18"/>
              </w:rPr>
              <w:t xml:space="preserve">Acetoxy-cure (acid-cure) silicone</w:t>
            </w:r>
            <w:r>
              <w:rPr>
                <w:rFonts w:ascii="Calibri" w:cs="Calibri" w:eastAsia="Calibri" w:hAnsi="Calibri"/>
                <w:b w:val="false"/>
                <w:bCs w:val="false"/>
                <w:i w:val="false"/>
                <w:iCs w:val="false"/>
                <w:color w:val="22262B"/>
                <w:sz w:val="18"/>
                <w:szCs w:val="18"/>
              </w:rPr>
              <w:t xml:space="preserve"> — can attack anodized and painted aluminum finishes and is incompatible with many WRB and self-adhered flashing adhesives.</w:t>
            </w:r>
          </w:p>
          <w:p>
            <w:pPr>
              <w:spacing w:after="60" w:line="250"/>
            </w:pPr>
            <w:r>
              <w:rPr>
                <w:rFonts w:ascii="Calibri" w:cs="Calibri" w:eastAsia="Calibri" w:hAnsi="Calibri"/>
                <w:b/>
                <w:bCs/>
                <w:i w:val="false"/>
                <w:iCs w:val="false"/>
                <w:color w:val="22262B"/>
                <w:sz w:val="18"/>
                <w:szCs w:val="18"/>
              </w:rPr>
              <w:t xml:space="preserve">Polyurethane and hybrid / SMP sealants</w:t>
            </w:r>
            <w:r>
              <w:rPr>
                <w:rFonts w:ascii="Calibri" w:cs="Calibri" w:eastAsia="Calibri" w:hAnsi="Calibri"/>
                <w:b w:val="false"/>
                <w:bCs w:val="false"/>
                <w:i w:val="false"/>
                <w:iCs w:val="false"/>
                <w:color w:val="22262B"/>
                <w:sz w:val="18"/>
                <w:szCs w:val="18"/>
              </w:rPr>
              <w:t xml:space="preserve"> — not 100% silicone.</w:t>
            </w:r>
          </w:p>
          <w:p>
            <w:pPr>
              <w:spacing w:after="0" w:line="250"/>
            </w:pPr>
            <w:r>
              <w:rPr>
                <w:rFonts w:ascii="Calibri" w:cs="Calibri" w:eastAsia="Calibri" w:hAnsi="Calibri"/>
                <w:b/>
                <w:bCs/>
                <w:i w:val="false"/>
                <w:iCs w:val="false"/>
                <w:color w:val="22262B"/>
                <w:sz w:val="18"/>
                <w:szCs w:val="18"/>
              </w:rPr>
              <w:t xml:space="preserve">Acrylic latex and siliconized acrylic caulk</w:t>
            </w:r>
            <w:r>
              <w:rPr>
                <w:rFonts w:ascii="Calibri" w:cs="Calibri" w:eastAsia="Calibri" w:hAnsi="Calibri"/>
                <w:b w:val="false"/>
                <w:bCs w:val="false"/>
                <w:i w:val="false"/>
                <w:iCs w:val="false"/>
                <w:color w:val="22262B"/>
                <w:sz w:val="18"/>
                <w:szCs w:val="18"/>
              </w:rPr>
              <w:t xml:space="preserve"> — not 100% silicone; inadequate movement capability and UV durability for this application.</w:t>
            </w:r>
          </w:p>
        </w:tc>
      </w:tr>
    </w:tbl>
    <w:p>
      <w:pPr>
        <w:spacing w:after="60"/>
      </w:pPr>
      <w:r>
        <w:rPr>
          <w:rFonts w:ascii="Calibri" w:cs="Calibri" w:eastAsia="Calibri" w:hAnsi="Calibri"/>
          <w:b w:val="false"/>
          <w:bCs w:val="false"/>
          <w:i w:val="false"/>
          <w:iCs w:val="false"/>
          <w:color w:val="22262B"/>
          <w:sz w:val="19"/>
          <w:szCs w:val="19"/>
        </w:rPr>
        <w:t xml:space="preserve"/>
      </w:r>
    </w:p>
    <w:p>
      <w:pPr>
        <w:pStyle w:val="Heading1"/>
        <w:keepNext/>
        <w:pBdr>
          <w:bottom w:val="single" w:color="1B3A6B" w:sz="8" w:space="4"/>
        </w:pBdr>
        <w:spacing w:after="130" w:before="280"/>
      </w:pPr>
      <w:r>
        <w:rPr>
          <w:rFonts w:ascii="Calibri" w:cs="Calibri" w:eastAsia="Calibri" w:hAnsi="Calibri"/>
          <w:b/>
          <w:bCs/>
          <w:color w:val="1B3A6B"/>
          <w:sz w:val="25"/>
          <w:szCs w:val="25"/>
        </w:rPr>
        <w:t xml:space="preserve">10.  References</w:t>
      </w:r>
    </w:p>
    <w:p>
      <w:pPr>
        <w:pStyle w:val="ListParagraph"/>
        <w:numPr>
          <w:ilvl w:val="0"/>
          <w:numId w:val="3"/>
        </w:numPr>
        <w:spacing w:after="70" w:line="264"/>
      </w:pPr>
      <w:r>
        <w:rPr>
          <w:rFonts w:ascii="Calibri" w:cs="Calibri" w:eastAsia="Calibri" w:hAnsi="Calibri"/>
          <w:b w:val="false"/>
          <w:bCs w:val="false"/>
          <w:i w:val="false"/>
          <w:iCs w:val="false"/>
          <w:color w:val="22262B"/>
          <w:sz w:val="19"/>
          <w:szCs w:val="19"/>
        </w:rPr>
        <w:t xml:space="preserve">Quaker Windows &amp; Doors — Installation Guidelines, QWP part # IG-001 v1.8, dated 08/04/2023 (pages 1, 2, and Steps 11–32).</w:t>
      </w:r>
    </w:p>
    <w:p>
      <w:pPr>
        <w:pStyle w:val="ListParagraph"/>
        <w:numPr>
          <w:ilvl w:val="0"/>
          <w:numId w:val="3"/>
        </w:numPr>
        <w:spacing w:after="70" w:line="264"/>
      </w:pPr>
      <w:r>
        <w:rPr>
          <w:rFonts w:ascii="Calibri" w:cs="Calibri" w:eastAsia="Calibri" w:hAnsi="Calibri"/>
          <w:b w:val="false"/>
          <w:bCs w:val="false"/>
          <w:i w:val="false"/>
          <w:iCs w:val="false"/>
          <w:color w:val="22262B"/>
          <w:sz w:val="19"/>
          <w:szCs w:val="19"/>
        </w:rPr>
        <w:t xml:space="preserve">ASTM C920 — Standard Specification for Elastomeric Joint Sealants.</w:t>
      </w:r>
    </w:p>
    <w:p>
      <w:pPr>
        <w:pStyle w:val="ListParagraph"/>
        <w:numPr>
          <w:ilvl w:val="0"/>
          <w:numId w:val="3"/>
        </w:numPr>
        <w:spacing w:after="70" w:line="264"/>
      </w:pPr>
      <w:r>
        <w:rPr>
          <w:rFonts w:ascii="Calibri" w:cs="Calibri" w:eastAsia="Calibri" w:hAnsi="Calibri"/>
          <w:b w:val="false"/>
          <w:bCs w:val="false"/>
          <w:i w:val="false"/>
          <w:iCs w:val="false"/>
          <w:color w:val="22262B"/>
          <w:sz w:val="19"/>
          <w:szCs w:val="19"/>
        </w:rPr>
        <w:t xml:space="preserve">ASTM C719 — Adhesion and Cohesion of Elastomeric Joint Sealants Under Cyclic Movement (Hockman Cycle).</w:t>
      </w:r>
    </w:p>
    <w:p>
      <w:pPr>
        <w:pStyle w:val="ListParagraph"/>
        <w:numPr>
          <w:ilvl w:val="0"/>
          <w:numId w:val="3"/>
        </w:numPr>
        <w:spacing w:after="70" w:line="264"/>
      </w:pPr>
      <w:r>
        <w:rPr>
          <w:rFonts w:ascii="Calibri" w:cs="Calibri" w:eastAsia="Calibri" w:hAnsi="Calibri"/>
          <w:b w:val="false"/>
          <w:bCs w:val="false"/>
          <w:i w:val="false"/>
          <w:iCs w:val="false"/>
          <w:color w:val="22262B"/>
          <w:sz w:val="19"/>
          <w:szCs w:val="19"/>
        </w:rPr>
        <w:t xml:space="preserve">ASTM C794 — Adhesion-in-Peel of Elastomeric Joint Sealants.</w:t>
      </w:r>
    </w:p>
    <w:p>
      <w:pPr>
        <w:pStyle w:val="ListParagraph"/>
        <w:numPr>
          <w:ilvl w:val="0"/>
          <w:numId w:val="3"/>
        </w:numPr>
        <w:spacing w:after="70" w:line="264"/>
      </w:pPr>
      <w:r>
        <w:rPr>
          <w:rFonts w:ascii="Calibri" w:cs="Calibri" w:eastAsia="Calibri" w:hAnsi="Calibri"/>
          <w:b w:val="false"/>
          <w:bCs w:val="false"/>
          <w:i w:val="false"/>
          <w:iCs w:val="false"/>
          <w:color w:val="22262B"/>
          <w:sz w:val="19"/>
          <w:szCs w:val="19"/>
        </w:rPr>
        <w:t xml:space="preserve">ASTM C1248 — Staining of Porous Substrate by Joint Sealants.</w:t>
      </w:r>
    </w:p>
    <w:p>
      <w:pPr>
        <w:pStyle w:val="ListParagraph"/>
        <w:numPr>
          <w:ilvl w:val="0"/>
          <w:numId w:val="3"/>
        </w:numPr>
        <w:spacing w:after="70" w:line="264"/>
      </w:pPr>
      <w:r>
        <w:rPr>
          <w:rFonts w:ascii="Calibri" w:cs="Calibri" w:eastAsia="Calibri" w:hAnsi="Calibri"/>
          <w:b w:val="false"/>
          <w:bCs w:val="false"/>
          <w:i w:val="false"/>
          <w:iCs w:val="false"/>
          <w:color w:val="22262B"/>
          <w:sz w:val="19"/>
          <w:szCs w:val="19"/>
        </w:rPr>
        <w:t xml:space="preserve">ASTM D779 — flashing tape performance (per IG-001 p. 2); AAMA 812-19 — minimally expanding foam (per IG-001 p. 2).</w:t>
      </w:r>
    </w:p>
    <w:p>
      <w:pPr>
        <w:pStyle w:val="ListParagraph"/>
        <w:numPr>
          <w:ilvl w:val="0"/>
          <w:numId w:val="3"/>
        </w:numPr>
        <w:spacing w:after="70" w:line="264"/>
      </w:pPr>
      <w:r>
        <w:rPr>
          <w:rFonts w:ascii="Calibri" w:cs="Calibri" w:eastAsia="Calibri" w:hAnsi="Calibri"/>
          <w:b w:val="false"/>
          <w:bCs w:val="false"/>
          <w:i w:val="false"/>
          <w:iCs w:val="false"/>
          <w:color w:val="22262B"/>
          <w:sz w:val="19"/>
          <w:szCs w:val="19"/>
        </w:rPr>
        <w:t xml:space="preserve">Manufacturer technical data sheets: Dow (DOWSIL 758, 791, 795); Sika (Sikasil WS-295); Tremco (Spectrem 1, Spectrem 2); Momentive / GE Silicones (SilPruf SCS2000, SilPruf NB SCS9000); Pecora (895NST, 890NST).</w:t>
      </w:r>
    </w:p>
    <w:p>
      <w:pPr>
        <w:spacing w:after="140"/>
      </w:pPr>
      <w:r>
        <w:rPr>
          <w:rFonts w:ascii="Calibri" w:cs="Calibri" w:eastAsia="Calibri" w:hAnsi="Calibri"/>
          <w:b w:val="false"/>
          <w:bCs w:val="false"/>
          <w:i w:val="false"/>
          <w:iCs w:val="false"/>
          <w:color w:val="22262B"/>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5FA3" w:sz="18"/>
              <w:bottom w:val="none" w:color="FFFFFF" w:sz="0"/>
              <w:right w:val="none" w:color="FFFFFF" w:sz="0"/>
            </w:tcBorders>
            <w:shd w:fill="D6E4F5" w:color="auto" w:val="clear"/>
            <w:tcMar>
              <w:top w:type="dxa" w:w="130"/>
              <w:left w:type="dxa" w:w="170"/>
              <w:bottom w:type="dxa" w:w="130"/>
              <w:right w:type="dxa" w:w="170"/>
            </w:tcMar>
          </w:tcPr>
          <w:p>
            <w:pPr>
              <w:spacing w:after="0" w:line="250"/>
            </w:pPr>
            <w:r>
              <w:rPr>
                <w:rFonts w:ascii="Calibri" w:cs="Calibri" w:eastAsia="Calibri" w:hAnsi="Calibri"/>
                <w:b/>
                <w:bCs/>
                <w:i w:val="false"/>
                <w:iCs w:val="false"/>
                <w:color w:val="5A5A5A"/>
                <w:sz w:val="17"/>
                <w:szCs w:val="17"/>
              </w:rPr>
              <w:t xml:space="preserve">Note:  </w:t>
            </w:r>
            <w:r>
              <w:rPr>
                <w:rFonts w:ascii="Calibri" w:cs="Calibri" w:eastAsia="Calibri" w:hAnsi="Calibri"/>
                <w:b w:val="false"/>
                <w:bCs w:val="false"/>
                <w:i/>
                <w:iCs/>
                <w:color w:val="5A5A5A"/>
                <w:sz w:val="17"/>
                <w:szCs w:val="17"/>
              </w:rPr>
              <w:t xml:space="preserve">Quaker's language is “recommends.” Where the project specification, the architect's Section 07 92 00, or an approved submittal imposes a stricter requirement, that requirement governs. Product classifications above are transcribed from manufacturer data sheets current as of the date of this document and should be re-verified against the data sheet submitted with the product.</w:t>
            </w:r>
          </w:p>
        </w:tc>
      </w:tr>
    </w:tbl>
    <w:sectPr>
      <w:footerReference w:type="default" r:id="rId7"/>
      <w:pgSz w:w="12240" w:h="15840" w:orient="portrait"/>
      <w:pgMar w:top="1000" w:right="1080" w:bottom="100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4" w:sz="6" w:space="6"/>
      </w:pBdr>
      <w:spacing w:after="0" w:before="60"/>
    </w:pPr>
    <w:r>
      <w:rPr>
        <w:rFonts w:ascii="Calibri" w:cs="Calibri" w:eastAsia="Calibri" w:hAnsi="Calibri"/>
        <w:b/>
        <w:bCs/>
        <w:color w:val="1B3A6B"/>
        <w:sz w:val="15"/>
        <w:szCs w:val="15"/>
      </w:rPr>
      <w:t xml:space="preserve">Triun Construction &amp; Engineering</w:t>
    </w:r>
    <w:r>
      <w:rPr>
        <w:rFonts w:ascii="Calibri" w:cs="Calibri" w:eastAsia="Calibri" w:hAnsi="Calibri"/>
        <w:color w:val="5A5A5A"/>
        <w:sz w:val="15"/>
        <w:szCs w:val="15"/>
      </w:rPr>
      <w:t xml:space="preserve">   |   H2SEP — Eagle Pass, TX   |   Exterior Window Perimeter Sealant Selection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Calibri" w:cs="Calibri" w:eastAsia="Calibri" w:hAnsi="Calibri"/>
        <w:color w:val="2E5FA3"/>
      </w:r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1B3A6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H2SEP — Exterior Window Perimeter Sealant Selection</dc:title>
  <dc:creator>Triun Construction &amp; Engineering</dc:creator>
  <dc:description>Sealant product selection and submittal reference per Quaker IG-001 v1.8</dc:description>
  <cp:lastModifiedBy>Un-named</cp:lastModifiedBy>
  <cp:revision>1</cp:revision>
  <dcterms:created xsi:type="dcterms:W3CDTF">2026-08-13T22:30:21.288Z</dcterms:created>
  <dcterms:modified xsi:type="dcterms:W3CDTF">2026-08-13T22:30:21.289Z</dcterms:modified>
</cp:coreProperties>
</file>

<file path=docProps/custom.xml><?xml version="1.0" encoding="utf-8"?>
<Properties xmlns="http://schemas.openxmlformats.org/officeDocument/2006/custom-properties" xmlns:vt="http://schemas.openxmlformats.org/officeDocument/2006/docPropsVTypes"/>
</file>