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 w:line="276"/>
      </w:pPr>
      <w:r>
        <w:rPr>
          <w:rFonts w:ascii="Consolas" w:cs="Consolas" w:eastAsia="Consolas" w:hAnsi="Consolas"/>
          <w:b/>
          <w:bCs/>
          <w:color w:val="2D6CA8"/>
          <w:spacing w:val="24"/>
          <w:sz w:val="15"/>
          <w:szCs w:val="15"/>
        </w:rPr>
        <w:t xml:space="preserve">TRIUN CONSTRUCTION &amp; ENGINEERING</w:t>
      </w:r>
      <w:r>
        <w:rPr>
          <w:rFonts w:ascii="Consolas" w:cs="Consolas" w:eastAsia="Consolas" w:hAnsi="Consolas"/>
          <w:color w:val="6B7A89"/>
          <w:spacing w:val="24"/>
          <w:sz w:val="15"/>
          <w:szCs w:val="15"/>
        </w:rPr>
        <w:t xml:space="preserve">   ·   H2SEP  ·  PRICED 13 AUG 2026</w:t>
      </w:r>
    </w:p>
    <w:p>
      <w:pPr>
        <w:spacing w:after="100" w:before="0" w:line="300"/>
      </w:pPr>
      <w:r>
        <w:rPr>
          <w:rFonts w:ascii="Georgia" w:cs="Georgia" w:eastAsia="Georgia" w:hAnsi="Georgia"/>
          <w:b/>
          <w:bCs/>
          <w:color w:val="0E1A28"/>
          <w:sz w:val="40"/>
          <w:szCs w:val="40"/>
        </w:rPr>
        <w:t xml:space="preserve">Domestic Water Booster Pump — Weighted Comparison</w:t>
      </w:r>
    </w:p>
    <w:p>
      <w:pPr>
        <w:pBdr>
          <w:bottom w:val="single" w:color="0E1A28" w:sz="12" w:space="12"/>
        </w:pBdr>
        <w:spacing w:after="200" w:before="0" w:line="276"/>
      </w:pPr>
      <w:r>
        <w:rPr>
          <w:rFonts w:ascii="Calibri" w:cs="Calibri" w:eastAsia="Calibri" w:hAnsi="Calibri"/>
          <w:color w:val="41505F"/>
          <w:sz w:val="21"/>
          <w:szCs w:val="21"/>
        </w:rPr>
        <w:t xml:space="preserve">Home2 Suites by Hilton, Eagle Pass TX — 115 keys over four floors. Grundfos CMBE TWIN 10-54 against the A.Y. McDonald DuraMAC dual-mode duplex, scored on nine weighted criteria.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3CEDA" w:sz="4"/>
              <w:left w:val="single" w:color="2D6CA8" w:sz="18"/>
              <w:bottom w:val="single" w:color="C3CEDA" w:sz="4"/>
              <w:right w:val="single" w:color="C3CEDA" w:sz="4"/>
            </w:tcBorders>
            <w:shd w:fill="F2F5F8" w:color="auto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60" w:before="0" w:line="276"/>
            </w:pPr>
            <w:r>
              <w:rPr>
                <w:rFonts w:ascii="Consolas" w:cs="Consolas" w:eastAsia="Consolas" w:hAnsi="Consolas"/>
                <w:caps/>
                <w:color w:val="6B7A89"/>
                <w:spacing w:val="24"/>
                <w:sz w:val="15"/>
                <w:szCs w:val="15"/>
              </w:rPr>
              <w:t xml:space="preserve">Recommendation</w:t>
            </w:r>
          </w:p>
          <w:p>
            <w:pPr>
              <w:spacing w:after="140" w:before="0" w:line="288"/>
            </w:pPr>
            <w:r>
              <w:rPr>
                <w:rFonts w:ascii="Georgia" w:cs="Georgia" w:eastAsia="Georgia" w:hAnsi="Georgia"/>
                <w:b/>
                <w:bCs/>
                <w:color w:val="0E1A28"/>
                <w:sz w:val="26"/>
                <w:szCs w:val="26"/>
              </w:rPr>
              <w:t xml:space="preserve">Grundfos — more pump, less money, sooner. But verify the sizing before either PO goes out.</w:t>
            </w:r>
          </w:p>
          <w:tbl>
            <w:tblPr>
              <w:tblW w:type="dxa" w:w="9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0"/>
              <w:gridCol w:w="4800"/>
            </w:tblGrid>
            <w:tr>
              <w:tc>
                <w:tcPr>
                  <w:tcW w:type="dxa" w:w="4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200"/>
                  </w:tcMar>
                </w:tcPr>
                <w:p>
                  <w:pPr>
                    <w:spacing w:after="20" w:before="0" w:line="32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2D6CA8"/>
                      <w:sz w:val="36"/>
                      <w:szCs w:val="36"/>
                    </w:rPr>
                    <w:t xml:space="preserve">8.55</w:t>
                  </w:r>
                </w:p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41505F"/>
                      <w:sz w:val="18"/>
                      <w:szCs w:val="18"/>
                    </w:rPr>
                    <w:t xml:space="preserve">Grundfos CMBE TWIN 10-54</w:t>
                  </w:r>
                </w:p>
              </w:tc>
              <w:tc>
                <w:tcPr>
                  <w:tcW w:type="dxa" w:w="4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200"/>
                  </w:tcMar>
                </w:tcPr>
                <w:p>
                  <w:pPr>
                    <w:spacing w:after="20" w:before="0" w:line="32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66A18"/>
                      <w:sz w:val="36"/>
                      <w:szCs w:val="36"/>
                    </w:rPr>
                    <w:t xml:space="preserve">6.13</w:t>
                  </w:r>
                </w:p>
                <w:p>
                  <w:pPr>
                    <w:spacing w:after="0" w:before="0" w:line="230"/>
                  </w:pPr>
                  <w:r>
                    <w:rPr>
                      <w:rFonts w:ascii="Calibri" w:cs="Calibri" w:eastAsia="Calibri" w:hAnsi="Calibri"/>
                      <w:color w:val="41505F"/>
                      <w:sz w:val="18"/>
                      <w:szCs w:val="18"/>
                    </w:rPr>
                    <w:t xml:space="preserve">A.Y. McDonald DuraMAC</w:t>
                  </w:r>
                </w:p>
              </w:tc>
            </w:tr>
          </w:tbl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0E1A28"/>
                <w:sz w:val="8"/>
                <w:szCs w:val="8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1A28"/>
                <w:sz w:val="19"/>
                <w:szCs w:val="19"/>
              </w:rPr>
              <w:t xml:space="preserve">Saves $1,908.56 </w:t>
            </w:r>
            <w:r>
              <w:rPr>
                <w:rFonts w:ascii="Calibri" w:cs="Calibri" w:eastAsia="Calibri" w:hAnsi="Calibri"/>
                <w:color w:val="41505F"/>
                <w:sz w:val="19"/>
                <w:szCs w:val="19"/>
              </w:rPr>
              <w:t xml:space="preserve">(12.9%)   ·   </w:t>
            </w:r>
            <w:r>
              <w:rPr>
                <w:rFonts w:ascii="Calibri" w:cs="Calibri" w:eastAsia="Calibri" w:hAnsi="Calibri"/>
                <w:b/>
                <w:bCs/>
                <w:color w:val="0E1A28"/>
                <w:sz w:val="19"/>
                <w:szCs w:val="19"/>
              </w:rPr>
              <w:t xml:space="preserve">~10 days </w:t>
            </w:r>
            <w:r>
              <w:rPr>
                <w:rFonts w:ascii="Calibri" w:cs="Calibri" w:eastAsia="Calibri" w:hAnsi="Calibri"/>
                <w:color w:val="41505F"/>
                <w:sz w:val="19"/>
                <w:szCs w:val="19"/>
              </w:rPr>
              <w:t xml:space="preserve">sooner   ·   </w:t>
            </w:r>
            <w:r>
              <w:rPr>
                <w:rFonts w:ascii="Calibri" w:cs="Calibri" w:eastAsia="Calibri" w:hAnsi="Calibri"/>
                <w:b/>
                <w:bCs/>
                <w:color w:val="0E1A28"/>
                <w:sz w:val="19"/>
                <w:szCs w:val="19"/>
              </w:rPr>
              <w:t xml:space="preserve">+60% </w:t>
            </w:r>
            <w:r>
              <w:rPr>
                <w:rFonts w:ascii="Calibri" w:cs="Calibri" w:eastAsia="Calibri" w:hAnsi="Calibri"/>
                <w:color w:val="41505F"/>
                <w:sz w:val="19"/>
                <w:szCs w:val="19"/>
              </w:rPr>
              <w:t xml:space="preserve">boost at 120 GPM   ·   </w:t>
            </w:r>
            <w:r>
              <w:rPr>
                <w:rFonts w:ascii="Calibri" w:cs="Calibri" w:eastAsia="Calibri" w:hAnsi="Calibri"/>
                <w:b/>
                <w:bCs/>
                <w:color w:val="0E1A28"/>
                <w:sz w:val="19"/>
                <w:szCs w:val="19"/>
              </w:rPr>
              <w:t xml:space="preserve">24 mo </w:t>
            </w:r>
            <w:r>
              <w:rPr>
                <w:rFonts w:ascii="Calibri" w:cs="Calibri" w:eastAsia="Calibri" w:hAnsi="Calibri"/>
                <w:color w:val="41505F"/>
                <w:sz w:val="19"/>
                <w:szCs w:val="19"/>
              </w:rPr>
              <w:t xml:space="preserve">warranty vs 12   ·   </w:t>
            </w:r>
            <w:r>
              <w:rPr>
                <w:rFonts w:ascii="Calibri" w:cs="Calibri" w:eastAsia="Calibri" w:hAnsi="Calibri"/>
                <w:b/>
                <w:bCs/>
                <w:color w:val="0E1A28"/>
                <w:sz w:val="19"/>
                <w:szCs w:val="19"/>
              </w:rPr>
              <w:t xml:space="preserve">~½ </w:t>
            </w:r>
            <w:r>
              <w:rPr>
                <w:rFonts w:ascii="Calibri" w:cs="Calibri" w:eastAsia="Calibri" w:hAnsi="Calibri"/>
                <w:color w:val="41505F"/>
                <w:sz w:val="19"/>
                <w:szCs w:val="19"/>
              </w:rPr>
              <w:t xml:space="preserve">the floor area</w:t>
            </w:r>
          </w:p>
        </w:tc>
      </w:tr>
    </w:tbl>
    <w:p>
      <w:pPr>
        <w:pStyle w:val="Heading1"/>
        <w:pBdr>
          <w:top w:val="single" w:color="C3CEDA" w:sz="6" w:space="10"/>
        </w:pBdr>
        <w:spacing w:after="160" w:before="360"/>
      </w:pPr>
      <w:r>
        <w:rPr>
          <w:rFonts w:ascii="Georgia" w:cs="Georgia" w:eastAsia="Georgia" w:hAnsi="Georgia"/>
          <w:b/>
          <w:bCs/>
          <w:color w:val="0E1A28"/>
          <w:sz w:val="28"/>
          <w:szCs w:val="28"/>
        </w:rPr>
        <w:t xml:space="preserve">1.  The two quotes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40"/>
        <w:gridCol w:w="3740"/>
      </w:tblGrid>
      <w:tr>
        <w:trPr>
          <w:tblHeader/>
        </w:trPr>
        <w:tc>
          <w:tcPr>
            <w:tcW w:type="dxa" w:w="260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Consolas" w:hAnsi="Consolas"/>
                <w:caps/>
                <w:color w:val="41505F"/>
                <w:spacing w:val="20"/>
                <w:sz w:val="15"/>
                <w:szCs w:val="15"/>
              </w:rPr>
              <w:t xml:space="preserve"/>
            </w:r>
          </w:p>
        </w:tc>
        <w:tc>
          <w:tcPr>
            <w:tcW w:type="dxa" w:w="374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aps/>
                <w:color w:val="41505F"/>
                <w:spacing w:val="20"/>
                <w:sz w:val="15"/>
                <w:szCs w:val="15"/>
              </w:rPr>
              <w:t xml:space="preserve">Grundfos</w:t>
            </w:r>
          </w:p>
        </w:tc>
        <w:tc>
          <w:tcPr>
            <w:tcW w:type="dxa" w:w="374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aps/>
                <w:color w:val="41505F"/>
                <w:spacing w:val="20"/>
                <w:sz w:val="15"/>
                <w:szCs w:val="15"/>
              </w:rPr>
              <w:t xml:space="preserve">A.Y. McDonald</w:t>
            </w:r>
          </w:p>
        </w:tc>
      </w:tr>
      <w:tr>
        <w:tc>
          <w:tcPr>
            <w:tcW w:type="dxa" w:w="26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41505F"/>
                <w:sz w:val="18"/>
                <w:szCs w:val="18"/>
              </w:rPr>
              <w:t xml:space="preserve">Model</w:t>
            </w:r>
          </w:p>
        </w:tc>
        <w:tc>
          <w:tcPr>
            <w:tcW w:type="dxa" w:w="374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E1A28"/>
                <w:sz w:val="19"/>
                <w:szCs w:val="19"/>
              </w:rPr>
              <w:t xml:space="preserve">CMBE TWIN 10-54</w:t>
            </w:r>
          </w:p>
        </w:tc>
        <w:tc>
          <w:tcPr>
            <w:tcW w:type="dxa" w:w="374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E1A28"/>
                <w:sz w:val="19"/>
                <w:szCs w:val="19"/>
              </w:rPr>
              <w:t xml:space="preserve">DuraMAC 17044C120PC2-D</w:t>
            </w:r>
          </w:p>
        </w:tc>
      </w:tr>
      <w:tr>
        <w:tc>
          <w:tcPr>
            <w:tcW w:type="dxa" w:w="26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41505F"/>
                <w:sz w:val="18"/>
                <w:szCs w:val="18"/>
              </w:rPr>
              <w:t xml:space="preserve">SKU</w:t>
            </w:r>
          </w:p>
        </w:tc>
        <w:tc>
          <w:tcPr>
            <w:tcW w:type="dxa" w:w="374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E1A28"/>
                <w:sz w:val="19"/>
                <w:szCs w:val="19"/>
              </w:rPr>
              <w:t xml:space="preserve">99503875</w:t>
            </w:r>
          </w:p>
        </w:tc>
        <w:tc>
          <w:tcPr>
            <w:tcW w:type="dxa" w:w="374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E1A28"/>
                <w:sz w:val="19"/>
                <w:szCs w:val="19"/>
              </w:rPr>
              <w:t xml:space="preserve">AYM17044C120PC2-D  (6011-002)</w:t>
            </w:r>
          </w:p>
        </w:tc>
      </w:tr>
      <w:tr>
        <w:tc>
          <w:tcPr>
            <w:tcW w:type="dxa" w:w="26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41505F"/>
                <w:sz w:val="18"/>
                <w:szCs w:val="18"/>
              </w:rPr>
              <w:t xml:space="preserve">Price with tax</w:t>
            </w:r>
          </w:p>
        </w:tc>
        <w:tc>
          <w:tcPr>
            <w:tcW w:type="dxa" w:w="374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0E1A28"/>
                <w:sz w:val="19"/>
                <w:szCs w:val="19"/>
              </w:rPr>
              <w:t xml:space="preserve">$12,922.39   (free freight)</w:t>
            </w:r>
          </w:p>
        </w:tc>
        <w:tc>
          <w:tcPr>
            <w:tcW w:type="dxa" w:w="374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0E1A28"/>
                <w:sz w:val="19"/>
                <w:szCs w:val="19"/>
              </w:rPr>
              <w:t xml:space="preserve">$14,830.95</w:t>
            </w:r>
          </w:p>
        </w:tc>
      </w:tr>
      <w:tr>
        <w:tc>
          <w:tcPr>
            <w:tcW w:type="dxa" w:w="26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41505F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374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E1A28"/>
                <w:sz w:val="19"/>
                <w:szCs w:val="19"/>
              </w:rPr>
              <w:t xml:space="preserve">10 in stock — 17–19 Aug 2026</w:t>
            </w:r>
          </w:p>
        </w:tc>
        <w:tc>
          <w:tcPr>
            <w:tcW w:type="dxa" w:w="374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E1A28"/>
                <w:sz w:val="19"/>
                <w:szCs w:val="19"/>
              </w:rPr>
              <w:t xml:space="preserve">Ships within 2 weeks</w:t>
            </w:r>
          </w:p>
        </w:tc>
      </w:tr>
    </w:tbl>
    <w:p>
      <w:pPr>
        <w:pStyle w:val="Heading1"/>
        <w:pBdr>
          <w:top w:val="single" w:color="C3CEDA" w:sz="6" w:space="10"/>
        </w:pBdr>
        <w:spacing w:after="160" w:before="360"/>
      </w:pPr>
      <w:r>
        <w:rPr>
          <w:rFonts w:ascii="Georgia" w:cs="Georgia" w:eastAsia="Georgia" w:hAnsi="Georgia"/>
          <w:b/>
          <w:bCs/>
          <w:color w:val="0E1A28"/>
          <w:sz w:val="28"/>
          <w:szCs w:val="28"/>
        </w:rPr>
        <w:t xml:space="preserve">2.  The headline numbers are quoted from opposite ends of the curve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8"/>
          <w:sz w:val="20"/>
          <w:szCs w:val="20"/>
        </w:rPr>
        <w:t xml:space="preserve">This is the single most important thing in this comparison, because the two listings invite a straight comparison that is flatly wrong.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41505F"/>
          <w:sz w:val="19"/>
          <w:szCs w:val="19"/>
        </w:rPr>
        <w:t xml:space="preserve">SupplyHouse advertises the Grundfos at </w:t>
      </w: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58 ft of head (≈25 psi)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. That is head at </w:t>
      </w:r>
      <w:r>
        <w:rPr>
          <w:rFonts w:ascii="Calibri" w:cs="Calibri" w:eastAsia="Calibri" w:hAnsi="Calibri"/>
          <w:i/>
          <w:iCs/>
          <w:color w:val="41505F"/>
          <w:sz w:val="19"/>
          <w:szCs w:val="19"/>
        </w:rPr>
        <w:t xml:space="preserve">runout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— the far right end of the curve, at maximum flow.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41505F"/>
          <w:sz w:val="19"/>
          <w:szCs w:val="19"/>
        </w:rPr>
        <w:t xml:space="preserve">A.Y. McDonald advertises </w:t>
      </w: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44 PSI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. That is boost at </w:t>
      </w:r>
      <w:r>
        <w:rPr>
          <w:rFonts w:ascii="Calibri" w:cs="Calibri" w:eastAsia="Calibri" w:hAnsi="Calibri"/>
          <w:i/>
          <w:iCs/>
          <w:color w:val="41505F"/>
          <w:sz w:val="19"/>
          <w:szCs w:val="19"/>
        </w:rPr>
        <w:t xml:space="preserve">zero flow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— the far left end. Their own model nomenclature confirms it: in </w:t>
      </w:r>
      <w:r>
        <w:rPr>
          <w:rFonts w:ascii="Consolas" w:cs="Consolas" w:eastAsia="Consolas" w:hAnsi="Consolas"/>
          <w:color w:val="0E1A28"/>
          <w:sz w:val="18"/>
          <w:szCs w:val="18"/>
        </w:rPr>
        <w:t xml:space="preserve">17044C120PC2-D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, the catalog defines the “044” field as “Water Pressure at 0 GPM”.</w:t>
      </w:r>
    </w:p>
    <w:p>
      <w:pPr>
        <w:spacing w:after="120" w:before="80" w:line="276"/>
      </w:pPr>
      <w:r>
        <w:rPr>
          <w:rFonts w:ascii="Calibri" w:cs="Calibri" w:eastAsia="Calibri" w:hAnsi="Calibri"/>
          <w:color w:val="0E1A28"/>
          <w:sz w:val="20"/>
          <w:szCs w:val="20"/>
        </w:rPr>
        <w:t xml:space="preserve">Read at face value, the DuraMAC looks roughly 75% stronger. Compared correctly, the opposite is true by a wide margin.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0E1A28"/>
          <w:sz w:val="23"/>
          <w:szCs w:val="23"/>
        </w:rPr>
        <w:t xml:space="preserve">Boost against flow, both pumps running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1505F"/>
          <w:sz w:val="18"/>
          <w:szCs w:val="18"/>
        </w:rPr>
        <w:t xml:space="preserve">Digitized from the vector geometry of each manufacturer’s published curve. Accurate to roughly ±1 psi on top of the makers’ own ISO 9906:2012 3B tolerance.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Consolas" w:hAnsi="Consolas"/>
                <w:caps/>
                <w:color w:val="41505F"/>
                <w:spacing w:val="20"/>
                <w:sz w:val="15"/>
                <w:szCs w:val="15"/>
              </w:rPr>
              <w:t xml:space="preserve">Flow (GPM)</w:t>
            </w:r>
          </w:p>
        </w:tc>
        <w:tc>
          <w:tcPr>
            <w:tcW w:type="dxa" w:w="252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aps/>
                <w:color w:val="41505F"/>
                <w:spacing w:val="20"/>
                <w:sz w:val="15"/>
                <w:szCs w:val="15"/>
              </w:rPr>
              <w:t xml:space="preserve">Grundfos (psi)</w:t>
            </w:r>
          </w:p>
        </w:tc>
        <w:tc>
          <w:tcPr>
            <w:tcW w:type="dxa" w:w="252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aps/>
                <w:color w:val="41505F"/>
                <w:spacing w:val="20"/>
                <w:sz w:val="15"/>
                <w:szCs w:val="15"/>
              </w:rPr>
              <w:t xml:space="preserve">A.Y. McDonald (psi)</w:t>
            </w:r>
          </w:p>
        </w:tc>
        <w:tc>
          <w:tcPr>
            <w:tcW w:type="dxa" w:w="252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aps/>
                <w:color w:val="41505F"/>
                <w:spacing w:val="20"/>
                <w:sz w:val="15"/>
                <w:szCs w:val="15"/>
              </w:rPr>
              <w:t xml:space="preserve">Advantage</w:t>
            </w:r>
          </w:p>
        </w:tc>
      </w:tr>
      <w:tr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E1A28"/>
                <w:sz w:val="19"/>
                <w:szCs w:val="19"/>
              </w:rPr>
              <w:t xml:space="preserve">0</w:t>
            </w:r>
          </w:p>
        </w:tc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2D6CA8"/>
                <w:sz w:val="19"/>
                <w:szCs w:val="19"/>
              </w:rPr>
              <w:t xml:space="preserve">79.3</w:t>
            </w:r>
          </w:p>
        </w:tc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A66A18"/>
                <w:sz w:val="19"/>
                <w:szCs w:val="19"/>
              </w:rPr>
              <w:t xml:space="preserve">44.3</w:t>
            </w:r>
          </w:p>
        </w:tc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+35.0  (79%)</w:t>
            </w:r>
          </w:p>
        </w:tc>
      </w:tr>
      <w:tr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E1A28"/>
                <w:sz w:val="19"/>
                <w:szCs w:val="19"/>
              </w:rPr>
              <w:t xml:space="preserve">20</w:t>
            </w:r>
          </w:p>
        </w:tc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2D6CA8"/>
                <w:sz w:val="19"/>
                <w:szCs w:val="19"/>
              </w:rPr>
              <w:t xml:space="preserve">76.5</w:t>
            </w:r>
          </w:p>
        </w:tc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A66A18"/>
                <w:sz w:val="19"/>
                <w:szCs w:val="19"/>
              </w:rPr>
              <w:t xml:space="preserve">41.9</w:t>
            </w:r>
          </w:p>
        </w:tc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+34.6  (83%)</w:t>
            </w:r>
          </w:p>
        </w:tc>
      </w:tr>
      <w:tr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E1A28"/>
                <w:sz w:val="19"/>
                <w:szCs w:val="19"/>
              </w:rPr>
              <w:t xml:space="preserve">40</w:t>
            </w:r>
          </w:p>
        </w:tc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2D6CA8"/>
                <w:sz w:val="19"/>
                <w:szCs w:val="19"/>
              </w:rPr>
              <w:t xml:space="preserve">64.4</w:t>
            </w:r>
          </w:p>
        </w:tc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A66A18"/>
                <w:sz w:val="19"/>
                <w:szCs w:val="19"/>
              </w:rPr>
              <w:t xml:space="preserve">39.1</w:t>
            </w:r>
          </w:p>
        </w:tc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+25.3  (65%)</w:t>
            </w:r>
          </w:p>
        </w:tc>
      </w:tr>
      <w:tr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E1A28"/>
                <w:sz w:val="19"/>
                <w:szCs w:val="19"/>
              </w:rPr>
              <w:t xml:space="preserve">60</w:t>
            </w:r>
          </w:p>
        </w:tc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2D6CA8"/>
                <w:sz w:val="19"/>
                <w:szCs w:val="19"/>
              </w:rPr>
              <w:t xml:space="preserve">54.4</w:t>
            </w:r>
          </w:p>
        </w:tc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A66A18"/>
                <w:sz w:val="19"/>
                <w:szCs w:val="19"/>
              </w:rPr>
              <w:t xml:space="preserve">35.7</w:t>
            </w:r>
          </w:p>
        </w:tc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+18.7  (52%)</w:t>
            </w:r>
          </w:p>
        </w:tc>
      </w:tr>
      <w:tr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E1A28"/>
                <w:sz w:val="19"/>
                <w:szCs w:val="19"/>
              </w:rPr>
              <w:t xml:space="preserve">80</w:t>
            </w:r>
          </w:p>
        </w:tc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2D6CA8"/>
                <w:sz w:val="19"/>
                <w:szCs w:val="19"/>
              </w:rPr>
              <w:t xml:space="preserve">46.0</w:t>
            </w:r>
          </w:p>
        </w:tc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A66A18"/>
                <w:sz w:val="19"/>
                <w:szCs w:val="19"/>
              </w:rPr>
              <w:t xml:space="preserve">31.3</w:t>
            </w:r>
          </w:p>
        </w:tc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+14.7  (47%)</w:t>
            </w:r>
          </w:p>
        </w:tc>
      </w:tr>
      <w:tr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E1A28"/>
                <w:sz w:val="19"/>
                <w:szCs w:val="19"/>
              </w:rPr>
              <w:t xml:space="preserve">100</w:t>
            </w:r>
          </w:p>
        </w:tc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2D6CA8"/>
                <w:sz w:val="19"/>
                <w:szCs w:val="19"/>
              </w:rPr>
              <w:t xml:space="preserve">38.7</w:t>
            </w:r>
          </w:p>
        </w:tc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A66A18"/>
                <w:sz w:val="19"/>
                <w:szCs w:val="19"/>
              </w:rPr>
              <w:t xml:space="preserve">26.0</w:t>
            </w:r>
          </w:p>
        </w:tc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+12.7  (49%)</w:t>
            </w:r>
          </w:p>
        </w:tc>
      </w:tr>
      <w:tr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0E1A28"/>
                <w:sz w:val="19"/>
                <w:szCs w:val="19"/>
              </w:rPr>
              <w:t xml:space="preserve">120</w:t>
            </w:r>
          </w:p>
        </w:tc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2D6CA8"/>
                <w:sz w:val="19"/>
                <w:szCs w:val="19"/>
              </w:rPr>
              <w:t xml:space="preserve">31.9</w:t>
            </w:r>
          </w:p>
        </w:tc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A66A18"/>
                <w:sz w:val="19"/>
                <w:szCs w:val="19"/>
              </w:rPr>
              <w:t xml:space="preserve">19.9</w:t>
            </w:r>
          </w:p>
        </w:tc>
        <w:tc>
          <w:tcPr>
            <w:tcW w:type="dxa" w:w="252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+12.0  (60%)</w:t>
            </w:r>
          </w:p>
        </w:tc>
      </w:tr>
    </w:tbl>
    <w:p>
      <w:pPr>
        <w:spacing w:after="120" w:before="160" w:line="276"/>
      </w:pPr>
      <w:r>
        <w:rPr>
          <w:rFonts w:ascii="Calibri" w:cs="Calibri" w:eastAsia="Calibri" w:hAnsi="Calibri"/>
          <w:color w:val="0E1A28"/>
          <w:sz w:val="20"/>
          <w:szCs w:val="20"/>
        </w:rPr>
        <w:t xml:space="preserve">The Grundfos delivers 47–83% more boost at every point on the curve, for $1,909 less. Cost per psi of boost at 120 GPM: $405 (Grundfos) against $745 (A.Y. McDonald).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8"/>
          <w:sz w:val="20"/>
          <w:szCs w:val="20"/>
        </w:rPr>
        <w:t xml:space="preserve">One important asymmetry: the Grundfos trace is its full-speed envelope. Each pump carries an integrated variable frequency drive, so it holds any setpoint beneath that line at constant pressure. The DuraMAC is fixed-speed — its delivered pressure rides its curve as demand changes.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0E1A28"/>
          <w:sz w:val="23"/>
          <w:szCs w:val="23"/>
        </w:rPr>
        <w:t xml:space="preserve">Figure 1 — Pressure boost against flow</w:t>
      </w:r>
    </w:p>
    <w:p>
      <w:pPr>
        <w:spacing w:after="80" w:before="60"/>
      </w:pPr>
      <w:r>
        <w:drawing>
          <wp:inline distT="0" distB="0" distL="0" distR="0">
            <wp:extent cx="600075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</w:pPr>
      <w:r>
        <w:rPr>
          <w:rFonts w:ascii="Calibri" w:cs="Calibri" w:eastAsia="Calibri" w:hAnsi="Calibri"/>
          <w:color w:val="6B7A89"/>
          <w:sz w:val="17"/>
          <w:szCs w:val="17"/>
        </w:rPr>
        <w:t xml:space="preserve">Curves digitized from the Grundfos CMBE / CMBE TWIN data booklet (60 Hz North America, ISO 9906:2012 3B) and the A.Y. McDonald DuraMAC catalog, rev. 11-15. Both published curves stop near 120 GPM.</w:t>
      </w:r>
    </w:p>
    <w:p>
      <w:pPr>
        <w:pStyle w:val="Heading1"/>
        <w:pBdr>
          <w:top w:val="single" w:color="C3CEDA" w:sz="6" w:space="10"/>
        </w:pBdr>
        <w:spacing w:after="160" w:before="360"/>
      </w:pPr>
      <w:r>
        <w:rPr>
          <w:rFonts w:ascii="Georgia" w:cs="Georgia" w:eastAsia="Georgia" w:hAnsi="Georgia"/>
          <w:b/>
          <w:bCs/>
          <w:color w:val="0E1A28"/>
          <w:sz w:val="28"/>
          <w:szCs w:val="28"/>
        </w:rPr>
        <w:t xml:space="preserve">3.  Weighted decision matrix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E1A28"/>
          <w:sz w:val="20"/>
          <w:szCs w:val="20"/>
        </w:rPr>
        <w:t xml:space="preserve">Scores 1–10. Weights reflect operating-hotel cost: a booster that cannot hold pressure generates guest complaints for twenty years, while a $1,900 price delta is a rounding error on the FF&amp;E budget. “Swing” is the weighted point contribution to the gap.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1300"/>
        <w:gridCol w:w="1600"/>
        <w:gridCol w:w="1600"/>
        <w:gridCol w:w="1500"/>
      </w:tblGrid>
      <w:tr>
        <w:trPr>
          <w:tblHeader/>
        </w:trPr>
        <w:tc>
          <w:tcPr>
            <w:tcW w:type="dxa" w:w="408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Consolas" w:hAnsi="Consolas"/>
                <w:caps/>
                <w:color w:val="41505F"/>
                <w:spacing w:val="20"/>
                <w:sz w:val="15"/>
                <w:szCs w:val="15"/>
              </w:rPr>
              <w:t xml:space="preserve">Criterion</w:t>
            </w:r>
          </w:p>
        </w:tc>
        <w:tc>
          <w:tcPr>
            <w:tcW w:type="dxa" w:w="130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aps/>
                <w:color w:val="41505F"/>
                <w:spacing w:val="20"/>
                <w:sz w:val="15"/>
                <w:szCs w:val="15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aps/>
                <w:color w:val="41505F"/>
                <w:spacing w:val="20"/>
                <w:sz w:val="15"/>
                <w:szCs w:val="15"/>
              </w:rPr>
              <w:t xml:space="preserve">Grundfos</w:t>
            </w:r>
          </w:p>
        </w:tc>
        <w:tc>
          <w:tcPr>
            <w:tcW w:type="dxa" w:w="160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aps/>
                <w:color w:val="41505F"/>
                <w:spacing w:val="20"/>
                <w:sz w:val="15"/>
                <w:szCs w:val="15"/>
              </w:rPr>
              <w:t xml:space="preserve">A.Y. McD</w:t>
            </w:r>
          </w:p>
        </w:tc>
        <w:tc>
          <w:tcPr>
            <w:tcW w:type="dxa" w:w="150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aps/>
                <w:color w:val="41505F"/>
                <w:spacing w:val="20"/>
                <w:sz w:val="15"/>
                <w:szCs w:val="15"/>
              </w:rPr>
              <w:t xml:space="preserve">Swing</w:t>
            </w:r>
          </w:p>
        </w:tc>
      </w:tr>
      <w:tr>
        <w:tc>
          <w:tcPr>
            <w:tcW w:type="dxa" w:w="40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0" w:line="250"/>
            </w:pPr>
            <w:r>
              <w:rPr>
                <w:rFonts w:ascii="Calibri" w:cs="Calibri" w:eastAsia="Calibri" w:hAnsi="Calibri"/>
                <w:color w:val="0E1A28"/>
                <w:sz w:val="19"/>
                <w:szCs w:val="19"/>
              </w:rPr>
              <w:t xml:space="preserve">Hydraulic capability at design flow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color w:val="6B7A89"/>
                <w:sz w:val="16"/>
                <w:szCs w:val="16"/>
              </w:rPr>
              <w:t xml:space="preserve">47–83% more boost across the curve</w:t>
            </w:r>
          </w:p>
        </w:tc>
        <w:tc>
          <w:tcPr>
            <w:tcW w:type="dxa" w:w="13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2D6CA8"/>
                <w:sz w:val="19"/>
                <w:szCs w:val="19"/>
              </w:rPr>
              <w:t xml:space="preserve">9.0</w:t>
            </w:r>
          </w:p>
        </w:tc>
        <w:tc>
          <w:tcPr>
            <w:tcW w:type="dxa" w:w="16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E1A28"/>
                <w:sz w:val="19"/>
                <w:szCs w:val="19"/>
              </w:rPr>
              <w:t xml:space="preserve">6.0</w:t>
            </w:r>
          </w:p>
        </w:tc>
        <w:tc>
          <w:tcPr>
            <w:tcW w:type="dxa" w:w="15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+0.75</w:t>
            </w:r>
          </w:p>
        </w:tc>
      </w:tr>
      <w:tr>
        <w:tc>
          <w:tcPr>
            <w:tcW w:type="dxa" w:w="40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0" w:line="250"/>
            </w:pPr>
            <w:r>
              <w:rPr>
                <w:rFonts w:ascii="Calibri" w:cs="Calibri" w:eastAsia="Calibri" w:hAnsi="Calibri"/>
                <w:color w:val="0E1A28"/>
                <w:sz w:val="19"/>
                <w:szCs w:val="19"/>
              </w:rPr>
              <w:t xml:space="preserve">Delivered pressure stability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color w:val="6B7A89"/>
                <w:sz w:val="16"/>
                <w:szCs w:val="16"/>
              </w:rPr>
              <w:t xml:space="preserve">VFD holds setpoint vs a 24 psi swing</w:t>
            </w:r>
          </w:p>
        </w:tc>
        <w:tc>
          <w:tcPr>
            <w:tcW w:type="dxa" w:w="13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2D6CA8"/>
                <w:sz w:val="19"/>
                <w:szCs w:val="19"/>
              </w:rPr>
              <w:t xml:space="preserve">9.0</w:t>
            </w:r>
          </w:p>
        </w:tc>
        <w:tc>
          <w:tcPr>
            <w:tcW w:type="dxa" w:w="16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E1A28"/>
                <w:sz w:val="19"/>
                <w:szCs w:val="19"/>
              </w:rPr>
              <w:t xml:space="preserve">5.0</w:t>
            </w:r>
          </w:p>
        </w:tc>
        <w:tc>
          <w:tcPr>
            <w:tcW w:type="dxa" w:w="15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+0.60</w:t>
            </w:r>
          </w:p>
        </w:tc>
      </w:tr>
      <w:tr>
        <w:tc>
          <w:tcPr>
            <w:tcW w:type="dxa" w:w="40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0" w:line="250"/>
            </w:pPr>
            <w:r>
              <w:rPr>
                <w:rFonts w:ascii="Calibri" w:cs="Calibri" w:eastAsia="Calibri" w:hAnsi="Calibri"/>
                <w:color w:val="0E1A28"/>
                <w:sz w:val="19"/>
                <w:szCs w:val="19"/>
              </w:rPr>
              <w:t xml:space="preserve">Reliability, redundancy, wear-sharing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color w:val="6B7A89"/>
                <w:sz w:val="16"/>
                <w:szCs w:val="16"/>
              </w:rPr>
              <w:t xml:space="preserve">Documented alternation vs simpler hardware</w:t>
            </w:r>
          </w:p>
        </w:tc>
        <w:tc>
          <w:tcPr>
            <w:tcW w:type="dxa" w:w="13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2D6CA8"/>
                <w:sz w:val="19"/>
                <w:szCs w:val="19"/>
              </w:rPr>
              <w:t xml:space="preserve">8.0</w:t>
            </w:r>
          </w:p>
        </w:tc>
        <w:tc>
          <w:tcPr>
            <w:tcW w:type="dxa" w:w="16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E1A28"/>
                <w:sz w:val="19"/>
                <w:szCs w:val="19"/>
              </w:rPr>
              <w:t xml:space="preserve">6.5</w:t>
            </w:r>
          </w:p>
        </w:tc>
        <w:tc>
          <w:tcPr>
            <w:tcW w:type="dxa" w:w="15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+0.23</w:t>
            </w:r>
          </w:p>
        </w:tc>
      </w:tr>
      <w:tr>
        <w:tc>
          <w:tcPr>
            <w:tcW w:type="dxa" w:w="40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0" w:line="250"/>
            </w:pPr>
            <w:r>
              <w:rPr>
                <w:rFonts w:ascii="Calibri" w:cs="Calibri" w:eastAsia="Calibri" w:hAnsi="Calibri"/>
                <w:color w:val="0E1A28"/>
                <w:sz w:val="19"/>
                <w:szCs w:val="19"/>
              </w:rPr>
              <w:t xml:space="preserve">Serviceability / local support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color w:val="6B7A89"/>
                <w:sz w:val="16"/>
                <w:szCs w:val="16"/>
              </w:rPr>
              <w:t xml:space="preserve">The DuraMAC’s one clear win</w:t>
            </w:r>
          </w:p>
        </w:tc>
        <w:tc>
          <w:tcPr>
            <w:tcW w:type="dxa" w:w="13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12%</w:t>
            </w:r>
          </w:p>
        </w:tc>
        <w:tc>
          <w:tcPr>
            <w:tcW w:type="dxa" w:w="16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E1A28"/>
                <w:sz w:val="19"/>
                <w:szCs w:val="19"/>
              </w:rPr>
              <w:t xml:space="preserve">6.5</w:t>
            </w:r>
          </w:p>
        </w:tc>
        <w:tc>
          <w:tcPr>
            <w:tcW w:type="dxa" w:w="16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A66A18"/>
                <w:sz w:val="19"/>
                <w:szCs w:val="19"/>
              </w:rPr>
              <w:t xml:space="preserve">7.5</w:t>
            </w:r>
          </w:p>
        </w:tc>
        <w:tc>
          <w:tcPr>
            <w:tcW w:type="dxa" w:w="15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-0.12</w:t>
            </w:r>
          </w:p>
        </w:tc>
      </w:tr>
      <w:tr>
        <w:tc>
          <w:tcPr>
            <w:tcW w:type="dxa" w:w="40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0" w:line="250"/>
            </w:pPr>
            <w:r>
              <w:rPr>
                <w:rFonts w:ascii="Calibri" w:cs="Calibri" w:eastAsia="Calibri" w:hAnsi="Calibri"/>
                <w:color w:val="0E1A28"/>
                <w:sz w:val="19"/>
                <w:szCs w:val="19"/>
              </w:rPr>
              <w:t xml:space="preserve">Installed cost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color w:val="6B7A89"/>
                <w:sz w:val="16"/>
                <w:szCs w:val="16"/>
              </w:rPr>
              <w:t xml:space="preserve">$12,922 vs $14,831 delivered</w:t>
            </w:r>
          </w:p>
        </w:tc>
        <w:tc>
          <w:tcPr>
            <w:tcW w:type="dxa" w:w="13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2D6CA8"/>
                <w:sz w:val="19"/>
                <w:szCs w:val="19"/>
              </w:rPr>
              <w:t xml:space="preserve">9.0</w:t>
            </w:r>
          </w:p>
        </w:tc>
        <w:tc>
          <w:tcPr>
            <w:tcW w:type="dxa" w:w="16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E1A28"/>
                <w:sz w:val="19"/>
                <w:szCs w:val="19"/>
              </w:rPr>
              <w:t xml:space="preserve">7.0</w:t>
            </w:r>
          </w:p>
        </w:tc>
        <w:tc>
          <w:tcPr>
            <w:tcW w:type="dxa" w:w="15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+0.20</w:t>
            </w:r>
          </w:p>
        </w:tc>
      </w:tr>
      <w:tr>
        <w:tc>
          <w:tcPr>
            <w:tcW w:type="dxa" w:w="40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0" w:line="250"/>
            </w:pPr>
            <w:r>
              <w:rPr>
                <w:rFonts w:ascii="Calibri" w:cs="Calibri" w:eastAsia="Calibri" w:hAnsi="Calibri"/>
                <w:color w:val="0E1A28"/>
                <w:sz w:val="19"/>
                <w:szCs w:val="19"/>
              </w:rPr>
              <w:t xml:space="preserve">Lead time / schedule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color w:val="6B7A89"/>
                <w:sz w:val="16"/>
                <w:szCs w:val="16"/>
              </w:rPr>
              <w:t xml:space="preserve">In stock vs two weeks to ship</w:t>
            </w:r>
          </w:p>
        </w:tc>
        <w:tc>
          <w:tcPr>
            <w:tcW w:type="dxa" w:w="13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8%</w:t>
            </w:r>
          </w:p>
        </w:tc>
        <w:tc>
          <w:tcPr>
            <w:tcW w:type="dxa" w:w="16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2D6CA8"/>
                <w:sz w:val="19"/>
                <w:szCs w:val="19"/>
              </w:rPr>
              <w:t xml:space="preserve">9.0</w:t>
            </w:r>
          </w:p>
        </w:tc>
        <w:tc>
          <w:tcPr>
            <w:tcW w:type="dxa" w:w="16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E1A28"/>
                <w:sz w:val="19"/>
                <w:szCs w:val="19"/>
              </w:rPr>
              <w:t xml:space="preserve">6.0</w:t>
            </w:r>
          </w:p>
        </w:tc>
        <w:tc>
          <w:tcPr>
            <w:tcW w:type="dxa" w:w="15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+0.24</w:t>
            </w:r>
          </w:p>
        </w:tc>
      </w:tr>
      <w:tr>
        <w:tc>
          <w:tcPr>
            <w:tcW w:type="dxa" w:w="40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0" w:line="250"/>
            </w:pPr>
            <w:r>
              <w:rPr>
                <w:rFonts w:ascii="Calibri" w:cs="Calibri" w:eastAsia="Calibri" w:hAnsi="Calibri"/>
                <w:color w:val="0E1A28"/>
                <w:sz w:val="19"/>
                <w:szCs w:val="19"/>
              </w:rPr>
              <w:t xml:space="preserve">Energy + operating cost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color w:val="6B7A89"/>
                <w:sz w:val="16"/>
                <w:szCs w:val="16"/>
              </w:rPr>
              <w:t xml:space="preserve">Part-load power falls with speed cubed</w:t>
            </w:r>
          </w:p>
        </w:tc>
        <w:tc>
          <w:tcPr>
            <w:tcW w:type="dxa" w:w="13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7%</w:t>
            </w:r>
          </w:p>
        </w:tc>
        <w:tc>
          <w:tcPr>
            <w:tcW w:type="dxa" w:w="16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2D6CA8"/>
                <w:sz w:val="19"/>
                <w:szCs w:val="19"/>
              </w:rPr>
              <w:t xml:space="preserve">9.0</w:t>
            </w:r>
          </w:p>
        </w:tc>
        <w:tc>
          <w:tcPr>
            <w:tcW w:type="dxa" w:w="16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E1A28"/>
                <w:sz w:val="19"/>
                <w:szCs w:val="19"/>
              </w:rPr>
              <w:t xml:space="preserve">5.0</w:t>
            </w:r>
          </w:p>
        </w:tc>
        <w:tc>
          <w:tcPr>
            <w:tcW w:type="dxa" w:w="15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+0.28</w:t>
            </w:r>
          </w:p>
        </w:tc>
      </w:tr>
      <w:tr>
        <w:tc>
          <w:tcPr>
            <w:tcW w:type="dxa" w:w="40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0" w:line="250"/>
            </w:pPr>
            <w:r>
              <w:rPr>
                <w:rFonts w:ascii="Calibri" w:cs="Calibri" w:eastAsia="Calibri" w:hAnsi="Calibri"/>
                <w:color w:val="0E1A28"/>
                <w:sz w:val="19"/>
                <w:szCs w:val="19"/>
              </w:rPr>
              <w:t xml:space="preserve">Electrical &amp; code fit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color w:val="6B7A89"/>
                <w:sz w:val="16"/>
                <w:szCs w:val="16"/>
              </w:rPr>
              <w:t xml:space="preserve">200–240 V band, UL packaged listing</w:t>
            </w:r>
          </w:p>
        </w:tc>
        <w:tc>
          <w:tcPr>
            <w:tcW w:type="dxa" w:w="13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5%</w:t>
            </w:r>
          </w:p>
        </w:tc>
        <w:tc>
          <w:tcPr>
            <w:tcW w:type="dxa" w:w="16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2D6CA8"/>
                <w:sz w:val="19"/>
                <w:szCs w:val="19"/>
              </w:rPr>
              <w:t xml:space="preserve">9.0</w:t>
            </w:r>
          </w:p>
        </w:tc>
        <w:tc>
          <w:tcPr>
            <w:tcW w:type="dxa" w:w="16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E1A28"/>
                <w:sz w:val="19"/>
                <w:szCs w:val="19"/>
              </w:rPr>
              <w:t xml:space="preserve">6.0</w:t>
            </w:r>
          </w:p>
        </w:tc>
        <w:tc>
          <w:tcPr>
            <w:tcW w:type="dxa" w:w="15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+0.15</w:t>
            </w:r>
          </w:p>
        </w:tc>
      </w:tr>
      <w:tr>
        <w:tc>
          <w:tcPr>
            <w:tcW w:type="dxa" w:w="40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0" w:line="250"/>
            </w:pPr>
            <w:r>
              <w:rPr>
                <w:rFonts w:ascii="Calibri" w:cs="Calibri" w:eastAsia="Calibri" w:hAnsi="Calibri"/>
                <w:color w:val="0E1A28"/>
                <w:sz w:val="19"/>
                <w:szCs w:val="19"/>
              </w:rPr>
              <w:t xml:space="preserve">Footprint / installation</w:t>
            </w:r>
          </w:p>
          <w:p>
            <w:pPr>
              <w:spacing w:after="0" w:before="0" w:line="230"/>
            </w:pPr>
            <w:r>
              <w:rPr>
                <w:rFonts w:ascii="Calibri" w:cs="Calibri" w:eastAsia="Calibri" w:hAnsi="Calibri"/>
                <w:color w:val="6B7A89"/>
                <w:sz w:val="16"/>
                <w:szCs w:val="16"/>
              </w:rPr>
              <w:t xml:space="preserve">≈3.0 sq ft vs ≈6.7 sq ft</w:t>
            </w:r>
          </w:p>
        </w:tc>
        <w:tc>
          <w:tcPr>
            <w:tcW w:type="dxa" w:w="13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3%</w:t>
            </w:r>
          </w:p>
        </w:tc>
        <w:tc>
          <w:tcPr>
            <w:tcW w:type="dxa" w:w="16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2D6CA8"/>
                <w:sz w:val="19"/>
                <w:szCs w:val="19"/>
              </w:rPr>
              <w:t xml:space="preserve">9.0</w:t>
            </w:r>
          </w:p>
        </w:tc>
        <w:tc>
          <w:tcPr>
            <w:tcW w:type="dxa" w:w="16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0E1A28"/>
                <w:sz w:val="19"/>
                <w:szCs w:val="19"/>
              </w:rPr>
              <w:t xml:space="preserve">6.0</w:t>
            </w:r>
          </w:p>
        </w:tc>
        <w:tc>
          <w:tcPr>
            <w:tcW w:type="dxa" w:w="15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41505F"/>
                <w:sz w:val="19"/>
                <w:szCs w:val="19"/>
              </w:rPr>
              <w:t xml:space="preserve">+0.09</w:t>
            </w:r>
          </w:p>
        </w:tc>
      </w:tr>
      <w:tr>
        <w:tc>
          <w:tcPr>
            <w:tcW w:type="dxa" w:w="408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0E1A28"/>
                <w:sz w:val="19"/>
                <w:szCs w:val="19"/>
              </w:rPr>
              <w:t xml:space="preserve">Weighted total</w:t>
            </w:r>
          </w:p>
        </w:tc>
        <w:tc>
          <w:tcPr>
            <w:tcW w:type="dxa" w:w="130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E1A28"/>
                <w:sz w:val="19"/>
                <w:szCs w:val="19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2D6CA8"/>
                <w:sz w:val="19"/>
                <w:szCs w:val="19"/>
              </w:rPr>
              <w:t xml:space="preserve">8.55</w:t>
            </w:r>
          </w:p>
        </w:tc>
        <w:tc>
          <w:tcPr>
            <w:tcW w:type="dxa" w:w="160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A66A18"/>
                <w:sz w:val="19"/>
                <w:szCs w:val="19"/>
              </w:rPr>
              <w:t xml:space="preserve">6.13</w:t>
            </w:r>
          </w:p>
        </w:tc>
        <w:tc>
          <w:tcPr>
            <w:tcW w:type="dxa" w:w="150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0E1A28"/>
                <w:sz w:val="19"/>
                <w:szCs w:val="19"/>
              </w:rPr>
              <w:t xml:space="preserve">+2.42</w:t>
            </w:r>
          </w:p>
        </w:tc>
      </w:tr>
    </w:tbl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0E1A28"/>
          <w:sz w:val="23"/>
          <w:szCs w:val="23"/>
        </w:rPr>
        <w:t xml:space="preserve">Sensitivity — the result is not weight-sensitive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2200"/>
        <w:gridCol w:w="2200"/>
      </w:tblGrid>
      <w:tr>
        <w:trPr>
          <w:tblHeader/>
        </w:trPr>
        <w:tc>
          <w:tcPr>
            <w:tcW w:type="dxa" w:w="568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Consolas" w:hAnsi="Consolas"/>
                <w:caps/>
                <w:color w:val="41505F"/>
                <w:spacing w:val="20"/>
                <w:sz w:val="15"/>
                <w:szCs w:val="15"/>
              </w:rPr>
              <w:t xml:space="preserve">Reweighting</w:t>
            </w:r>
          </w:p>
        </w:tc>
        <w:tc>
          <w:tcPr>
            <w:tcW w:type="dxa" w:w="220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aps/>
                <w:color w:val="41505F"/>
                <w:spacing w:val="20"/>
                <w:sz w:val="15"/>
                <w:szCs w:val="15"/>
              </w:rPr>
              <w:t xml:space="preserve">Grundfos</w:t>
            </w:r>
          </w:p>
        </w:tc>
        <w:tc>
          <w:tcPr>
            <w:tcW w:type="dxa" w:w="220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aps/>
                <w:color w:val="41505F"/>
                <w:spacing w:val="20"/>
                <w:sz w:val="15"/>
                <w:szCs w:val="15"/>
              </w:rPr>
              <w:t xml:space="preserve">A.Y. McD</w:t>
            </w:r>
          </w:p>
        </w:tc>
      </w:tr>
      <w:tr>
        <w:tc>
          <w:tcPr>
            <w:tcW w:type="dxa" w:w="56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9"/>
                <w:szCs w:val="19"/>
              </w:rPr>
              <w:t xml:space="preserve">As scored above</w:t>
            </w:r>
          </w:p>
        </w:tc>
        <w:tc>
          <w:tcPr>
            <w:tcW w:type="dxa" w:w="22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2D6CA8"/>
                <w:sz w:val="19"/>
                <w:szCs w:val="19"/>
              </w:rPr>
              <w:t xml:space="preserve">8.55</w:t>
            </w:r>
          </w:p>
        </w:tc>
        <w:tc>
          <w:tcPr>
            <w:tcW w:type="dxa" w:w="22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A66A18"/>
                <w:sz w:val="19"/>
                <w:szCs w:val="19"/>
              </w:rPr>
              <w:t xml:space="preserve">6.13</w:t>
            </w:r>
          </w:p>
        </w:tc>
      </w:tr>
      <w:tr>
        <w:tc>
          <w:tcPr>
            <w:tcW w:type="dxa" w:w="56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9"/>
                <w:szCs w:val="19"/>
              </w:rPr>
              <w:t xml:space="preserve">Serviceability tripled to 30% (paid out of hydraulics)</w:t>
            </w:r>
          </w:p>
        </w:tc>
        <w:tc>
          <w:tcPr>
            <w:tcW w:type="dxa" w:w="22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2D6CA8"/>
                <w:sz w:val="19"/>
                <w:szCs w:val="19"/>
              </w:rPr>
              <w:t xml:space="preserve">8.10</w:t>
            </w:r>
          </w:p>
        </w:tc>
        <w:tc>
          <w:tcPr>
            <w:tcW w:type="dxa" w:w="22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A66A18"/>
                <w:sz w:val="19"/>
                <w:szCs w:val="19"/>
              </w:rPr>
              <w:t xml:space="preserve">6.41</w:t>
            </w:r>
          </w:p>
        </w:tc>
      </w:tr>
      <w:tr>
        <w:tc>
          <w:tcPr>
            <w:tcW w:type="dxa" w:w="56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9"/>
                <w:szCs w:val="19"/>
              </w:rPr>
              <w:t xml:space="preserve">Installed cost tripled to 30% (paid out of hydraulics)</w:t>
            </w:r>
          </w:p>
        </w:tc>
        <w:tc>
          <w:tcPr>
            <w:tcW w:type="dxa" w:w="22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2D6CA8"/>
                <w:sz w:val="19"/>
                <w:szCs w:val="19"/>
              </w:rPr>
              <w:t xml:space="preserve">8.55</w:t>
            </w:r>
          </w:p>
        </w:tc>
        <w:tc>
          <w:tcPr>
            <w:tcW w:type="dxa" w:w="22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A66A18"/>
                <w:sz w:val="19"/>
                <w:szCs w:val="19"/>
              </w:rPr>
              <w:t xml:space="preserve">6.33</w:t>
            </w:r>
          </w:p>
        </w:tc>
      </w:tr>
      <w:tr>
        <w:tc>
          <w:tcPr>
            <w:tcW w:type="dxa" w:w="56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9"/>
                <w:szCs w:val="19"/>
              </w:rPr>
              <w:t xml:space="preserve">Price, schedule and energy deleted entirely</w:t>
            </w:r>
          </w:p>
        </w:tc>
        <w:tc>
          <w:tcPr>
            <w:tcW w:type="dxa" w:w="22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2D6CA8"/>
                <w:sz w:val="19"/>
                <w:szCs w:val="19"/>
              </w:rPr>
              <w:t xml:space="preserve">8.18</w:t>
            </w:r>
          </w:p>
        </w:tc>
        <w:tc>
          <w:tcPr>
            <w:tcW w:type="dxa" w:w="22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Consolas" w:cs="Consolas" w:eastAsia="Consolas" w:hAnsi="Consolas"/>
                <w:color w:val="A66A18"/>
                <w:sz w:val="19"/>
                <w:szCs w:val="19"/>
              </w:rPr>
              <w:t xml:space="preserve">6.36</w:t>
            </w:r>
          </w:p>
        </w:tc>
      </w:tr>
    </w:tbl>
    <w:p>
      <w:pPr>
        <w:spacing w:after="120" w:before="160" w:line="276"/>
      </w:pPr>
      <w:r>
        <w:rPr>
          <w:rFonts w:ascii="Calibri" w:cs="Calibri" w:eastAsia="Calibri" w:hAnsi="Calibri"/>
          <w:b/>
          <w:bCs/>
          <w:color w:val="0E1A28"/>
          <w:sz w:val="20"/>
          <w:szCs w:val="20"/>
        </w:rPr>
        <w:t xml:space="preserve">There is no defensible set of weights under which the A.Y. McDonald wins.</w:t>
      </w:r>
    </w:p>
    <w:p>
      <w:pPr>
        <w:pStyle w:val="Heading1"/>
        <w:pBdr>
          <w:top w:val="single" w:color="C3CEDA" w:sz="6" w:space="10"/>
        </w:pBdr>
        <w:spacing w:after="160" w:before="360"/>
      </w:pPr>
      <w:r>
        <w:rPr>
          <w:rFonts w:ascii="Georgia" w:cs="Georgia" w:eastAsia="Georgia" w:hAnsi="Georgia"/>
          <w:b/>
          <w:bCs/>
          <w:color w:val="0E1A28"/>
          <w:sz w:val="28"/>
          <w:szCs w:val="28"/>
        </w:rPr>
        <w:t xml:space="preserve">4.  Pros and cons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0E1A28"/>
          <w:sz w:val="23"/>
          <w:szCs w:val="23"/>
        </w:rPr>
        <w:t xml:space="preserve">Grundfos CMBE TWIN 10-54</w:t>
      </w:r>
    </w:p>
    <w:p>
      <w:pPr>
        <w:spacing w:after="80" w:before="0" w:line="276"/>
      </w:pPr>
      <w:r>
        <w:rPr>
          <w:rFonts w:ascii="Consolas" w:cs="Consolas" w:eastAsia="Consolas" w:hAnsi="Consolas"/>
          <w:b/>
          <w:bCs/>
          <w:color w:val="2E6F52"/>
          <w:spacing w:val="20"/>
          <w:sz w:val="16"/>
          <w:szCs w:val="16"/>
        </w:rPr>
        <w:t xml:space="preserve">PROS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47–83% more boost at every flow point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— a different capability class, not a marginal edge.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True constant pressure.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Integrated VFD per pump holds setpoint instead of riding the curve; guests get the same shower at 7 AM as at 3 AM.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Automatic pump alternation is documented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— starts whichever pump has the fewest running hours, so wear is shared and neither pump sits idle long enough to seize.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$1,908.56 cheaper,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and 10 units on the shelf for 17–19 Aug delivery.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200–240 V band explicitly covers a 208 V service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— no buck-boost question.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Cascade control, dry-running, thermal and overload protection built in;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no external motor protection required.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NSF/ANSI 61 &amp; 372;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UL Listed Packaged Pumping System; IP55; insulation class F.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Rated to 131 °F ambient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— documented, which matters in an Eagle Pass mechanical room.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≤58 dBA and quieter at reduced speed.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24-month warranty. Grundfos GO wireless for commissioning and BMS tie-in.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Compact: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26.8" × 16.3" × 22.0", 180 lb, 2" NPT.</w:t>
      </w:r>
    </w:p>
    <w:p>
      <w:pPr>
        <w:spacing w:after="80" w:before="140" w:line="276"/>
      </w:pPr>
      <w:r>
        <w:rPr>
          <w:rFonts w:ascii="Consolas" w:cs="Consolas" w:eastAsia="Consolas" w:hAnsi="Consolas"/>
          <w:b/>
          <w:bCs/>
          <w:color w:val="A63A2B"/>
          <w:spacing w:val="20"/>
          <w:sz w:val="16"/>
          <w:szCs w:val="16"/>
        </w:rPr>
        <w:t xml:space="preserve">CONS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Two VFDs are two electronic failure points.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A drive failure around year 8–10 is the classic expense, is not a parts-house item, and is not a repair a hotel maintenance tech makes at 2 AM.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Commissioning needs someone who knows drives;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that skill is thinner in Eagle Pass than in San Antonio.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Higher connected load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— 18.2 A vs 14.0 A, so a larger branch circuit and breaker.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Grundfos scopes the CMBE TWIN to “small hotels”.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115 keys over four floors sits at or past that edge.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Small per-pump diaphragm tanks only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— less buffer for tiny overnight draws.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Drive electronics are more heat- and transient-sensitive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than a TEFC motor and a relay.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0E1A28"/>
          <w:sz w:val="23"/>
          <w:szCs w:val="23"/>
        </w:rPr>
        <w:t xml:space="preserve">A.Y. McDonald DuraMAC 17044C120PC2-D</w:t>
      </w:r>
    </w:p>
    <w:p>
      <w:pPr>
        <w:spacing w:after="80" w:before="0" w:line="276"/>
      </w:pPr>
      <w:r>
        <w:rPr>
          <w:rFonts w:ascii="Consolas" w:cs="Consolas" w:eastAsia="Consolas" w:hAnsi="Consolas"/>
          <w:b/>
          <w:bCs/>
          <w:color w:val="2E6F52"/>
          <w:spacing w:val="20"/>
          <w:sz w:val="16"/>
          <w:szCs w:val="16"/>
        </w:rPr>
        <w:t xml:space="preserve">PROS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Mechanically simple and locally serviceable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— fixed-speed TEFC motors, a pressure transducer and relay logic. Any plumber in Maverick County can troubleshoot it. This is its single strongest argument.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No VFD to fail or replace,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and no drive harmonics on the panel.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20-gallon tank included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— absorbs small draws, handles thermal expansion, cuts pump starts.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Lower connected load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at 7.0 A per pump, 14.0 A total.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TEFC motors shrug off heat and dust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better than drive electronics.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Flow Mode is genuinely useful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if incoming city pressure swings — it starts on flow (≈5 GPM) regardless of pressure, tolerating a leaky or unstable main.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All-stainless wetted path: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304 SS impellers and diffuser, 301 SS casings, silicon carbide seal faces, no-lead brass, 304 SS base. NSF 61 compliant.</w:t>
      </w:r>
    </w:p>
    <w:p>
      <w:pPr>
        <w:spacing w:after="80" w:before="140" w:line="276"/>
      </w:pPr>
      <w:r>
        <w:rPr>
          <w:rFonts w:ascii="Consolas" w:cs="Consolas" w:eastAsia="Consolas" w:hAnsi="Consolas"/>
          <w:b/>
          <w:bCs/>
          <w:color w:val="A63A2B"/>
          <w:spacing w:val="20"/>
          <w:sz w:val="16"/>
          <w:szCs w:val="16"/>
        </w:rPr>
        <w:t xml:space="preserve">CONS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33–45% less boost at matched flow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— 19.9 psi vs 31.9 psi at 120 GPM.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Fixed speed means the pressure swings.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Delivered boost rides from 44 psi at night down to 20 psi at the morning peak — a 24 psi swing at the fixture, which is precisely the shower-pressure complaint pattern. The 20-gallon tank stops short cycling; it does not stabilize pressure under sustained flow.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$1,908.56 more for materially less pump.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Two weeks to ship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against stock on the shelf.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Lead-lag appears to be set by dialing two independent controllers to different start pressures.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A.Y. McDonald’s literature says “designed for lead-lag” but documents no automatic alternation — which would mean the lead pump takes nearly all the hours while the lag pump sits. Confirm with the factory; distributor copy claims automatic alternation and the two sources disagree.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Nameplate is 230 V.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On a 208Y/120 service that sits at the bottom of tolerance — confirm service voltage or price a buck-boost transformer.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Control is marked “for indoor use only”,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and no ambient temperature rating is published.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Roughly twice the floor area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once the 20-gallon tank is set; PRV required if incoming pressure exceeds 36 psi.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Base warranty 1 year from installation / 2 from manufacture;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a 3-year tier exists for “certain booster pumps” — confirm which applies. Catalog literature dates to November 2015.</w:t>
      </w:r>
    </w:p>
    <w:p>
      <w:pPr>
        <w:pStyle w:val="Heading1"/>
        <w:pBdr>
          <w:top w:val="single" w:color="C3CEDA" w:sz="6" w:space="10"/>
        </w:pBdr>
        <w:spacing w:after="160" w:before="360"/>
      </w:pPr>
      <w:r>
        <w:rPr>
          <w:rFonts w:ascii="Georgia" w:cs="Georgia" w:eastAsia="Georgia" w:hAnsi="Georgia"/>
          <w:b/>
          <w:bCs/>
          <w:color w:val="0E1A28"/>
          <w:sz w:val="28"/>
          <w:szCs w:val="28"/>
        </w:rPr>
        <w:t xml:space="preserve">5.  Side by side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800"/>
        <w:gridCol w:w="3800"/>
      </w:tblGrid>
      <w:tr>
        <w:trPr>
          <w:tblHeader/>
        </w:trPr>
        <w:tc>
          <w:tcPr>
            <w:tcW w:type="dxa" w:w="248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Consolas" w:hAnsi="Consolas"/>
                <w:caps/>
                <w:color w:val="41505F"/>
                <w:spacing w:val="20"/>
                <w:sz w:val="15"/>
                <w:szCs w:val="15"/>
              </w:rPr>
              <w:t xml:space="preserve"/>
            </w:r>
          </w:p>
        </w:tc>
        <w:tc>
          <w:tcPr>
            <w:tcW w:type="dxa" w:w="380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aps/>
                <w:color w:val="41505F"/>
                <w:spacing w:val="20"/>
                <w:sz w:val="15"/>
                <w:szCs w:val="15"/>
              </w:rPr>
              <w:t xml:space="preserve">Grundfos CMBE TWIN 10-54</w:t>
            </w:r>
          </w:p>
        </w:tc>
        <w:tc>
          <w:tcPr>
            <w:tcW w:type="dxa" w:w="3800"/>
            <w:tcBorders>
              <w:top w:val="single" w:color="0E1A28" w:sz="4"/>
              <w:left w:val="none" w:color="FFFFFF" w:sz="0"/>
              <w:bottom w:val="single" w:color="C3CEDA" w:sz="4"/>
              <w:right w:val="none" w:color="FFFFFF" w:sz="0"/>
            </w:tcBorders>
            <w:shd w:fill="E9EFF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aps/>
                <w:color w:val="41505F"/>
                <w:spacing w:val="20"/>
                <w:sz w:val="15"/>
                <w:szCs w:val="15"/>
              </w:rPr>
              <w:t xml:space="preserve">A.Y. McDonald 17044C120PC2-D</w:t>
            </w:r>
          </w:p>
        </w:tc>
      </w:tr>
      <w:tr>
        <w:tc>
          <w:tcPr>
            <w:tcW w:type="dxa" w:w="24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41505F"/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2 × CMBE (CM10) in parallel, integrated VFD each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2 × 2 HP TEFC fixed-speed, digital PC2 control each</w:t>
            </w:r>
          </w:p>
        </w:tc>
      </w:tr>
      <w:tr>
        <w:tc>
          <w:tcPr>
            <w:tcW w:type="dxa" w:w="24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41505F"/>
                <w:sz w:val="17"/>
                <w:szCs w:val="17"/>
              </w:rPr>
              <w:t xml:space="preserve">Control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Constant pressure, cascade control, automatic alternation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Pressure Mode (stops below 3 GPM) or Flow Mode; lead-lag</w:t>
            </w:r>
          </w:p>
        </w:tc>
      </w:tr>
      <w:tr>
        <w:tc>
          <w:tcPr>
            <w:tcW w:type="dxa" w:w="24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41505F"/>
                <w:sz w:val="17"/>
                <w:szCs w:val="17"/>
              </w:rPr>
              <w:t xml:space="preserve">Boost at 0 / 60 / 120 GPM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79.3 / 54.4 / 31.9 psi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44.3 / 35.7 / 19.9 psi</w:t>
            </w:r>
          </w:p>
        </w:tc>
      </w:tr>
      <w:tr>
        <w:tc>
          <w:tcPr>
            <w:tcW w:type="dxa" w:w="24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41505F"/>
                <w:sz w:val="17"/>
                <w:szCs w:val="17"/>
              </w:rPr>
              <w:t xml:space="preserve">Max head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54 m ≈ 177 ft nominal (183 ft on curve)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44 psi ≈ 102 ft at zero flow</w:t>
            </w:r>
          </w:p>
        </w:tc>
      </w:tr>
      <w:tr>
        <w:tc>
          <w:tcPr>
            <w:tcW w:type="dxa" w:w="24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41505F"/>
                <w:sz w:val="17"/>
                <w:szCs w:val="17"/>
              </w:rPr>
              <w:t xml:space="preserve">Max system pressure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145 psi (10 bar)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Not published; PRV above 36 psi inlet</w:t>
            </w:r>
          </w:p>
        </w:tc>
      </w:tr>
      <w:tr>
        <w:tc>
          <w:tcPr>
            <w:tcW w:type="dxa" w:w="24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41505F"/>
                <w:sz w:val="17"/>
                <w:szCs w:val="17"/>
              </w:rPr>
              <w:t xml:space="preserve">Electrical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1 × 200–240 V 60 Hz · 18.2 A both pumps · P1 3,404 W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230 V 60 Hz 1φ · 7.0 A per pump (14.0 A total)</w:t>
            </w:r>
          </w:p>
        </w:tc>
      </w:tr>
      <w:tr>
        <w:tc>
          <w:tcPr>
            <w:tcW w:type="dxa" w:w="24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41505F"/>
                <w:sz w:val="17"/>
                <w:szCs w:val="17"/>
              </w:rPr>
              <w:t xml:space="preserve">Tank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Diaphragm tank + sensor + gauge per pump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20 gallon, included and required</w:t>
            </w:r>
          </w:p>
        </w:tc>
      </w:tr>
      <w:tr>
        <w:tc>
          <w:tcPr>
            <w:tcW w:type="dxa" w:w="24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41505F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2" NPT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2" NPT manifolds with ball valves</w:t>
            </w:r>
          </w:p>
        </w:tc>
      </w:tr>
      <w:tr>
        <w:tc>
          <w:tcPr>
            <w:tcW w:type="dxa" w:w="24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41505F"/>
                <w:sz w:val="17"/>
                <w:szCs w:val="17"/>
              </w:rPr>
              <w:t xml:space="preserve">Dimensions / weight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26.8" × 16.3" × 22.0" · 180 lb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approx. 36" × 34" × 28.5" incl. tank</w:t>
            </w:r>
          </w:p>
        </w:tc>
      </w:tr>
      <w:tr>
        <w:tc>
          <w:tcPr>
            <w:tcW w:type="dxa" w:w="24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41505F"/>
                <w:sz w:val="17"/>
                <w:szCs w:val="17"/>
              </w:rPr>
              <w:t xml:space="preserve">Wetted materials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AISI 304 SS sleeve, impeller, shaft, nozzle; PP diffuser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304 SS impellers &amp; diffuser, 301 SS casings, no-lead brass</w:t>
            </w:r>
          </w:p>
        </w:tc>
      </w:tr>
      <w:tr>
        <w:tc>
          <w:tcPr>
            <w:tcW w:type="dxa" w:w="24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41505F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Liquid 32–140 °F · ambient to 131 °F · IP55 · ≤58 dBA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Control indoor use only; no ambient rating published</w:t>
            </w:r>
          </w:p>
        </w:tc>
      </w:tr>
      <w:tr>
        <w:tc>
          <w:tcPr>
            <w:tcW w:type="dxa" w:w="24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41505F"/>
                <w:sz w:val="17"/>
                <w:szCs w:val="17"/>
              </w:rPr>
              <w:t xml:space="preserve">Certifications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NSF/ANSI 61 &amp; 372 · UL Listed Packaged Pumping System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NSF 61 compliant · no-lead brass</w:t>
            </w:r>
          </w:p>
        </w:tc>
      </w:tr>
      <w:tr>
        <w:tc>
          <w:tcPr>
            <w:tcW w:type="dxa" w:w="24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41505F"/>
                <w:sz w:val="17"/>
                <w:szCs w:val="17"/>
              </w:rPr>
              <w:t xml:space="preserve">Warranty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24 months from installation (30 from manufacture)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1 year from installation base; 3-year tier to confirm</w:t>
            </w:r>
          </w:p>
        </w:tc>
      </w:tr>
      <w:tr>
        <w:tc>
          <w:tcPr>
            <w:tcW w:type="dxa" w:w="24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41505F"/>
                <w:sz w:val="17"/>
                <w:szCs w:val="17"/>
              </w:rPr>
              <w:t xml:space="preserve">Price delivered, with tax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$12,922.39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$14,830.95</w:t>
            </w:r>
          </w:p>
        </w:tc>
      </w:tr>
      <w:tr>
        <w:tc>
          <w:tcPr>
            <w:tcW w:type="dxa" w:w="248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41505F"/>
                <w:sz w:val="17"/>
                <w:szCs w:val="17"/>
              </w:rPr>
              <w:t xml:space="preserve">Availability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10 in stock · 17–19 Aug 2026</w:t>
            </w:r>
          </w:p>
        </w:tc>
        <w:tc>
          <w:tcPr>
            <w:tcW w:type="dxa" w:w="3800"/>
            <w:tcBorders>
              <w:top w:val="single" w:color="C3CEDA" w:sz="4"/>
              <w:left w:val="none" w:color="FFFFFF" w:sz="0"/>
              <w:bottom w:val="single" w:color="C3CEDA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color w:val="0E1A28"/>
                <w:sz w:val="18"/>
                <w:szCs w:val="18"/>
              </w:rPr>
              <w:t xml:space="preserve">Ships within 2 weeks</w:t>
            </w:r>
          </w:p>
        </w:tc>
      </w:tr>
    </w:tbl>
    <w:p>
      <w:pPr>
        <w:pStyle w:val="Heading1"/>
        <w:pBdr>
          <w:top w:val="single" w:color="C3CEDA" w:sz="6" w:space="10"/>
        </w:pBdr>
        <w:spacing w:after="160" w:before="360"/>
      </w:pPr>
      <w:r>
        <w:rPr>
          <w:rFonts w:ascii="Georgia" w:cs="Georgia" w:eastAsia="Georgia" w:hAnsi="Georgia"/>
          <w:b/>
          <w:bCs/>
          <w:color w:val="0E1A28"/>
          <w:sz w:val="28"/>
          <w:szCs w:val="28"/>
        </w:rPr>
        <w:t xml:space="preserve">6.  The risk both units share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63A2B" w:sz="4"/>
              <w:left w:val="single" w:color="A63A2B" w:sz="18"/>
              <w:bottom w:val="single" w:color="A63A2B" w:sz="4"/>
              <w:right w:val="single" w:color="A63A2B" w:sz="4"/>
            </w:tcBorders>
            <w:shd w:fill="F8E9E6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 w:line="276"/>
            </w:pPr>
            <w:r>
              <w:rPr>
                <w:rFonts w:ascii="Georgia" w:cs="Georgia" w:eastAsia="Georgia" w:hAnsi="Georgia"/>
                <w:b/>
                <w:bCs/>
                <w:color w:val="A63A2B"/>
                <w:sz w:val="24"/>
                <w:szCs w:val="24"/>
              </w:rPr>
              <w:t xml:space="preserve">Neither pump may be big enough for this building.</w:t>
            </w:r>
          </w:p>
          <w:p>
            <w:pPr>
              <w:spacing w:after="120" w:before="0" w:line="276"/>
            </w:pPr>
            <w:r>
              <w:rPr>
                <w:rFonts w:ascii="Calibri" w:cs="Calibri" w:eastAsia="Calibri" w:hAnsi="Calibri"/>
                <w:color w:val="41505F"/>
                <w:sz w:val="20"/>
                <w:szCs w:val="20"/>
              </w:rPr>
              <w:t xml:space="preserve">Both published curves stop near 120 GPM, and both are single-phase, 2 HP-class packages. For 115 extended-stay keys over four floors — plus laundry, breakfast service, public restrooms and any pool make-up — a Hunter’s-curve peak lands somewhere around 150–190 GPM before diversity credits for low-flow fixtures. That estimate is not the engineer’s, and it is the assumption that decides this purchase.</w:t>
            </w:r>
          </w:p>
          <w:p>
            <w:pPr>
              <w:spacing w:after="120" w:before="0" w:line="276"/>
            </w:pPr>
            <w:r>
              <w:rPr>
                <w:rFonts w:ascii="Calibri" w:cs="Calibri" w:eastAsia="Calibri" w:hAnsi="Calibri"/>
                <w:color w:val="41505F"/>
                <w:sz w:val="20"/>
                <w:szCs w:val="20"/>
              </w:rPr>
              <w:t xml:space="preserve">Two supporting signals point the same way: Grundfos scopes the CMBE TWIN to “small hotels”, and A.Y. McDonald catalogues the DuraMAC family as “Residential | Light Commercial | Irrigation”. A 115-key hotel would normally be specified with a three-phase package — and the Grundfos Hydro MPC page already in the bookmarks is exactly that class of product.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1A28"/>
                <w:sz w:val="19"/>
                <w:szCs w:val="19"/>
              </w:rPr>
              <w:t xml:space="preserve">Do not cut a PO on either unit until the plumbing engineer’s booster pump schedule is in hand.</w:t>
            </w:r>
            <w:r>
              <w:rPr>
                <w:rFonts w:ascii="Calibri" w:cs="Calibri" w:eastAsia="Calibri" w:hAnsi="Calibri"/>
                <w:color w:val="41505F"/>
                <w:sz w:val="19"/>
                <w:szCs w:val="19"/>
              </w:rPr>
              <w:t xml:space="preserve"> If the schedule calls for more than ≈120 GPM, or more than ≈32 psi of boost at design flow, both are undersized and this comparison is moot.</w:t>
            </w:r>
          </w:p>
        </w:tc>
      </w:tr>
    </w:tbl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0E1A28"/>
          <w:sz w:val="23"/>
          <w:szCs w:val="23"/>
        </w:rPr>
        <w:t xml:space="preserve">Verify before ordering</w:t>
      </w:r>
    </w:p>
    <w:p>
      <w:pPr>
        <w:spacing w:after="110" w:before="0" w:line="264"/>
        <w:ind w:left="420" w:hanging="420"/>
      </w:pPr>
      <w:r>
        <w:rPr>
          <w:rFonts w:ascii="Calibri" w:cs="Calibri" w:eastAsia="Calibri" w:hAnsi="Calibri"/>
          <w:color w:val="C3CEDA"/>
          <w:sz w:val="22"/>
          <w:szCs w:val="22"/>
        </w:rPr>
        <w:t xml:space="preserve">☐</w:t>
      </w:r>
      <w:r>
        <w:rPr>
          <w:rFonts w:ascii="Calibri" w:cs="Calibri" w:eastAsia="Calibri" w:hAnsi="Calibri"/>
          <w:color w:val="0E1A28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Pull the booster pump schedule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from the plumbing drawings — design GPM and required boost at that flow. This single document decides everything.</w:t>
      </w:r>
    </w:p>
    <w:p>
      <w:pPr>
        <w:spacing w:after="110" w:before="0" w:line="264"/>
        <w:ind w:left="420" w:hanging="420"/>
      </w:pPr>
      <w:r>
        <w:rPr>
          <w:rFonts w:ascii="Calibri" w:cs="Calibri" w:eastAsia="Calibri" w:hAnsi="Calibri"/>
          <w:color w:val="C3CEDA"/>
          <w:sz w:val="22"/>
          <w:szCs w:val="22"/>
        </w:rPr>
        <w:t xml:space="preserve">☐</w:t>
      </w:r>
      <w:r>
        <w:rPr>
          <w:rFonts w:ascii="Calibri" w:cs="Calibri" w:eastAsia="Calibri" w:hAnsi="Calibri"/>
          <w:color w:val="0E1A28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Get Eagle Pass city static and residual pressure at the meter,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in writing from the utility. Required boost is meaningless without it.</w:t>
      </w:r>
    </w:p>
    <w:p>
      <w:pPr>
        <w:spacing w:after="110" w:before="0" w:line="264"/>
        <w:ind w:left="420" w:hanging="420"/>
      </w:pPr>
      <w:r>
        <w:rPr>
          <w:rFonts w:ascii="Calibri" w:cs="Calibri" w:eastAsia="Calibri" w:hAnsi="Calibri"/>
          <w:color w:val="C3CEDA"/>
          <w:sz w:val="22"/>
          <w:szCs w:val="22"/>
        </w:rPr>
        <w:t xml:space="preserve">☐</w:t>
      </w:r>
      <w:r>
        <w:rPr>
          <w:rFonts w:ascii="Calibri" w:cs="Calibri" w:eastAsia="Calibri" w:hAnsi="Calibri"/>
          <w:color w:val="0E1A28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Confirm the building service voltage.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If 208Y/120, the Grundfos is rated through it and the A.Y. McDonald is not without checking.</w:t>
      </w:r>
    </w:p>
    <w:p>
      <w:pPr>
        <w:spacing w:after="110" w:before="0" w:line="264"/>
        <w:ind w:left="420" w:hanging="420"/>
      </w:pPr>
      <w:r>
        <w:rPr>
          <w:rFonts w:ascii="Calibri" w:cs="Calibri" w:eastAsia="Calibri" w:hAnsi="Calibri"/>
          <w:color w:val="C3CEDA"/>
          <w:sz w:val="22"/>
          <w:szCs w:val="22"/>
        </w:rPr>
        <w:t xml:space="preserve">☐</w:t>
      </w:r>
      <w:r>
        <w:rPr>
          <w:rFonts w:ascii="Calibri" w:cs="Calibri" w:eastAsia="Calibri" w:hAnsi="Calibri"/>
          <w:color w:val="0E1A28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Confirm the approved submittal matches the model being bought.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A substitution from a scheduled product needs the engineer’s stamp, not just a price comparison.</w:t>
      </w:r>
    </w:p>
    <w:p>
      <w:pPr>
        <w:spacing w:after="110" w:before="0" w:line="264"/>
        <w:ind w:left="420" w:hanging="420"/>
      </w:pPr>
      <w:r>
        <w:rPr>
          <w:rFonts w:ascii="Calibri" w:cs="Calibri" w:eastAsia="Calibri" w:hAnsi="Calibri"/>
          <w:color w:val="C3CEDA"/>
          <w:sz w:val="22"/>
          <w:szCs w:val="22"/>
        </w:rPr>
        <w:t xml:space="preserve">☐</w:t>
      </w:r>
      <w:r>
        <w:rPr>
          <w:rFonts w:ascii="Calibri" w:cs="Calibri" w:eastAsia="Calibri" w:hAnsi="Calibri"/>
          <w:color w:val="0E1A28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Ask A.Y. McDonald directly whether the duplex auto-alternates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— the literature and the distributor copy disagree, and it changes the reliability picture.</w:t>
      </w:r>
    </w:p>
    <w:p>
      <w:pPr>
        <w:spacing w:after="110" w:before="0" w:line="264"/>
        <w:ind w:left="420" w:hanging="420"/>
      </w:pPr>
      <w:r>
        <w:rPr>
          <w:rFonts w:ascii="Calibri" w:cs="Calibri" w:eastAsia="Calibri" w:hAnsi="Calibri"/>
          <w:color w:val="C3CEDA"/>
          <w:sz w:val="22"/>
          <w:szCs w:val="22"/>
        </w:rPr>
        <w:t xml:space="preserve">☐</w:t>
      </w:r>
      <w:r>
        <w:rPr>
          <w:rFonts w:ascii="Calibri" w:cs="Calibri" w:eastAsia="Calibri" w:hAnsi="Calibri"/>
          <w:color w:val="0E1A28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E1A28"/>
          <w:sz w:val="19"/>
          <w:szCs w:val="19"/>
        </w:rPr>
        <w:t xml:space="preserve">Verify mechanical room ambient design temperature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against the Grundfos 131 °F limit if the room is unconditioned.</w:t>
      </w:r>
    </w:p>
    <w:p>
      <w:pPr>
        <w:pStyle w:val="Heading1"/>
        <w:pBdr>
          <w:top w:val="single" w:color="C3CEDA" w:sz="6" w:space="10"/>
        </w:pBdr>
        <w:spacing w:after="160" w:before="360"/>
      </w:pPr>
      <w:r>
        <w:rPr>
          <w:rFonts w:ascii="Georgia" w:cs="Georgia" w:eastAsia="Georgia" w:hAnsi="Georgia"/>
          <w:b/>
          <w:bCs/>
          <w:color w:val="0E1A28"/>
          <w:sz w:val="28"/>
          <w:szCs w:val="28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41505F"/>
          <w:sz w:val="19"/>
          <w:szCs w:val="19"/>
        </w:rPr>
        <w:t xml:space="preserve">Grundfos Data Booklet, </w:t>
      </w:r>
      <w:r>
        <w:rPr>
          <w:rFonts w:ascii="Calibri" w:cs="Calibri" w:eastAsia="Calibri" w:hAnsi="Calibri"/>
          <w:i/>
          <w:iCs/>
          <w:color w:val="41505F"/>
          <w:sz w:val="19"/>
          <w:szCs w:val="19"/>
        </w:rPr>
        <w:t xml:space="preserve">CMBE, CMBE TWIN — Horizontal multistage centrifugal pressure boosting pumps, 60 Hz North America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(98647967 0219): performance curves p.13, operating and electrical data p.10, dimensions p.11, type key p.6, product numbers p.19.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41505F"/>
          <w:sz w:val="19"/>
          <w:szCs w:val="19"/>
        </w:rPr>
        <w:t xml:space="preserve">A.Y. McDonald, </w:t>
      </w:r>
      <w:r>
        <w:rPr>
          <w:rFonts w:ascii="Calibri" w:cs="Calibri" w:eastAsia="Calibri" w:hAnsi="Calibri"/>
          <w:i/>
          <w:iCs/>
          <w:color w:val="41505F"/>
          <w:sz w:val="19"/>
          <w:szCs w:val="19"/>
        </w:rPr>
        <w:t xml:space="preserve">DuraMAC Booster Pumps</w:t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> catalog rev. 11-15: dual-mode duplex performance curve p.14, specifications, materials and control description p.15, model nomenclature p.4.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41505F"/>
          <w:sz w:val="19"/>
          <w:szCs w:val="19"/>
        </w:rPr>
        <w:t xml:space="preserve">Pricing, tax, stock and delivery as quoted by SupplyHouse and R.C. Worst, 13 Aug 2026. Warranty terms per Grundfos Pumps Corporation and the A.Y. McDonald limited warranty schedule.</w:t>
      </w:r>
      <w:r>
        <w:rPr>
          <w:rFonts w:ascii="Calibri" w:cs="Calibri" w:eastAsia="Calibri" w:hAnsi="Calibri"/>
          <w:i/>
          <w:iCs/>
          <w:color w:val="41505F"/>
          <w:sz w:val="19"/>
          <w:szCs w:val="19"/>
        </w:rPr>
        <w:t xml:space="preserve"/>
      </w:r>
      <w:r>
        <w:rPr>
          <w:rFonts w:ascii="Calibri" w:cs="Calibri" w:eastAsia="Calibri" w:hAnsi="Calibri"/>
          <w:color w:val="41505F"/>
          <w:sz w:val="19"/>
          <w:szCs w:val="19"/>
        </w:rPr>
        <w:t xml:space="preserve"/>
      </w:r>
    </w:p>
    <w:p>
      <w:pPr>
        <w:spacing w:after="120" w:before="120" w:line="276"/>
      </w:pPr>
      <w:r>
        <w:rPr>
          <w:rFonts w:ascii="Calibri" w:cs="Calibri" w:eastAsia="Calibri" w:hAnsi="Calibri"/>
          <w:color w:val="6B7A89"/>
          <w:sz w:val="17"/>
          <w:szCs w:val="17"/>
        </w:rPr>
        <w:t xml:space="preserve">Curve values were digitized from the vector geometry of the published charts, so they carry the manufacturers’ own ISO 9906:2012 3B tolerance plus a small digitizing error — treat them as accurate to about ±1 psi.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3CEDA" w:sz="4" w:space="8"/>
      </w:pBdr>
      <w:jc w:val="right"/>
    </w:pPr>
    <w:r>
      <w:rPr>
        <w:rFonts w:ascii="Calibri" w:cs="Calibri" w:eastAsia="Calibri" w:hAnsi="Calibri"/>
        <w:color w:val="6B7A89"/>
        <w:sz w:val="15"/>
        <w:szCs w:val="15"/>
      </w:rPr>
      <w:t xml:space="preserve">H2SEP · Booster Pump Comparison · Triun Construction &amp; Engineering        </w:t>
    </w:r>
    <w:r>
      <w:rPr>
        <w:rFonts w:ascii="Consolas" w:cs="Consolas" w:eastAsia="Consolas" w:hAnsi="Consolas"/>
        <w:color w:val="6B7A8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onsolas" w:cs="Consolas" w:eastAsia="Consolas" w:hAnsi="Consolas"/>
        <w:color w:val="6B7A89"/>
        <w:sz w:val="15"/>
        <w:szCs w:val="15"/>
      </w:rPr>
      <w:t xml:space="preserve"> / </w:t>
    </w:r>
    <w:r>
      <w:rPr>
        <w:rFonts w:ascii="Consolas" w:cs="Consolas" w:eastAsia="Consolas" w:hAnsi="Consolas"/>
        <w:color w:val="6B7A8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A2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cb1265cdd9b25a3201c5166634f9f9ab321812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H2SEP Booster Pump Comparison</dc:title>
  <dc:creator>Triun Construction &amp; Engineering</dc:creator>
  <dc:description>Weighted comparison of the Grundfos CMBE TWIN 10-54 and A.Y. McDonald DuraMAC duplex booster packages.</dc:description>
  <cp:lastModifiedBy>Un-named</cp:lastModifiedBy>
  <cp:revision>1</cp:revision>
  <dcterms:created xsi:type="dcterms:W3CDTF">2026-08-13T22:35:59.870Z</dcterms:created>
  <dcterms:modified xsi:type="dcterms:W3CDTF">2026-08-13T22:35:59.870Z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