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DOCUMENTACIÓN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Descripción de componentes (analizador léxico, sintáctico, etc.)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Analizador léxico RuLexer.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El Lexer es generado a partir de la gramática Ru.g4. Esté se encarga de reconocer los tokens de Ru, como operadores (+,-,*,/, etc.), palabras reservadas (if, while, etc.), Además de incluir reglas para otros caracteres (OTRO).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Analizador sintáctico RuParser.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El Parser también generado por Ru interpreta la secuencia de tokens y la organiza en una estructura de árbol.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RubaseVisitor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Es una clase abstracta generada por ANTLR que proporciona los métodos vacíos para cada nodo en el árbol sintáctico.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MyVisitor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Es una clase Java creada por el programador la cual hereda las funciones de “RuBaseVisistor”. Donde cada nodo tiene su propia implementación.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Define la </w:t>
      </w:r>
      <w:r w:rsidDel="00000000" w:rsidR="00000000" w:rsidRPr="00000000">
        <w:rPr>
          <w:b w:val="1"/>
          <w:rtl w:val="0"/>
        </w:rPr>
        <w:t xml:space="preserve">interfaz de usuario (GUI)</w:t>
      </w:r>
      <w:r w:rsidDel="00000000" w:rsidR="00000000" w:rsidRPr="00000000">
        <w:rPr>
          <w:rtl w:val="0"/>
        </w:rPr>
        <w:t xml:space="preserve"> usando Java Swing. Divide en 2 secciones la pantalla en la parte izquierda permite escribir código Ru directamente a través de un botón “Play”; un boton “Cargar archivos”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.ru</w:t>
      </w:r>
      <w:r w:rsidDel="00000000" w:rsidR="00000000" w:rsidRPr="00000000">
        <w:rPr>
          <w:rtl w:val="0"/>
        </w:rPr>
        <w:t xml:space="preserve"> desde el sistema; otro botón “guardar resultados” el cual guarda en un archivo nuevo o sobrescribir un archivo .txt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Lista de clases e instancias utilizadas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JFrame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Clase para la interfaz gráfica construida con Java Swing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Carga y ejecuta código .Ru en el panel izquierdo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Muestra los resultados de la Ejecución .txt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MyVisitor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Extiende de RuBaseVisitor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Define el comportamiento semántico de Ru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Maneja las estructuras de control como if y while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Usa HasMap para almacenar y consultar variable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muestra resultados con “imprime”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Ru.g4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Define la sintaxis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 el lexer (analizador léxico), parser(analizador sintáctico)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 la interfas para recorrer el arbor (BaseVisitor y Visitor)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