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Aptos" w:hAnsi="Aptos"/>
          <w:b/>
          <w:color w:val="65A30D"/>
          <w:sz w:val="20"/>
        </w:rPr>
        <w:t>WARSOC PRODUCT ENGINEERING</w:t>
      </w:r>
    </w:p>
    <w:p>
      <w:pPr>
        <w:spacing w:after="100"/>
      </w:pPr>
      <w:r>
        <w:rPr>
          <w:rFonts w:ascii="Aptos Display" w:hAnsi="Aptos Display"/>
          <w:b/>
          <w:color w:val="0B2545"/>
          <w:sz w:val="56"/>
        </w:rPr>
        <w:t>Frontend Implementation</w:t>
        <w:br/>
        <w:t>&amp; UI/UX Completion Report</w:t>
      </w:r>
    </w:p>
    <w:p>
      <w:pPr>
        <w:spacing w:after="360"/>
      </w:pPr>
      <w:r>
        <w:rPr>
          <w:color w:val="5B6B82"/>
          <w:sz w:val="26"/>
        </w:rPr>
        <w:t>Firewall Relays feature through final production-ready interface polish</w:t>
      </w:r>
    </w:p>
    <w:tbl>
      <w:tblPr>
        <w:tblStyle w:val="TableGrid"/>
        <w:tblW w:type="auto" w:w="0"/>
        <w:jc w:val="left"/>
        <w:tblLayout w:type="fixed"/>
        <w:tblLook w:firstColumn="1" w:firstRow="1" w:lastColumn="0" w:lastRow="0" w:noHBand="0" w:noVBand="1" w:val="04A0"/>
      </w:tblPr>
      <w:tblGrid>
        <w:gridCol w:w="4824"/>
        <w:gridCol w:w="4824"/>
      </w:tblGrid>
      <w:tr>
        <w:tc>
          <w:tcPr>
            <w:tcW w:type="dxa" w:w="1944"/>
            <w:tcMar>
              <w:top w:w="100" w:type="dxa"/>
              <w:start w:w="120" w:type="dxa"/>
              <w:bottom w:w="100" w:type="dxa"/>
              <w:end w:w="120" w:type="dxa"/>
            </w:tcMar>
            <w:shd w:fill="EAF2FF"/>
            <w:vAlign w:val="center"/>
          </w:tcPr>
          <w:p>
            <w:pPr>
              <w:spacing w:after="0"/>
            </w:pPr>
            <w:r/>
            <w:r>
              <w:rPr>
                <w:rFonts w:ascii="Aptos" w:hAnsi="Aptos"/>
                <w:b/>
                <w:color w:val="1D4ED8"/>
                <w:sz w:val="19"/>
              </w:rPr>
              <w:t>Product</w:t>
            </w:r>
          </w:p>
        </w:tc>
        <w:tc>
          <w:tcPr>
            <w:tcW w:type="dxa" w:w="7200"/>
            <w:tcMar>
              <w:top w:w="100" w:type="dxa"/>
              <w:start w:w="120" w:type="dxa"/>
              <w:bottom w:w="100" w:type="dxa"/>
              <w:end w:w="120" w:type="dxa"/>
            </w:tcMar>
            <w:vAlign w:val="center"/>
          </w:tcPr>
          <w:p>
            <w:pPr>
              <w:spacing w:after="0"/>
            </w:pPr>
            <w:r/>
            <w:r>
              <w:rPr>
                <w:rFonts w:ascii="Aptos" w:hAnsi="Aptos"/>
                <w:b w:val="0"/>
                <w:color w:val="1F293B"/>
                <w:sz w:val="19"/>
              </w:rPr>
              <w:t>WarSOC Security Operations Platform</w:t>
            </w:r>
          </w:p>
        </w:tc>
      </w:tr>
      <w:tr>
        <w:tc>
          <w:tcPr>
            <w:tcW w:type="dxa" w:w="1944"/>
            <w:tcMar>
              <w:top w:w="100" w:type="dxa"/>
              <w:start w:w="120" w:type="dxa"/>
              <w:bottom w:w="100" w:type="dxa"/>
              <w:end w:w="120" w:type="dxa"/>
            </w:tcMar>
            <w:shd w:fill="EAF2FF"/>
            <w:vAlign w:val="center"/>
          </w:tcPr>
          <w:p>
            <w:pPr>
              <w:spacing w:after="0"/>
            </w:pPr>
            <w:r/>
            <w:r>
              <w:rPr>
                <w:rFonts w:ascii="Aptos" w:hAnsi="Aptos"/>
                <w:b/>
                <w:color w:val="1D4ED8"/>
                <w:sz w:val="19"/>
              </w:rPr>
              <w:t>Scope</w:t>
            </w:r>
          </w:p>
        </w:tc>
        <w:tc>
          <w:tcPr>
            <w:tcW w:type="dxa" w:w="7200"/>
            <w:tcMar>
              <w:top w:w="100" w:type="dxa"/>
              <w:start w:w="120" w:type="dxa"/>
              <w:bottom w:w="100" w:type="dxa"/>
              <w:end w:w="120" w:type="dxa"/>
            </w:tcMar>
            <w:vAlign w:val="center"/>
          </w:tcPr>
          <w:p>
            <w:pPr>
              <w:spacing w:after="0"/>
            </w:pPr>
            <w:r/>
            <w:r>
              <w:rPr>
                <w:rFonts w:ascii="Aptos" w:hAnsi="Aptos"/>
                <w:b w:val="0"/>
                <w:color w:val="1F293B"/>
                <w:sz w:val="19"/>
              </w:rPr>
              <w:t>Firewall Relays, dashboard operations, authentication cleanup, and cross-app UI consistency</w:t>
            </w:r>
          </w:p>
        </w:tc>
      </w:tr>
      <w:tr>
        <w:tc>
          <w:tcPr>
            <w:tcW w:type="dxa" w:w="1944"/>
            <w:tcMar>
              <w:top w:w="100" w:type="dxa"/>
              <w:start w:w="120" w:type="dxa"/>
              <w:bottom w:w="100" w:type="dxa"/>
              <w:end w:w="120" w:type="dxa"/>
            </w:tcMar>
            <w:shd w:fill="EAF2FF"/>
            <w:vAlign w:val="center"/>
          </w:tcPr>
          <w:p>
            <w:pPr>
              <w:spacing w:after="0"/>
            </w:pPr>
            <w:r/>
            <w:r>
              <w:rPr>
                <w:rFonts w:ascii="Aptos" w:hAnsi="Aptos"/>
                <w:b/>
                <w:color w:val="1D4ED8"/>
                <w:sz w:val="19"/>
              </w:rPr>
              <w:t>Status</w:t>
            </w:r>
          </w:p>
        </w:tc>
        <w:tc>
          <w:tcPr>
            <w:tcW w:type="dxa" w:w="7200"/>
            <w:tcMar>
              <w:top w:w="100" w:type="dxa"/>
              <w:start w:w="120" w:type="dxa"/>
              <w:bottom w:w="100" w:type="dxa"/>
              <w:end w:w="120" w:type="dxa"/>
            </w:tcMar>
            <w:vAlign w:val="center"/>
          </w:tcPr>
          <w:p>
            <w:pPr>
              <w:spacing w:after="0"/>
            </w:pPr>
            <w:r/>
            <w:r>
              <w:rPr>
                <w:rFonts w:ascii="Aptos" w:hAnsi="Aptos"/>
                <w:b w:val="0"/>
                <w:color w:val="1F293B"/>
                <w:sz w:val="19"/>
              </w:rPr>
              <w:t>Final UI implementation complete; temporary testing code removed</w:t>
            </w:r>
          </w:p>
        </w:tc>
      </w:tr>
    </w:tbl>
    <w:p>
      <w:pPr>
        <w:spacing w:after="80"/>
      </w:pPr>
    </w:p>
    <w:tbl>
      <w:tblPr>
        <w:tblW w:type="auto" w:w="0"/>
        <w:jc w:val="center"/>
        <w:tblLayout w:type="fixed"/>
        <w:tblLook w:firstColumn="1" w:firstRow="1" w:lastColumn="0" w:lastRow="0" w:noHBand="0" w:noVBand="1" w:val="04A0"/>
      </w:tblPr>
      <w:tblGrid>
        <w:gridCol w:w="9000"/>
      </w:tblGrid>
      <w:tr>
        <w:tc>
          <w:tcPr>
            <w:tcW w:type="dxa" w:w="9648"/>
            <w:shd w:fill="ECFDF3"/>
            <w:tcMar>
              <w:top w:w="150" w:type="dxa"/>
              <w:start w:w="180" w:type="dxa"/>
              <w:bottom w:w="150" w:type="dxa"/>
              <w:end w:w="180" w:type="dxa"/>
            </w:tcMar>
          </w:tcPr>
          <w:p>
            <w:pPr>
              <w:spacing w:after="40"/>
            </w:pPr>
            <w:r>
              <w:rPr>
                <w:b/>
                <w:color w:val="1D4ED8"/>
                <w:sz w:val="18"/>
              </w:rPr>
              <w:t xml:space="preserve">EXECUTIVE STATUS  </w:t>
            </w:r>
            <w:r>
              <w:rPr>
                <w:color w:val="1F293B"/>
                <w:sz w:val="19"/>
              </w:rPr>
              <w:t>The requested frontend work has been implemented from the Firewall Relays starting point through the final light/dark theme and button contrast pass. Real API and authentication flows are restored; local mock and auth-bypass code has been removed.</w:t>
            </w:r>
          </w:p>
        </w:tc>
      </w:tr>
    </w:tbl>
    <w:p>
      <w:pPr>
        <w:spacing w:after="20"/>
      </w:pPr>
    </w:p>
    <w:p>
      <w:pPr>
        <w:pStyle w:val="Heading1"/>
      </w:pPr>
      <w:r>
        <w:t>1. Executive Summary</w:t>
      </w:r>
    </w:p>
    <w:p>
      <w:pPr/>
      <w:r>
        <w:t>This report documents the frontend implementation and refinement work completed across the WarSOC application. The work began with the Firewall Relays navigation and UI requirement, expanded into dashboard-quality visual improvements, and concluded with a production cleanup and a final cross-app interaction pass.</w:t>
      </w:r>
    </w:p>
    <w:p>
      <w:pPr/>
      <w:r>
        <w:t>The resulting interface uses a consistent WarSOC visual language: strong information hierarchy, readable dark and light themes, shared button behavior, accessible status treatments, and professional spacing across operational pages.</w:t>
      </w:r>
    </w:p>
    <w:p>
      <w:pPr>
        <w:pStyle w:val="Heading1"/>
      </w:pPr>
      <w:r>
        <w:t>2. Firewall Relays Feature</w:t>
      </w:r>
    </w:p>
    <w:p>
      <w:pPr/>
      <w:r>
        <w:t>Firewall Relays was integrated as a capability-gated operational area in the sidebar and dashboard experience. The implementation preserves the existing API and role-based behavior while presenting relay information in a clearer, more polished layout.</w:t>
      </w:r>
    </w:p>
    <w:p>
      <w:pPr>
        <w:pStyle w:val="ListBullet"/>
        <w:spacing w:after="80" w:line="269" w:lineRule="auto"/>
        <w:ind w:left="360" w:hanging="216"/>
      </w:pPr>
      <w:r>
        <w:t>Added and refined the Firewall Relays sidebar destination and page-level navigation behavior.</w:t>
      </w:r>
    </w:p>
    <w:p>
      <w:pPr>
        <w:pStyle w:val="ListBullet"/>
        <w:spacing w:after="80" w:line="269" w:lineRule="auto"/>
        <w:ind w:left="360" w:hanging="216"/>
      </w:pPr>
      <w:r>
        <w:t>Connected the UI to the real `/network-relay/status` API for capability, relay, and device data.</w:t>
      </w:r>
    </w:p>
    <w:p>
      <w:pPr>
        <w:pStyle w:val="ListBullet"/>
        <w:spacing w:after="80" w:line="269" w:lineRule="auto"/>
        <w:ind w:left="360" w:hanging="216"/>
      </w:pPr>
      <w:r>
        <w:t>Kept entitlement and role checks intact so the item is shown only when the real backend capability permits it.</w:t>
      </w:r>
    </w:p>
    <w:p>
      <w:pPr>
        <w:pStyle w:val="ListBullet"/>
        <w:spacing w:after="80" w:line="269" w:lineRule="auto"/>
        <w:ind w:left="360" w:hanging="216"/>
      </w:pPr>
      <w:r>
        <w:t>Introduced clear relay health states: Active/Online, Degraded, Offline, and Revoked where applicable.</w:t>
      </w:r>
    </w:p>
    <w:p>
      <w:pPr>
        <w:pStyle w:val="ListBullet"/>
        <w:spacing w:after="80" w:line="269" w:lineRule="auto"/>
        <w:ind w:left="360" w:hanging="216"/>
      </w:pPr>
      <w:r>
        <w:t>Improved relay cards with stronger health badges, prominent relay identity, version/last-seen context, and registered-device grouping.</w:t>
      </w:r>
    </w:p>
    <w:p>
      <w:pPr>
        <w:pStyle w:val="ListBullet"/>
        <w:spacing w:after="80" w:line="269" w:lineRule="auto"/>
        <w:ind w:left="360" w:hanging="216"/>
      </w:pPr>
      <w:r>
        <w:t>Reworked device rows so device name and health are primary, while transport, last event, event type, clock confidence, drops, and bytes are scannable metadata.</w:t>
      </w:r>
    </w:p>
    <w:p>
      <w:pPr>
        <w:pStyle w:val="ListBullet"/>
        <w:spacing w:after="80" w:line="269" w:lineRule="auto"/>
        <w:ind w:left="360" w:hanging="216"/>
      </w:pPr>
      <w:r>
        <w:t>Added more internal and between-section spacing to make relay cards feel consistent with the Endpoints and Dashboard pages.</w:t>
      </w:r>
    </w:p>
    <w:p>
      <w:pPr>
        <w:pStyle w:val="Heading1"/>
      </w:pPr>
      <w:r>
        <w:t>3. Dashboard and Operations Visual Refinement</w:t>
      </w:r>
    </w:p>
    <w:p>
      <w:pPr/>
      <w:r>
        <w:t>The operations experience was brought closer to a professional SOC dashboard standard inspired by the visual clarity of Wazuh and Splunk-style monitoring interfaces, while keeping the WarSOC design language and existing functionality.</w:t>
      </w:r>
    </w:p>
    <w:p>
      <w:pPr>
        <w:pStyle w:val="ListBullet"/>
        <w:spacing w:after="80" w:line="269" w:lineRule="auto"/>
        <w:ind w:left="360" w:hanging="216"/>
      </w:pPr>
      <w:r>
        <w:t>Refined dashboard charts, stat cards, threat severity, telemetry breakdown, endpoint event load, MITRE coverage, and operations snapshot presentation.</w:t>
      </w:r>
    </w:p>
    <w:p>
      <w:pPr>
        <w:pStyle w:val="ListBullet"/>
        <w:spacing w:after="80" w:line="269" w:lineRule="auto"/>
        <w:ind w:left="360" w:hanging="216"/>
      </w:pPr>
      <w:r>
        <w:t>Improved chart card hierarchy, spacing, labels, legends, and light-theme readability.</w:t>
      </w:r>
    </w:p>
    <w:p>
      <w:pPr>
        <w:pStyle w:val="ListBullet"/>
        <w:spacing w:after="80" w:line="269" w:lineRule="auto"/>
        <w:ind w:left="360" w:hanging="216"/>
      </w:pPr>
      <w:r>
        <w:t>Supported user-controlled chart layout sizing and drag-based placement without changing underlying chart data or backend behavior.</w:t>
      </w:r>
    </w:p>
    <w:p>
      <w:pPr>
        <w:pStyle w:val="ListBullet"/>
        <w:spacing w:after="80" w:line="269" w:lineRule="auto"/>
        <w:ind w:left="360" w:hanging="216"/>
      </w:pPr>
      <w:r>
        <w:t>Improved endpoint context presentation so connected endpoint identity, agent ID, status, IP address, version, signing, and last-seen information are visible in the WarSOC terminology.</w:t>
      </w:r>
    </w:p>
    <w:p>
      <w:pPr>
        <w:pStyle w:val="ListBullet"/>
        <w:spacing w:after="80" w:line="269" w:lineRule="auto"/>
        <w:ind w:left="360" w:hanging="216"/>
      </w:pPr>
      <w:r>
        <w:t>Removed unnecessary chart minimize/maximize behavior where requested and preserved normal chart interaction patterns.</w:t>
      </w:r>
    </w:p>
    <w:p>
      <w:pPr>
        <w:pStyle w:val="ListBullet"/>
        <w:spacing w:after="80" w:line="269" w:lineRule="auto"/>
        <w:ind w:left="360" w:hanging="216"/>
      </w:pPr>
      <w:r>
        <w:t>Kept frontend-only notices separate from backend alert data so operational alerts remain appropriately scoped.</w:t>
      </w:r>
    </w:p>
    <w:p>
      <w:pPr>
        <w:pStyle w:val="Heading1"/>
      </w:pPr>
      <w:r>
        <w:t>4. Cross-Application Button and Interaction System</w:t>
      </w:r>
    </w:p>
    <w:p>
      <w:pPr/>
      <w:r>
        <w:t>A shared button treatment was introduced and then refined through visual verification. The intent was to eliminate inconsistent button behavior across Dashboard, Endpoints, Offline Log Analysis, Compliance &amp; Audit, Team &amp; Access, Firewall Relays, Pricing, and other pages.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88"/>
            <w:shd w:fill="0B2545"/>
            <w:vAlign w:val="center"/>
            <w:tcMar>
              <w:top w:w="100" w:type="dxa"/>
              <w:start w:w="120" w:type="dxa"/>
              <w:bottom w:w="100" w:type="dxa"/>
              <w:end w:w="120" w:type="dxa"/>
            </w:tcMar>
          </w:tcPr>
          <w:p>
            <w:pPr>
              <w:spacing w:after="0"/>
            </w:pPr>
            <w:r/>
            <w:r>
              <w:rPr>
                <w:rFonts w:ascii="Aptos" w:hAnsi="Aptos"/>
                <w:b/>
                <w:color w:val="FFFFFF"/>
                <w:sz w:val="18"/>
              </w:rPr>
              <w:t>Button type</w:t>
            </w:r>
          </w:p>
        </w:tc>
        <w:tc>
          <w:tcPr>
            <w:tcW w:type="dxa" w:w="3168"/>
            <w:shd w:fill="0B2545"/>
            <w:vAlign w:val="center"/>
            <w:tcMar>
              <w:top w:w="100" w:type="dxa"/>
              <w:start w:w="120" w:type="dxa"/>
              <w:bottom w:w="100" w:type="dxa"/>
              <w:end w:w="120" w:type="dxa"/>
            </w:tcMar>
          </w:tcPr>
          <w:p>
            <w:pPr>
              <w:spacing w:after="0"/>
            </w:pPr>
            <w:r/>
            <w:r>
              <w:rPr>
                <w:rFonts w:ascii="Aptos" w:hAnsi="Aptos"/>
                <w:b/>
                <w:color w:val="FFFFFF"/>
                <w:sz w:val="18"/>
              </w:rPr>
              <w:t>Rest state</w:t>
            </w:r>
          </w:p>
        </w:tc>
        <w:tc>
          <w:tcPr>
            <w:tcW w:type="dxa" w:w="3888"/>
            <w:shd w:fill="0B2545"/>
            <w:vAlign w:val="center"/>
            <w:tcMar>
              <w:top w:w="100" w:type="dxa"/>
              <w:start w:w="120" w:type="dxa"/>
              <w:bottom w:w="100" w:type="dxa"/>
              <w:end w:w="120" w:type="dxa"/>
            </w:tcMar>
          </w:tcPr>
          <w:p>
            <w:pPr>
              <w:spacing w:after="0"/>
            </w:pPr>
            <w:r/>
            <w:r>
              <w:rPr>
                <w:rFonts w:ascii="Aptos" w:hAnsi="Aptos"/>
                <w:b/>
                <w:color w:val="FFFFFF"/>
                <w:sz w:val="18"/>
              </w:rPr>
              <w:t>Hover / active behavior</w:t>
            </w:r>
          </w:p>
        </w:tc>
      </w:tr>
      <w:tr>
        <w:tc>
          <w:tcPr>
            <w:tcW w:type="dxa" w:w="3216"/>
            <w:vAlign w:val="center"/>
            <w:tcMar>
              <w:top w:w="100" w:type="dxa"/>
              <w:start w:w="120" w:type="dxa"/>
              <w:bottom w:w="100" w:type="dxa"/>
              <w:end w:w="120" w:type="dxa"/>
            </w:tcMar>
            <w:shd w:fill="F4F7FB"/>
          </w:tcPr>
          <w:p>
            <w:pPr>
              <w:spacing w:after="0"/>
            </w:pPr>
            <w:r/>
            <w:r>
              <w:rPr>
                <w:rFonts w:ascii="Aptos" w:hAnsi="Aptos"/>
                <w:b w:val="0"/>
                <w:color w:val="1F293B"/>
                <w:sz w:val="18"/>
              </w:rPr>
              <w:t>Primary</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Solid WarSOC accent blue; rounded, strong label</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Darker/lighter accent shift, lift, glow, and tactile pressed state</w:t>
            </w:r>
          </w:p>
        </w:tc>
      </w:tr>
      <w:tr>
        <w:tc>
          <w:tcPr>
            <w:tcW w:type="dxa" w:w="3216"/>
            <w:vAlign w:val="center"/>
            <w:tcMar>
              <w:top w:w="100" w:type="dxa"/>
              <w:start w:w="120" w:type="dxa"/>
              <w:bottom w:w="100" w:type="dxa"/>
              <w:end w:w="120" w:type="dxa"/>
            </w:tcMar>
            <w:shd w:fill="F4F7FB"/>
          </w:tcPr>
          <w:p>
            <w:pPr>
              <w:spacing w:after="0"/>
            </w:pPr>
            <w:r/>
            <w:r>
              <w:rPr>
                <w:rFonts w:ascii="Aptos" w:hAnsi="Aptos"/>
                <w:b w:val="0"/>
                <w:color w:val="1F293B"/>
                <w:sz w:val="18"/>
              </w:rPr>
              <w:t>Secondary</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Light theme uses a solid neutral surface with muted gray border; dark theme uses the matching dark surface</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Solid blue fill with white, heavier text for reliable contrast</w:t>
            </w:r>
          </w:p>
        </w:tc>
      </w:tr>
      <w:tr>
        <w:tc>
          <w:tcPr>
            <w:tcW w:type="dxa" w:w="3216"/>
            <w:vAlign w:val="center"/>
            <w:tcMar>
              <w:top w:w="100" w:type="dxa"/>
              <w:start w:w="120" w:type="dxa"/>
              <w:bottom w:w="100" w:type="dxa"/>
              <w:end w:w="120" w:type="dxa"/>
            </w:tcMar>
            <w:shd w:fill="F4F7FB"/>
          </w:tcPr>
          <w:p>
            <w:pPr>
              <w:spacing w:after="0"/>
            </w:pPr>
            <w:r/>
            <w:r>
              <w:rPr>
                <w:rFonts w:ascii="Aptos" w:hAnsi="Aptos"/>
                <w:b w:val="0"/>
                <w:color w:val="1F293B"/>
                <w:sz w:val="18"/>
              </w:rPr>
              <w:t>Danger / sign-out</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Red surface with white label and icon</w:t>
            </w:r>
          </w:p>
        </w:tc>
        <w:tc>
          <w:tcPr>
            <w:tcW w:type="dxa" w:w="3216"/>
            <w:vAlign w:val="center"/>
            <w:tcMar>
              <w:top w:w="100" w:type="dxa"/>
              <w:start w:w="120" w:type="dxa"/>
              <w:bottom w:w="100" w:type="dxa"/>
              <w:end w:w="120" w:type="dxa"/>
            </w:tcMar>
          </w:tcPr>
          <w:p>
            <w:pPr>
              <w:spacing w:after="0"/>
            </w:pPr>
            <w:r/>
            <w:r>
              <w:rPr>
                <w:rFonts w:ascii="Aptos" w:hAnsi="Aptos"/>
                <w:b w:val="0"/>
                <w:color w:val="1F293B"/>
                <w:sz w:val="18"/>
              </w:rPr>
              <w:t>Darker red hover, white label, and danger-focused shadow</w:t>
            </w:r>
          </w:p>
        </w:tc>
      </w:tr>
    </w:tbl>
    <w:p>
      <w:pPr>
        <w:pStyle w:val="Heading1"/>
      </w:pPr>
      <w:r>
        <w:t>5. Compliance, Profile, and Theme Quality</w:t>
      </w:r>
    </w:p>
    <w:p>
      <w:pPr>
        <w:pStyle w:val="ListBullet"/>
        <w:spacing w:after="80" w:line="269" w:lineRule="auto"/>
        <w:ind w:left="360" w:hanging="216"/>
      </w:pPr>
      <w:r>
        <w:t>Improved PECA Forensic Trail / Compliance &amp; Audit spacing, heading contrast, tab hierarchy, and Back to Catalog interaction.</w:t>
      </w:r>
    </w:p>
    <w:p>
      <w:pPr>
        <w:pStyle w:val="ListBullet"/>
        <w:spacing w:after="80" w:line="269" w:lineRule="auto"/>
        <w:ind w:left="360" w:hanging="216"/>
      </w:pPr>
      <w:r>
        <w:t>Made active and hovered compliance tabs readable in light mode with solid blue surfaces and white labels.</w:t>
      </w:r>
    </w:p>
    <w:p>
      <w:pPr>
        <w:pStyle w:val="ListBullet"/>
        <w:spacing w:after="80" w:line="269" w:lineRule="auto"/>
        <w:ind w:left="360" w:hanging="216"/>
      </w:pPr>
      <w:r>
        <w:t>Improved My Profile light-theme visibility for access role, workspace status icon, Two-factor Authentication content, and Save Profile action.</w:t>
      </w:r>
    </w:p>
    <w:p>
      <w:pPr>
        <w:pStyle w:val="ListBullet"/>
        <w:spacing w:after="80" w:line="269" w:lineRule="auto"/>
        <w:ind w:left="360" w:hanging="216"/>
      </w:pPr>
      <w:r>
        <w:t>Removed redundant Two-factor wording and kept a single clear Save Profile action.</w:t>
      </w:r>
    </w:p>
    <w:p>
      <w:pPr>
        <w:pStyle w:val="ListBullet"/>
        <w:spacing w:after="80" w:line="269" w:lineRule="auto"/>
        <w:ind w:left="360" w:hanging="216"/>
      </w:pPr>
      <w:r>
        <w:t>Aligned About section typography with the Hero section and highlighted the requested phrase in WarSOC lime green.</w:t>
      </w:r>
    </w:p>
    <w:p>
      <w:pPr>
        <w:pStyle w:val="ListBullet"/>
        <w:spacing w:after="80" w:line="269" w:lineRule="auto"/>
        <w:ind w:left="360" w:hanging="216"/>
      </w:pPr>
      <w:r>
        <w:t>Updated Pricing endpoint default from 10 to 15 while retaining the existing 10-50 permitted range.</w:t>
      </w:r>
    </w:p>
    <w:p>
      <w:pPr>
        <w:pStyle w:val="ListBullet"/>
        <w:spacing w:after="80" w:line="269" w:lineRule="auto"/>
        <w:ind w:left="360" w:hanging="216"/>
      </w:pPr>
      <w:r>
        <w:t>Normalized the Request Quote CTA to the shared blue primary treatment with white text.</w:t>
      </w:r>
    </w:p>
    <w:p>
      <w:pPr>
        <w:pStyle w:val="Heading1"/>
      </w:pPr>
      <w:r>
        <w:t>6. Temporary UI Testing Support and Production Cleanup</w:t>
      </w:r>
    </w:p>
    <w:p>
      <w:pPr/>
      <w:r>
        <w:t>Temporary local-only support was used during visual verification because the production backend returned a 404 for the relay status endpoint and local authentication was not available. This support was deliberately isolated and has now been removed as requested.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3384"/>
            <w:shd w:fill="0B2545"/>
            <w:vAlign w:val="center"/>
            <w:tcMar>
              <w:top w:w="100" w:type="dxa"/>
              <w:start w:w="120" w:type="dxa"/>
              <w:bottom w:w="100" w:type="dxa"/>
              <w:end w:w="120" w:type="dxa"/>
            </w:tcMar>
          </w:tcPr>
          <w:p>
            <w:pPr>
              <w:spacing w:after="0"/>
            </w:pPr>
            <w:r/>
            <w:r>
              <w:rPr>
                <w:rFonts w:ascii="Aptos" w:hAnsi="Aptos"/>
                <w:b/>
                <w:color w:val="FFFFFF"/>
                <w:sz w:val="18"/>
              </w:rPr>
              <w:t>Temporary area</w:t>
            </w:r>
          </w:p>
        </w:tc>
        <w:tc>
          <w:tcPr>
            <w:tcW w:type="dxa" w:w="5760"/>
            <w:shd w:fill="0B2545"/>
            <w:vAlign w:val="center"/>
            <w:tcMar>
              <w:top w:w="100" w:type="dxa"/>
              <w:start w:w="120" w:type="dxa"/>
              <w:bottom w:w="100" w:type="dxa"/>
              <w:end w:w="120" w:type="dxa"/>
            </w:tcMar>
          </w:tcPr>
          <w:p>
            <w:pPr>
              <w:spacing w:after="0"/>
            </w:pPr>
            <w:r/>
            <w:r>
              <w:rPr>
                <w:rFonts w:ascii="Aptos" w:hAnsi="Aptos"/>
                <w:b/>
                <w:color w:val="FFFFFF"/>
                <w:sz w:val="18"/>
              </w:rPr>
              <w:t>Final production state</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Mock relay data</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Removed `src/mockRelayData.js`; only the real `/network-relay/status` request remains.</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Development auth bypass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Removed `src/devAuthBypass.js`; `/auth/me` is always used by the real auth store.</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Protected/Public route bypass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Removed; protected routes require real auth and public routes follow normal session behavior.</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Local flags and diagnostics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Mock/bypass environment flags and the temporary capability diagnostic log were removed.</w:t>
            </w:r>
          </w:p>
        </w:tc>
      </w:tr>
    </w:tbl>
    <w:p>
      <w:pPr>
        <w:pStyle w:val="Heading1"/>
      </w:pPr>
      <w:r>
        <w:t>7. Verification and Quality Checks</w:t>
      </w:r>
    </w:p>
    <w:p>
      <w:pPr/>
      <w:r>
        <w:t>The final codebase was checked after the production cleanup and final visual styling pass.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880"/>
            <w:shd w:fill="0B2545"/>
            <w:vAlign w:val="center"/>
            <w:tcMar>
              <w:top w:w="100" w:type="dxa"/>
              <w:start w:w="120" w:type="dxa"/>
              <w:bottom w:w="100" w:type="dxa"/>
              <w:end w:w="120" w:type="dxa"/>
            </w:tcMar>
          </w:tcPr>
          <w:p>
            <w:pPr>
              <w:spacing w:after="0"/>
            </w:pPr>
            <w:r/>
            <w:r>
              <w:rPr>
                <w:rFonts w:ascii="Aptos" w:hAnsi="Aptos"/>
                <w:b/>
                <w:color w:val="FFFFFF"/>
                <w:sz w:val="18"/>
              </w:rPr>
              <w:t>Check</w:t>
            </w:r>
          </w:p>
        </w:tc>
        <w:tc>
          <w:tcPr>
            <w:tcW w:type="dxa" w:w="6263"/>
            <w:shd w:fill="0B2545"/>
            <w:vAlign w:val="center"/>
            <w:tcMar>
              <w:top w:w="100" w:type="dxa"/>
              <w:start w:w="120" w:type="dxa"/>
              <w:bottom w:w="100" w:type="dxa"/>
              <w:end w:w="120" w:type="dxa"/>
            </w:tcMar>
          </w:tcPr>
          <w:p>
            <w:pPr>
              <w:spacing w:after="0"/>
            </w:pPr>
            <w:r/>
            <w:r>
              <w:rPr>
                <w:rFonts w:ascii="Aptos" w:hAnsi="Aptos"/>
                <w:b/>
                <w:color w:val="FFFFFF"/>
                <w:sz w:val="18"/>
              </w:rPr>
              <w:t>Result</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ESLint</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Passed: `npm run lint`</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Production build</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Passed: `npm run build`</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Temporary markers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No `TEMP MOCK` or `TEMP DEV BYPASS` traces remain.</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Temporary diagnostics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No temporary capability `console.log` remains.</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Environment cleanup</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`.env.local` retains only legitimate local API/WebSocket/relay configuration.</w:t>
            </w:r>
          </w:p>
        </w:tc>
      </w:tr>
      <w:tr>
        <w:tc>
          <w:tcPr>
            <w:tcW w:type="dxa" w:w="4824"/>
            <w:vAlign w:val="center"/>
            <w:tcMar>
              <w:top w:w="100" w:type="dxa"/>
              <w:start w:w="120" w:type="dxa"/>
              <w:bottom w:w="100" w:type="dxa"/>
              <w:end w:w="120" w:type="dxa"/>
            </w:tcMar>
          </w:tcPr>
          <w:p>
            <w:pPr>
              <w:spacing w:after="0"/>
            </w:pPr>
            <w:r/>
            <w:r>
              <w:rPr>
                <w:rFonts w:ascii="Aptos" w:hAnsi="Aptos"/>
                <w:b/>
                <w:color w:val="1D4ED8"/>
                <w:sz w:val="18"/>
              </w:rPr>
              <w:t>Real integration paths</w:t>
            </w:r>
          </w:p>
        </w:tc>
        <w:tc>
          <w:tcPr>
            <w:tcW w:type="dxa" w:w="4824"/>
            <w:vAlign w:val="center"/>
            <w:tcMar>
              <w:top w:w="100" w:type="dxa"/>
              <w:start w:w="120" w:type="dxa"/>
              <w:bottom w:w="100" w:type="dxa"/>
              <w:end w:w="120" w:type="dxa"/>
            </w:tcMar>
          </w:tcPr>
          <w:p>
            <w:pPr>
              <w:spacing w:after="0"/>
            </w:pPr>
            <w:r/>
            <w:r>
              <w:rPr>
                <w:rFonts w:ascii="Aptos" w:hAnsi="Aptos"/>
                <w:b w:val="0"/>
                <w:color w:val="1F293B"/>
                <w:sz w:val="18"/>
              </w:rPr>
              <w:t>Relay status and `/auth/me` use real API calls with existing role/auth logic intact.</w:t>
            </w:r>
          </w:p>
        </w:tc>
      </w:tr>
    </w:tbl>
    <w:p>
      <w:pPr>
        <w:pStyle w:val="Heading1"/>
      </w:pPr>
      <w:r>
        <w:t>8. Final Outcome</w:t>
      </w:r>
    </w:p>
    <w:tbl>
      <w:tblPr>
        <w:tblW w:type="auto" w:w="0"/>
        <w:jc w:val="center"/>
        <w:tblLayout w:type="fixed"/>
        <w:tblLook w:firstColumn="1" w:firstRow="1" w:lastColumn="0" w:lastRow="0" w:noHBand="0" w:noVBand="1" w:val="04A0"/>
      </w:tblPr>
      <w:tblGrid>
        <w:gridCol w:w="9000"/>
      </w:tblGrid>
      <w:tr>
        <w:tc>
          <w:tcPr>
            <w:tcW w:type="dxa" w:w="9648"/>
            <w:shd w:fill="ECFDF3"/>
            <w:tcMar>
              <w:top w:w="150" w:type="dxa"/>
              <w:start w:w="180" w:type="dxa"/>
              <w:bottom w:w="150" w:type="dxa"/>
              <w:end w:w="180" w:type="dxa"/>
            </w:tcMar>
          </w:tcPr>
          <w:p>
            <w:pPr>
              <w:spacing w:after="40"/>
            </w:pPr>
            <w:r>
              <w:rPr>
                <w:b/>
                <w:color w:val="1D4ED8"/>
                <w:sz w:val="18"/>
              </w:rPr>
              <w:t xml:space="preserve">COMPLETION  </w:t>
            </w:r>
            <w:r>
              <w:rPr>
                <w:color w:val="1F293B"/>
                <w:sz w:val="19"/>
              </w:rPr>
              <w:t>WarSOC now has a cohesive, production-ready frontend presentation from Firewall Relays through the wider dashboard and supporting pages. The visual work is complete, real integrations are restored, and the temporary local testing scaffolding has been removed.</w:t>
            </w:r>
          </w:p>
        </w:tc>
      </w:tr>
    </w:tbl>
    <w:p>
      <w:pPr>
        <w:spacing w:after="20"/>
      </w:pPr>
    </w:p>
    <w:p>
      <w:pPr/>
      <w:r>
        <w:t>Recommended next step: perform a final authenticated browser walkthrough against the production backend, focusing on entitlement-gated Firewall Relays states, role restrictions, relay/device actions, and responsive behavior at the supported viewport sizes.</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B82"/>
        <w:sz w:val="16"/>
      </w:rPr>
      <w:t xml:space="preserve">Confidential • WarSOC Product Engineering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B82"/>
        <w:sz w:val="16"/>
      </w:rPr>
      <w:t>WARSOC  |  FRONTEND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1F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