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pPr>
      <w:r>
        <w:rPr>
          <w:rFonts w:ascii="Aptos Display" w:hAnsi="Aptos Display"/>
          <w:b/>
          <w:color w:val="000000"/>
          <w:sz w:val="48"/>
        </w:rPr>
        <w:t>WarSOC Frontend Implementation Documentation</w:t>
      </w:r>
    </w:p>
    <w:p>
      <w:pPr>
        <w:spacing w:after="360"/>
      </w:pPr>
      <w:r>
        <w:rPr>
          <w:rFonts w:ascii="Aptos" w:hAnsi="Aptos"/>
          <w:color w:val="475569"/>
          <w:sz w:val="24"/>
        </w:rPr>
        <w:t>Complete UI UX navigation responsiveness and production cleanup record</w:t>
      </w:r>
    </w:p>
    <w:tbl>
      <w:tblPr>
        <w:tblW w:type="auto" w:w="0"/>
        <w:jc w:val="center"/>
        <w:tblLayout w:type="fixed"/>
        <w:tblLook w:firstColumn="1" w:firstRow="1" w:lastColumn="0" w:lastRow="0" w:noHBand="0" w:noVBand="1" w:val="04A0"/>
        <w:tblBorders>
          <w:top w:val="single" w:sz="6" w:space="0" w:color="D9E1EA"/>
          <w:left w:val="single" w:sz="6" w:space="0" w:color="D9E1EA"/>
          <w:bottom w:val="single" w:sz="6" w:space="0" w:color="D9E1EA"/>
          <w:right w:val="single" w:sz="6" w:space="0" w:color="D9E1EA"/>
          <w:insideH w:val="single" w:sz="6" w:space="0" w:color="D9E1EA"/>
          <w:insideV w:val="single" w:sz="6" w:space="0" w:color="D9E1EA"/>
        </w:tblBorders>
      </w:tblPr>
      <w:tblGrid>
        <w:gridCol w:w="2498"/>
        <w:gridCol w:w="2498"/>
        <w:gridCol w:w="2498"/>
        <w:gridCol w:w="2498"/>
      </w:tblGrid>
      <w:tr>
        <w:trPr>
          <w:tblHeader w:val="true"/>
        </w:trPr>
        <w:tc>
          <w:tcPr>
            <w:tcW w:type="dxa" w:w="1944"/>
            <w:shd w:fill="173B63"/>
            <w:vAlign w:val="center"/>
            <w:tcMar>
              <w:top w:w="130" w:type="dxa"/>
              <w:start w:w="130" w:type="dxa"/>
              <w:bottom w:w="130" w:type="dxa"/>
              <w:end w:w="130" w:type="dxa"/>
            </w:tcMar>
          </w:tcPr>
          <w:p>
            <w:pPr>
              <w:spacing w:after="0"/>
            </w:pPr>
            <w:r>
              <w:rPr>
                <w:rFonts w:ascii="Aptos" w:hAnsi="Aptos"/>
                <w:b/>
                <w:color w:val="FFFFFF"/>
                <w:sz w:val="19"/>
              </w:rPr>
              <w:t>Project</w:t>
            </w:r>
          </w:p>
        </w:tc>
        <w:tc>
          <w:tcPr>
            <w:tcW w:type="dxa" w:w="4392"/>
            <w:shd w:fill="173B63"/>
            <w:vAlign w:val="center"/>
            <w:tcMar>
              <w:top w:w="130" w:type="dxa"/>
              <w:start w:w="130" w:type="dxa"/>
              <w:bottom w:w="130" w:type="dxa"/>
              <w:end w:w="130" w:type="dxa"/>
            </w:tcMar>
          </w:tcPr>
          <w:p>
            <w:pPr>
              <w:spacing w:after="0"/>
            </w:pPr>
            <w:r>
              <w:rPr>
                <w:rFonts w:ascii="Aptos" w:hAnsi="Aptos"/>
                <w:b/>
                <w:color w:val="FFFFFF"/>
                <w:sz w:val="19"/>
              </w:rPr>
              <w:t>Scope</w:t>
            </w:r>
          </w:p>
        </w:tc>
        <w:tc>
          <w:tcPr>
            <w:tcW w:type="dxa" w:w="1728"/>
            <w:shd w:fill="173B63"/>
            <w:vAlign w:val="center"/>
            <w:tcMar>
              <w:top w:w="130" w:type="dxa"/>
              <w:start w:w="130" w:type="dxa"/>
              <w:bottom w:w="130" w:type="dxa"/>
              <w:end w:w="130" w:type="dxa"/>
            </w:tcMar>
          </w:tcPr>
          <w:p>
            <w:pPr>
              <w:spacing w:after="0"/>
            </w:pPr>
            <w:r>
              <w:rPr>
                <w:rFonts w:ascii="Aptos" w:hAnsi="Aptos"/>
                <w:b/>
                <w:color w:val="FFFFFF"/>
                <w:sz w:val="19"/>
              </w:rPr>
              <w:t>Document date</w:t>
            </w:r>
          </w:p>
        </w:tc>
        <w:tc>
          <w:tcPr>
            <w:tcW w:type="dxa" w:w="1728"/>
            <w:shd w:fill="173B63"/>
            <w:vAlign w:val="center"/>
            <w:tcMar>
              <w:top w:w="130" w:type="dxa"/>
              <w:start w:w="130" w:type="dxa"/>
              <w:bottom w:w="130" w:type="dxa"/>
              <w:end w:w="130" w:type="dxa"/>
            </w:tcMar>
          </w:tcPr>
          <w:p>
            <w:pPr>
              <w:spacing w:after="0"/>
            </w:pPr>
            <w:r>
              <w:rPr>
                <w:rFonts w:ascii="Aptos" w:hAnsi="Aptos"/>
                <w:b/>
                <w:color w:val="FFFFFF"/>
                <w:sz w:val="19"/>
              </w:rPr>
              <w:t>Status</w:t>
            </w:r>
          </w:p>
        </w:tc>
      </w:tr>
      <w:tr>
        <w:tc>
          <w:tcPr>
            <w:tcW w:type="dxa" w:w="1944"/>
            <w:shd w:fill="FFFFFF"/>
            <w:vAlign w:val="center"/>
            <w:tcMar>
              <w:top w:w="120" w:type="dxa"/>
              <w:start w:w="130" w:type="dxa"/>
              <w:bottom w:w="120" w:type="dxa"/>
              <w:end w:w="130" w:type="dxa"/>
            </w:tcMar>
          </w:tcPr>
          <w:p>
            <w:pPr>
              <w:spacing w:after="0" w:line="252" w:lineRule="auto"/>
            </w:pPr>
            <w:r>
              <w:rPr>
                <w:rFonts w:ascii="Aptos" w:hAnsi="Aptos"/>
                <w:color w:val="334155"/>
                <w:sz w:val="18"/>
              </w:rPr>
              <w:t>WarSOC SIEM frontend</w:t>
            </w:r>
          </w:p>
        </w:tc>
        <w:tc>
          <w:tcPr>
            <w:tcW w:type="dxa" w:w="4392"/>
            <w:shd w:fill="FFFFFF"/>
            <w:vAlign w:val="center"/>
            <w:tcMar>
              <w:top w:w="120" w:type="dxa"/>
              <w:start w:w="130" w:type="dxa"/>
              <w:bottom w:w="120" w:type="dxa"/>
              <w:end w:w="130" w:type="dxa"/>
            </w:tcMar>
          </w:tcPr>
          <w:p>
            <w:pPr>
              <w:spacing w:after="0" w:line="252" w:lineRule="auto"/>
            </w:pPr>
            <w:r>
              <w:rPr>
                <w:rFonts w:ascii="Aptos" w:hAnsi="Aptos"/>
                <w:color w:val="334155"/>
                <w:sz w:val="18"/>
              </w:rPr>
              <w:t>Dashboard shell, workspaces, charts, themes and responsive behavior</w:t>
            </w:r>
          </w:p>
        </w:tc>
        <w:tc>
          <w:tcPr>
            <w:tcW w:type="dxa" w:w="1728"/>
            <w:shd w:fill="FFFFFF"/>
            <w:vAlign w:val="center"/>
            <w:tcMar>
              <w:top w:w="120" w:type="dxa"/>
              <w:start w:w="130" w:type="dxa"/>
              <w:bottom w:w="120" w:type="dxa"/>
              <w:end w:w="130" w:type="dxa"/>
            </w:tcMar>
          </w:tcPr>
          <w:p>
            <w:pPr>
              <w:spacing w:after="0" w:line="252" w:lineRule="auto"/>
            </w:pPr>
            <w:r>
              <w:rPr>
                <w:rFonts w:ascii="Aptos" w:hAnsi="Aptos"/>
                <w:color w:val="334155"/>
                <w:sz w:val="18"/>
              </w:rPr>
              <w:t>24 September 2026</w:t>
            </w:r>
          </w:p>
        </w:tc>
        <w:tc>
          <w:tcPr>
            <w:tcW w:type="dxa" w:w="1728"/>
            <w:shd w:fill="FFFFFF"/>
            <w:vAlign w:val="center"/>
            <w:tcMar>
              <w:top w:w="120" w:type="dxa"/>
              <w:start w:w="130" w:type="dxa"/>
              <w:bottom w:w="120" w:type="dxa"/>
              <w:end w:w="130" w:type="dxa"/>
            </w:tcMar>
          </w:tcPr>
          <w:p>
            <w:pPr>
              <w:spacing w:after="0" w:line="252" w:lineRule="auto"/>
            </w:pPr>
            <w:r>
              <w:rPr>
                <w:rFonts w:ascii="Aptos" w:hAnsi="Aptos"/>
                <w:color w:val="334155"/>
                <w:sz w:val="18"/>
              </w:rPr>
              <w:t>Implemented and validated</w:t>
            </w:r>
          </w:p>
        </w:tc>
      </w:tr>
    </w:tbl>
    <w:p>
      <w:pPr>
        <w:spacing w:after="40"/>
      </w:pPr>
    </w:p>
    <w:p>
      <w:pPr>
        <w:pStyle w:val="Heading1"/>
        <w:keepNext/>
      </w:pPr>
      <w:r>
        <w:rPr>
          <w:rFonts w:ascii="Aptos" w:hAnsi="Aptos"/>
          <w:b/>
          <w:color w:val="000000"/>
          <w:sz w:val="30"/>
        </w:rPr>
        <w:t>1 Executive Summary</w:t>
      </w:r>
    </w:p>
    <w:p>
      <w:pPr>
        <w:spacing w:after="140" w:line="269" w:lineRule="auto"/>
      </w:pPr>
      <w:r>
        <w:rPr>
          <w:rFonts w:ascii="Aptos" w:hAnsi="Aptos"/>
          <w:color w:val="334155"/>
          <w:sz w:val="21"/>
        </w:rPr>
        <w:t>This document records the complete frontend design, navigation, responsiveness, chart, theme and cleanup work completed across the WarSOC SIEM application. The work was driven by a series of visual reviews and interaction fixes, with the goal of making the product feel like a professional SOC dashboard rather than a generic application shell.</w:t>
      </w:r>
    </w:p>
    <w:p>
      <w:pPr>
        <w:spacing w:after="140" w:line="269" w:lineRule="auto"/>
      </w:pPr>
      <w:r>
        <w:rPr>
          <w:rFonts w:ascii="Aptos" w:hAnsi="Aptos"/>
          <w:color w:val="334155"/>
          <w:sz w:val="21"/>
        </w:rPr>
        <w:t>The final result keeps the protected dashboard architecture intact while improving the information hierarchy, navigation discoverability, readable light and dark themes, chart presentation, endpoint operations views and behavior across sidebar-open, sidebar-closed, zoomed and wide-screen layouts.</w:t>
      </w:r>
    </w:p>
    <w:p>
      <w:pPr>
        <w:pStyle w:val="Heading1"/>
        <w:keepNext/>
      </w:pPr>
      <w:r>
        <w:rPr>
          <w:rFonts w:ascii="Aptos" w:hAnsi="Aptos"/>
          <w:b/>
          <w:color w:val="000000"/>
          <w:sz w:val="30"/>
        </w:rPr>
        <w:t>2 Work Completed At A Glance</w:t>
      </w:r>
    </w:p>
    <w:tbl>
      <w:tblPr>
        <w:tblW w:type="auto" w:w="0"/>
        <w:jc w:val="center"/>
        <w:tblLayout w:type="fixed"/>
        <w:tblLook w:firstColumn="1" w:firstRow="1" w:lastColumn="0" w:lastRow="0" w:noHBand="0" w:noVBand="1" w:val="04A0"/>
        <w:tblBorders>
          <w:top w:val="single" w:sz="6" w:space="0" w:color="D9E1EA"/>
          <w:left w:val="single" w:sz="6" w:space="0" w:color="D9E1EA"/>
          <w:bottom w:val="single" w:sz="6" w:space="0" w:color="D9E1EA"/>
          <w:right w:val="single" w:sz="6" w:space="0" w:color="D9E1EA"/>
          <w:insideH w:val="single" w:sz="6" w:space="0" w:color="D9E1EA"/>
          <w:insideV w:val="single" w:sz="6" w:space="0" w:color="D9E1EA"/>
        </w:tblBorders>
      </w:tblPr>
      <w:tblGrid>
        <w:gridCol w:w="4997"/>
        <w:gridCol w:w="4997"/>
      </w:tblGrid>
      <w:tr>
        <w:trPr>
          <w:tblHeader w:val="true"/>
        </w:trPr>
        <w:tc>
          <w:tcPr>
            <w:tcW w:type="dxa" w:w="1800"/>
            <w:shd w:fill="173B63"/>
            <w:vAlign w:val="center"/>
            <w:tcMar>
              <w:top w:w="130" w:type="dxa"/>
              <w:start w:w="130" w:type="dxa"/>
              <w:bottom w:w="130" w:type="dxa"/>
              <w:end w:w="130" w:type="dxa"/>
            </w:tcMar>
          </w:tcPr>
          <w:p>
            <w:pPr>
              <w:spacing w:after="0"/>
            </w:pPr>
            <w:r>
              <w:rPr>
                <w:rFonts w:ascii="Aptos" w:hAnsi="Aptos"/>
                <w:b/>
                <w:color w:val="FFFFFF"/>
                <w:sz w:val="19"/>
              </w:rPr>
              <w:t>Area</w:t>
            </w:r>
          </w:p>
        </w:tc>
        <w:tc>
          <w:tcPr>
            <w:tcW w:type="dxa" w:w="7992"/>
            <w:shd w:fill="173B63"/>
            <w:vAlign w:val="center"/>
            <w:tcMar>
              <w:top w:w="130" w:type="dxa"/>
              <w:start w:w="130" w:type="dxa"/>
              <w:bottom w:w="130" w:type="dxa"/>
              <w:end w:w="130" w:type="dxa"/>
            </w:tcMar>
          </w:tcPr>
          <w:p>
            <w:pPr>
              <w:spacing w:after="0"/>
            </w:pPr>
            <w:r>
              <w:rPr>
                <w:rFonts w:ascii="Aptos" w:hAnsi="Aptos"/>
                <w:b/>
                <w:color w:val="FFFFFF"/>
                <w:sz w:val="19"/>
              </w:rPr>
              <w:t>Outcome</w:t>
            </w:r>
          </w:p>
        </w:tc>
      </w:tr>
      <w:tr>
        <w:tc>
          <w:tcPr>
            <w:tcW w:type="dxa" w:w="1800"/>
            <w:shd w:fill="FFFFFF"/>
            <w:vAlign w:val="center"/>
            <w:tcMar>
              <w:top w:w="120" w:type="dxa"/>
              <w:start w:w="130" w:type="dxa"/>
              <w:bottom w:w="120" w:type="dxa"/>
              <w:end w:w="130" w:type="dxa"/>
            </w:tcMar>
          </w:tcPr>
          <w:p>
            <w:pPr>
              <w:spacing w:after="0" w:line="252" w:lineRule="auto"/>
            </w:pPr>
            <w:r>
              <w:rPr>
                <w:rFonts w:ascii="Aptos" w:hAnsi="Aptos"/>
                <w:color w:val="334155"/>
                <w:sz w:val="18"/>
              </w:rPr>
              <w:t>Navigation</w:t>
            </w:r>
          </w:p>
        </w:tc>
        <w:tc>
          <w:tcPr>
            <w:tcW w:type="dxa" w:w="7992"/>
            <w:shd w:fill="FFFFFF"/>
            <w:vAlign w:val="center"/>
            <w:tcMar>
              <w:top w:w="120" w:type="dxa"/>
              <w:start w:w="130" w:type="dxa"/>
              <w:bottom w:w="120" w:type="dxa"/>
              <w:end w:w="130" w:type="dxa"/>
            </w:tcMar>
          </w:tcPr>
          <w:p>
            <w:pPr>
              <w:spacing w:after="0" w:line="252" w:lineRule="auto"/>
            </w:pPr>
            <w:r>
              <w:rPr>
                <w:rFonts w:ascii="Aptos" w:hAnsi="Aptos"/>
                <w:color w:val="334155"/>
                <w:sz w:val="18"/>
              </w:rPr>
              <w:t>Moved secondary workspace navigation into a More menu and retained the most important operational destinations in the sidebar.</w:t>
            </w:r>
          </w:p>
        </w:tc>
      </w:tr>
      <w:tr>
        <w:tc>
          <w:tcPr>
            <w:tcW w:type="dxa" w:w="1800"/>
            <w:shd w:fill="F5F8FC"/>
            <w:vAlign w:val="center"/>
            <w:tcMar>
              <w:top w:w="120" w:type="dxa"/>
              <w:start w:w="130" w:type="dxa"/>
              <w:bottom w:w="120" w:type="dxa"/>
              <w:end w:w="130" w:type="dxa"/>
            </w:tcMar>
          </w:tcPr>
          <w:p>
            <w:pPr>
              <w:spacing w:after="0" w:line="252" w:lineRule="auto"/>
            </w:pPr>
            <w:r>
              <w:rPr>
                <w:rFonts w:ascii="Aptos" w:hAnsi="Aptos"/>
                <w:color w:val="334155"/>
                <w:sz w:val="18"/>
              </w:rPr>
              <w:t>Dashboard shell</w:t>
            </w:r>
          </w:p>
        </w:tc>
        <w:tc>
          <w:tcPr>
            <w:tcW w:type="dxa" w:w="7992"/>
            <w:shd w:fill="F5F8FC"/>
            <w:vAlign w:val="center"/>
            <w:tcMar>
              <w:top w:w="120" w:type="dxa"/>
              <w:start w:w="130" w:type="dxa"/>
              <w:bottom w:w="120" w:type="dxa"/>
              <w:end w:w="130" w:type="dxa"/>
            </w:tcMar>
          </w:tcPr>
          <w:p>
            <w:pPr>
              <w:spacing w:after="0" w:line="252" w:lineRule="auto"/>
            </w:pPr>
            <w:r>
              <w:rPr>
                <w:rFonts w:ascii="Aptos" w:hAnsi="Aptos"/>
                <w:color w:val="334155"/>
                <w:sz w:val="18"/>
              </w:rPr>
              <w:t>Aligned header, endpoint context, content gutters and responsive full-width behavior when the sidebar is closed.</w:t>
            </w:r>
          </w:p>
        </w:tc>
      </w:tr>
      <w:tr>
        <w:tc>
          <w:tcPr>
            <w:tcW w:type="dxa" w:w="1800"/>
            <w:shd w:fill="FFFFFF"/>
            <w:vAlign w:val="center"/>
            <w:tcMar>
              <w:top w:w="120" w:type="dxa"/>
              <w:start w:w="130" w:type="dxa"/>
              <w:bottom w:w="120" w:type="dxa"/>
              <w:end w:w="130" w:type="dxa"/>
            </w:tcMar>
          </w:tcPr>
          <w:p>
            <w:pPr>
              <w:spacing w:after="0" w:line="252" w:lineRule="auto"/>
            </w:pPr>
            <w:r>
              <w:rPr>
                <w:rFonts w:ascii="Aptos" w:hAnsi="Aptos"/>
                <w:color w:val="334155"/>
                <w:sz w:val="18"/>
              </w:rPr>
              <w:t>Charts</w:t>
            </w:r>
          </w:p>
        </w:tc>
        <w:tc>
          <w:tcPr>
            <w:tcW w:type="dxa" w:w="7992"/>
            <w:shd w:fill="FFFFFF"/>
            <w:vAlign w:val="center"/>
            <w:tcMar>
              <w:top w:w="120" w:type="dxa"/>
              <w:start w:w="130" w:type="dxa"/>
              <w:bottom w:w="120" w:type="dxa"/>
              <w:end w:w="130" w:type="dxa"/>
            </w:tcMar>
          </w:tcPr>
          <w:p>
            <w:pPr>
              <w:spacing w:after="0" w:line="252" w:lineRule="auto"/>
            </w:pPr>
            <w:r>
              <w:rPr>
                <w:rFonts w:ascii="Aptos" w:hAnsi="Aptos"/>
                <w:color w:val="334155"/>
                <w:sz w:val="18"/>
              </w:rPr>
              <w:t>Reworked gridlines, labels, colors, empty states, tooltips, legends, donut styling and chart controls.</w:t>
            </w:r>
          </w:p>
        </w:tc>
      </w:tr>
      <w:tr>
        <w:tc>
          <w:tcPr>
            <w:tcW w:type="dxa" w:w="1800"/>
            <w:shd w:fill="F5F8FC"/>
            <w:vAlign w:val="center"/>
            <w:tcMar>
              <w:top w:w="120" w:type="dxa"/>
              <w:start w:w="130" w:type="dxa"/>
              <w:bottom w:w="120" w:type="dxa"/>
              <w:end w:w="130" w:type="dxa"/>
            </w:tcMar>
          </w:tcPr>
          <w:p>
            <w:pPr>
              <w:spacing w:after="0" w:line="252" w:lineRule="auto"/>
            </w:pPr>
            <w:r>
              <w:rPr>
                <w:rFonts w:ascii="Aptos" w:hAnsi="Aptos"/>
                <w:color w:val="334155"/>
                <w:sz w:val="18"/>
              </w:rPr>
              <w:t>Endpoints</w:t>
            </w:r>
          </w:p>
        </w:tc>
        <w:tc>
          <w:tcPr>
            <w:tcW w:type="dxa" w:w="7992"/>
            <w:shd w:fill="F5F8FC"/>
            <w:vAlign w:val="center"/>
            <w:tcMar>
              <w:top w:w="120" w:type="dxa"/>
              <w:start w:w="130" w:type="dxa"/>
              <w:bottom w:w="120" w:type="dxa"/>
              <w:end w:w="130" w:type="dxa"/>
            </w:tcMar>
          </w:tcPr>
          <w:p>
            <w:pPr>
              <w:spacing w:after="0" w:line="252" w:lineRule="auto"/>
            </w:pPr>
            <w:r>
              <w:rPr>
                <w:rFonts w:ascii="Aptos" w:hAnsi="Aptos"/>
                <w:color w:val="334155"/>
                <w:sz w:val="18"/>
              </w:rPr>
              <w:t>Simplified version display, refined endpoint cards and removed the duplicate page-level Download Agent action.</w:t>
            </w:r>
          </w:p>
        </w:tc>
      </w:tr>
      <w:tr>
        <w:tc>
          <w:tcPr>
            <w:tcW w:type="dxa" w:w="1800"/>
            <w:shd w:fill="FFFFFF"/>
            <w:vAlign w:val="center"/>
            <w:tcMar>
              <w:top w:w="120" w:type="dxa"/>
              <w:start w:w="130" w:type="dxa"/>
              <w:bottom w:w="120" w:type="dxa"/>
              <w:end w:w="130" w:type="dxa"/>
            </w:tcMar>
          </w:tcPr>
          <w:p>
            <w:pPr>
              <w:spacing w:after="0" w:line="252" w:lineRule="auto"/>
            </w:pPr>
            <w:r>
              <w:rPr>
                <w:rFonts w:ascii="Aptos" w:hAnsi="Aptos"/>
                <w:color w:val="334155"/>
                <w:sz w:val="18"/>
              </w:rPr>
              <w:t>Themes</w:t>
            </w:r>
          </w:p>
        </w:tc>
        <w:tc>
          <w:tcPr>
            <w:tcW w:type="dxa" w:w="7992"/>
            <w:shd w:fill="FFFFFF"/>
            <w:vAlign w:val="center"/>
            <w:tcMar>
              <w:top w:w="120" w:type="dxa"/>
              <w:start w:w="130" w:type="dxa"/>
              <w:bottom w:w="120" w:type="dxa"/>
              <w:end w:w="130" w:type="dxa"/>
            </w:tcMar>
          </w:tcPr>
          <w:p>
            <w:pPr>
              <w:spacing w:after="0" w:line="252" w:lineRule="auto"/>
            </w:pPr>
            <w:r>
              <w:rPr>
                <w:rFonts w:ascii="Aptos" w:hAnsi="Aptos"/>
                <w:color w:val="334155"/>
                <w:sz w:val="18"/>
              </w:rPr>
              <w:t>Improved light and dark theme contrast for text, icons, controls, loading states and interactive states.</w:t>
            </w:r>
          </w:p>
        </w:tc>
      </w:tr>
      <w:tr>
        <w:tc>
          <w:tcPr>
            <w:tcW w:type="dxa" w:w="1800"/>
            <w:shd w:fill="F5F8FC"/>
            <w:vAlign w:val="center"/>
            <w:tcMar>
              <w:top w:w="120" w:type="dxa"/>
              <w:start w:w="130" w:type="dxa"/>
              <w:bottom w:w="120" w:type="dxa"/>
              <w:end w:w="130" w:type="dxa"/>
            </w:tcMar>
          </w:tcPr>
          <w:p>
            <w:pPr>
              <w:spacing w:after="0" w:line="252" w:lineRule="auto"/>
            </w:pPr>
            <w:r>
              <w:rPr>
                <w:rFonts w:ascii="Aptos" w:hAnsi="Aptos"/>
                <w:color w:val="334155"/>
                <w:sz w:val="18"/>
              </w:rPr>
              <w:t>Security and cleanup</w:t>
            </w:r>
          </w:p>
        </w:tc>
        <w:tc>
          <w:tcPr>
            <w:tcW w:type="dxa" w:w="7992"/>
            <w:shd w:fill="F5F8FC"/>
            <w:vAlign w:val="center"/>
            <w:tcMar>
              <w:top w:w="120" w:type="dxa"/>
              <w:start w:w="130" w:type="dxa"/>
              <w:bottom w:w="120" w:type="dxa"/>
              <w:end w:w="130" w:type="dxa"/>
            </w:tcMar>
          </w:tcPr>
          <w:p>
            <w:pPr>
              <w:spacing w:after="0" w:line="252" w:lineRule="auto"/>
            </w:pPr>
            <w:r>
              <w:rPr>
                <w:rFonts w:ascii="Aptos" w:hAnsi="Aptos"/>
                <w:color w:val="334155"/>
                <w:sz w:val="18"/>
              </w:rPr>
              <w:t>Removed temporary local bypass and mock-data blocks, preserved protected-route enforcement and verified production build tooling.</w:t>
            </w:r>
          </w:p>
        </w:tc>
      </w:tr>
    </w:tbl>
    <w:p>
      <w:pPr>
        <w:spacing w:after="40"/>
      </w:pPr>
    </w:p>
    <w:p>
      <w:pPr>
        <w:pStyle w:val="Heading1"/>
        <w:keepNext/>
      </w:pPr>
      <w:r>
        <w:rPr>
          <w:rFonts w:ascii="Aptos" w:hAnsi="Aptos"/>
          <w:b/>
          <w:color w:val="000000"/>
          <w:sz w:val="30"/>
        </w:rPr>
        <w:t>3 Navigation And Information Architecture</w:t>
      </w:r>
    </w:p>
    <w:p>
      <w:pPr>
        <w:spacing w:after="140" w:line="269" w:lineRule="auto"/>
      </w:pPr>
      <w:r>
        <w:rPr>
          <w:rFonts w:ascii="Aptos" w:hAnsi="Aptos"/>
          <w:color w:val="334155"/>
          <w:sz w:val="21"/>
        </w:rPr>
        <w:t>The navigation was reorganized so the dashboard remains the primary landing page while operational modules remain easy to reach. The sidebar was reduced to the core SOC destinations, and lower-frequency administrative or compliance destinations were grouped into the More control next to global search.</w:t>
      </w:r>
    </w:p>
    <w:p>
      <w:pPr>
        <w:pStyle w:val="Heading2"/>
        <w:keepNext/>
      </w:pPr>
      <w:r>
        <w:rPr>
          <w:rFonts w:ascii="Aptos" w:hAnsi="Aptos"/>
          <w:b/>
          <w:color w:val="000000"/>
          <w:sz w:val="24"/>
        </w:rPr>
        <w:t>3.1 Sidebar structure</w:t>
      </w:r>
    </w:p>
    <w:p>
      <w:pPr>
        <w:pStyle w:val="ListBullet"/>
        <w:spacing w:after="60"/>
        <w:ind w:left="360"/>
      </w:pPr>
      <w:r>
        <w:rPr>
          <w:rFonts w:ascii="Aptos" w:hAnsi="Aptos"/>
          <w:color w:val="334155"/>
          <w:sz w:val="21"/>
        </w:rPr>
        <w:t>Dashboard</w:t>
      </w:r>
    </w:p>
    <w:p>
      <w:pPr>
        <w:pStyle w:val="ListBullet"/>
        <w:spacing w:after="60"/>
        <w:ind w:left="360"/>
      </w:pPr>
      <w:r>
        <w:rPr>
          <w:rFonts w:ascii="Aptos" w:hAnsi="Aptos"/>
          <w:color w:val="334155"/>
          <w:sz w:val="21"/>
        </w:rPr>
        <w:t>Observed Activity Map</w:t>
      </w:r>
    </w:p>
    <w:p>
      <w:pPr>
        <w:pStyle w:val="ListBullet"/>
        <w:spacing w:after="60"/>
        <w:ind w:left="360"/>
      </w:pPr>
      <w:r>
        <w:rPr>
          <w:rFonts w:ascii="Aptos" w:hAnsi="Aptos"/>
          <w:color w:val="334155"/>
          <w:sz w:val="21"/>
        </w:rPr>
        <w:t>Endpoints</w:t>
      </w:r>
    </w:p>
    <w:p>
      <w:pPr>
        <w:pStyle w:val="ListBullet"/>
        <w:spacing w:after="60"/>
        <w:ind w:left="360"/>
      </w:pPr>
      <w:r>
        <w:rPr>
          <w:rFonts w:ascii="Aptos" w:hAnsi="Aptos"/>
          <w:color w:val="334155"/>
          <w:sz w:val="21"/>
        </w:rPr>
        <w:t>Firewall Relays</w:t>
      </w:r>
    </w:p>
    <w:p>
      <w:pPr>
        <w:pStyle w:val="ListBullet"/>
        <w:spacing w:after="60"/>
        <w:ind w:left="360"/>
      </w:pPr>
      <w:r>
        <w:rPr>
          <w:rFonts w:ascii="Aptos" w:hAnsi="Aptos"/>
          <w:color w:val="334155"/>
          <w:sz w:val="21"/>
        </w:rPr>
        <w:t>Offline Log Analysis</w:t>
      </w:r>
    </w:p>
    <w:p>
      <w:pPr>
        <w:pStyle w:val="ListBullet"/>
        <w:spacing w:after="60"/>
        <w:ind w:left="360"/>
      </w:pPr>
      <w:r>
        <w:rPr>
          <w:rFonts w:ascii="Aptos" w:hAnsi="Aptos"/>
          <w:color w:val="334155"/>
          <w:sz w:val="21"/>
        </w:rPr>
        <w:t>Compliance and Audit</w:t>
      </w:r>
    </w:p>
    <w:p>
      <w:pPr>
        <w:pStyle w:val="ListBullet"/>
        <w:spacing w:after="60"/>
        <w:ind w:left="360"/>
      </w:pPr>
      <w:r>
        <w:rPr>
          <w:rFonts w:ascii="Aptos" w:hAnsi="Aptos"/>
          <w:color w:val="334155"/>
          <w:sz w:val="21"/>
        </w:rPr>
        <w:t>Team and Access</w:t>
      </w:r>
    </w:p>
    <w:p>
      <w:pPr>
        <w:pStyle w:val="ListBullet"/>
        <w:spacing w:after="60"/>
        <w:ind w:left="360"/>
      </w:pPr>
      <w:r>
        <w:rPr>
          <w:rFonts w:ascii="Aptos" w:hAnsi="Aptos"/>
          <w:color w:val="334155"/>
          <w:sz w:val="21"/>
        </w:rPr>
        <w:t>Archive Requests</w:t>
      </w:r>
    </w:p>
    <w:p>
      <w:pPr>
        <w:pStyle w:val="Heading2"/>
        <w:keepNext/>
      </w:pPr>
      <w:r>
        <w:rPr>
          <w:rFonts w:ascii="Aptos" w:hAnsi="Aptos"/>
          <w:b/>
          <w:color w:val="000000"/>
          <w:sz w:val="24"/>
        </w:rPr>
        <w:t>3.2 More menu</w:t>
      </w:r>
    </w:p>
    <w:p>
      <w:pPr>
        <w:spacing w:after="140" w:line="269" w:lineRule="auto"/>
      </w:pPr>
      <w:r>
        <w:rPr>
          <w:rFonts w:ascii="Aptos" w:hAnsi="Aptos"/>
          <w:color w:val="334155"/>
          <w:sz w:val="21"/>
        </w:rPr>
        <w:t>The More menu contains Legal Holds, Evidence Cases and Configuration. It supports click and hover opening, outside-click and Escape closing, visible icons in both themes, and high-contrast hover states. The menu was also positioned so the pointer can move from the More button into the menu without the menu collapsing in the gap between them.</w:t>
      </w:r>
    </w:p>
    <w:p>
      <w:pPr>
        <w:pStyle w:val="Heading2"/>
        <w:keepNext/>
      </w:pPr>
      <w:r>
        <w:rPr>
          <w:rFonts w:ascii="Aptos" w:hAnsi="Aptos"/>
          <w:b/>
          <w:color w:val="000000"/>
          <w:sz w:val="24"/>
        </w:rPr>
        <w:t>3.3 Workspace destinations</w:t>
      </w:r>
    </w:p>
    <w:tbl>
      <w:tblPr>
        <w:tblW w:type="auto" w:w="0"/>
        <w:jc w:val="center"/>
        <w:tblLayout w:type="fixed"/>
        <w:tblLook w:firstColumn="1" w:firstRow="1" w:lastColumn="0" w:lastRow="0" w:noHBand="0" w:noVBand="1" w:val="04A0"/>
        <w:tblBorders>
          <w:top w:val="single" w:sz="6" w:space="0" w:color="D9E1EA"/>
          <w:left w:val="single" w:sz="6" w:space="0" w:color="D9E1EA"/>
          <w:bottom w:val="single" w:sz="6" w:space="0" w:color="D9E1EA"/>
          <w:right w:val="single" w:sz="6" w:space="0" w:color="D9E1EA"/>
          <w:insideH w:val="single" w:sz="6" w:space="0" w:color="D9E1EA"/>
          <w:insideV w:val="single" w:sz="6" w:space="0" w:color="D9E1EA"/>
        </w:tblBorders>
      </w:tblPr>
      <w:tblGrid>
        <w:gridCol w:w="4997"/>
        <w:gridCol w:w="4997"/>
      </w:tblGrid>
      <w:tr>
        <w:trPr>
          <w:tblHeader w:val="true"/>
        </w:trPr>
        <w:tc>
          <w:tcPr>
            <w:tcW w:type="dxa" w:w="3168"/>
            <w:shd w:fill="173B63"/>
            <w:vAlign w:val="center"/>
            <w:tcMar>
              <w:top w:w="130" w:type="dxa"/>
              <w:start w:w="130" w:type="dxa"/>
              <w:bottom w:w="130" w:type="dxa"/>
              <w:end w:w="130" w:type="dxa"/>
            </w:tcMar>
          </w:tcPr>
          <w:p>
            <w:pPr>
              <w:spacing w:after="0"/>
            </w:pPr>
            <w:r>
              <w:rPr>
                <w:rFonts w:ascii="Aptos" w:hAnsi="Aptos"/>
                <w:b/>
                <w:color w:val="FFFFFF"/>
                <w:sz w:val="19"/>
              </w:rPr>
              <w:t>Destination</w:t>
            </w:r>
          </w:p>
        </w:tc>
        <w:tc>
          <w:tcPr>
            <w:tcW w:type="dxa" w:w="6624"/>
            <w:shd w:fill="173B63"/>
            <w:vAlign w:val="center"/>
            <w:tcMar>
              <w:top w:w="130" w:type="dxa"/>
              <w:start w:w="130" w:type="dxa"/>
              <w:bottom w:w="130" w:type="dxa"/>
              <w:end w:w="130" w:type="dxa"/>
            </w:tcMar>
          </w:tcPr>
          <w:p>
            <w:pPr>
              <w:spacing w:after="0"/>
            </w:pPr>
            <w:r>
              <w:rPr>
                <w:rFonts w:ascii="Aptos" w:hAnsi="Aptos"/>
                <w:b/>
                <w:color w:val="FFFFFF"/>
                <w:sz w:val="19"/>
              </w:rPr>
              <w:t>Dashboard workspace state</w:t>
            </w:r>
          </w:p>
        </w:tc>
      </w:tr>
      <w:tr>
        <w:tc>
          <w:tcPr>
            <w:tcW w:type="dxa" w:w="3168"/>
            <w:shd w:fill="FFFFFF"/>
            <w:vAlign w:val="center"/>
            <w:tcMar>
              <w:top w:w="120" w:type="dxa"/>
              <w:start w:w="130" w:type="dxa"/>
              <w:bottom w:w="120" w:type="dxa"/>
              <w:end w:w="130" w:type="dxa"/>
            </w:tcMar>
          </w:tcPr>
          <w:p>
            <w:pPr>
              <w:spacing w:after="0" w:line="252" w:lineRule="auto"/>
            </w:pPr>
            <w:r>
              <w:rPr>
                <w:rFonts w:ascii="Aptos" w:hAnsi="Aptos"/>
                <w:color w:val="334155"/>
                <w:sz w:val="18"/>
              </w:rPr>
              <w:t>Dashboard</w:t>
            </w:r>
          </w:p>
        </w:tc>
        <w:tc>
          <w:tcPr>
            <w:tcW w:type="dxa" w:w="6624"/>
            <w:shd w:fill="FFFFFF"/>
            <w:vAlign w:val="center"/>
            <w:tcMar>
              <w:top w:w="120" w:type="dxa"/>
              <w:start w:w="130" w:type="dxa"/>
              <w:bottom w:w="120" w:type="dxa"/>
              <w:end w:w="130" w:type="dxa"/>
            </w:tcMar>
          </w:tcPr>
          <w:p>
            <w:pPr>
              <w:spacing w:after="0" w:line="252" w:lineRule="auto"/>
            </w:pPr>
            <w:r>
              <w:rPr>
                <w:rFonts w:ascii="Aptos" w:hAnsi="Aptos"/>
                <w:color w:val="334155"/>
                <w:sz w:val="18"/>
              </w:rPr>
              <w:t>/dashboard</w:t>
            </w:r>
          </w:p>
        </w:tc>
      </w:tr>
      <w:tr>
        <w:tc>
          <w:tcPr>
            <w:tcW w:type="dxa" w:w="3168"/>
            <w:shd w:fill="F5F8FC"/>
            <w:vAlign w:val="center"/>
            <w:tcMar>
              <w:top w:w="120" w:type="dxa"/>
              <w:start w:w="130" w:type="dxa"/>
              <w:bottom w:w="120" w:type="dxa"/>
              <w:end w:w="130" w:type="dxa"/>
            </w:tcMar>
          </w:tcPr>
          <w:p>
            <w:pPr>
              <w:spacing w:after="0" w:line="252" w:lineRule="auto"/>
            </w:pPr>
            <w:r>
              <w:rPr>
                <w:rFonts w:ascii="Aptos" w:hAnsi="Aptos"/>
                <w:color w:val="334155"/>
                <w:sz w:val="18"/>
              </w:rPr>
              <w:t>Compliance and Audit</w:t>
            </w:r>
          </w:p>
        </w:tc>
        <w:tc>
          <w:tcPr>
            <w:tcW w:type="dxa" w:w="6624"/>
            <w:shd w:fill="F5F8FC"/>
            <w:vAlign w:val="center"/>
            <w:tcMar>
              <w:top w:w="120" w:type="dxa"/>
              <w:start w:w="130" w:type="dxa"/>
              <w:bottom w:w="120" w:type="dxa"/>
              <w:end w:w="130" w:type="dxa"/>
            </w:tcMar>
          </w:tcPr>
          <w:p>
            <w:pPr>
              <w:spacing w:after="0" w:line="252" w:lineRule="auto"/>
            </w:pPr>
            <w:r>
              <w:rPr>
                <w:rFonts w:ascii="Aptos" w:hAnsi="Aptos"/>
                <w:color w:val="334155"/>
                <w:sz w:val="18"/>
              </w:rPr>
              <w:t>/dashboard?tab=compliance</w:t>
            </w:r>
          </w:p>
        </w:tc>
      </w:tr>
      <w:tr>
        <w:tc>
          <w:tcPr>
            <w:tcW w:type="dxa" w:w="3168"/>
            <w:shd w:fill="FFFFFF"/>
            <w:vAlign w:val="center"/>
            <w:tcMar>
              <w:top w:w="120" w:type="dxa"/>
              <w:start w:w="130" w:type="dxa"/>
              <w:bottom w:w="120" w:type="dxa"/>
              <w:end w:w="130" w:type="dxa"/>
            </w:tcMar>
          </w:tcPr>
          <w:p>
            <w:pPr>
              <w:spacing w:after="0" w:line="252" w:lineRule="auto"/>
            </w:pPr>
            <w:r>
              <w:rPr>
                <w:rFonts w:ascii="Aptos" w:hAnsi="Aptos"/>
                <w:color w:val="334155"/>
                <w:sz w:val="18"/>
              </w:rPr>
              <w:t>Configuration</w:t>
            </w:r>
          </w:p>
        </w:tc>
        <w:tc>
          <w:tcPr>
            <w:tcW w:type="dxa" w:w="6624"/>
            <w:shd w:fill="FFFFFF"/>
            <w:vAlign w:val="center"/>
            <w:tcMar>
              <w:top w:w="120" w:type="dxa"/>
              <w:start w:w="130" w:type="dxa"/>
              <w:bottom w:w="120" w:type="dxa"/>
              <w:end w:w="130" w:type="dxa"/>
            </w:tcMar>
          </w:tcPr>
          <w:p>
            <w:pPr>
              <w:spacing w:after="0" w:line="252" w:lineRule="auto"/>
            </w:pPr>
            <w:r>
              <w:rPr>
                <w:rFonts w:ascii="Aptos" w:hAnsi="Aptos"/>
                <w:color w:val="334155"/>
                <w:sz w:val="18"/>
              </w:rPr>
              <w:t>/dashboard?tab=configuration</w:t>
            </w:r>
          </w:p>
        </w:tc>
      </w:tr>
      <w:tr>
        <w:tc>
          <w:tcPr>
            <w:tcW w:type="dxa" w:w="3168"/>
            <w:shd w:fill="F5F8FC"/>
            <w:vAlign w:val="center"/>
            <w:tcMar>
              <w:top w:w="120" w:type="dxa"/>
              <w:start w:w="130" w:type="dxa"/>
              <w:bottom w:w="120" w:type="dxa"/>
              <w:end w:w="130" w:type="dxa"/>
            </w:tcMar>
          </w:tcPr>
          <w:p>
            <w:pPr>
              <w:spacing w:after="0" w:line="252" w:lineRule="auto"/>
            </w:pPr>
            <w:r>
              <w:rPr>
                <w:rFonts w:ascii="Aptos" w:hAnsi="Aptos"/>
                <w:color w:val="334155"/>
                <w:sz w:val="18"/>
              </w:rPr>
              <w:t>Team and Access</w:t>
            </w:r>
          </w:p>
        </w:tc>
        <w:tc>
          <w:tcPr>
            <w:tcW w:type="dxa" w:w="6624"/>
            <w:shd w:fill="F5F8FC"/>
            <w:vAlign w:val="center"/>
            <w:tcMar>
              <w:top w:w="120" w:type="dxa"/>
              <w:start w:w="130" w:type="dxa"/>
              <w:bottom w:w="120" w:type="dxa"/>
              <w:end w:w="130" w:type="dxa"/>
            </w:tcMar>
          </w:tcPr>
          <w:p>
            <w:pPr>
              <w:spacing w:after="0" w:line="252" w:lineRule="auto"/>
            </w:pPr>
            <w:r>
              <w:rPr>
                <w:rFonts w:ascii="Aptos" w:hAnsi="Aptos"/>
                <w:color w:val="334155"/>
                <w:sz w:val="18"/>
              </w:rPr>
              <w:t>/dashboard?tab=team</w:t>
            </w:r>
          </w:p>
        </w:tc>
      </w:tr>
      <w:tr>
        <w:tc>
          <w:tcPr>
            <w:tcW w:type="dxa" w:w="3168"/>
            <w:shd w:fill="FFFFFF"/>
            <w:vAlign w:val="center"/>
            <w:tcMar>
              <w:top w:w="120" w:type="dxa"/>
              <w:start w:w="130" w:type="dxa"/>
              <w:bottom w:w="120" w:type="dxa"/>
              <w:end w:w="130" w:type="dxa"/>
            </w:tcMar>
          </w:tcPr>
          <w:p>
            <w:pPr>
              <w:spacing w:after="0" w:line="252" w:lineRule="auto"/>
            </w:pPr>
            <w:r>
              <w:rPr>
                <w:rFonts w:ascii="Aptos" w:hAnsi="Aptos"/>
                <w:color w:val="334155"/>
                <w:sz w:val="18"/>
              </w:rPr>
              <w:t>Legal Holds</w:t>
            </w:r>
          </w:p>
        </w:tc>
        <w:tc>
          <w:tcPr>
            <w:tcW w:type="dxa" w:w="6624"/>
            <w:shd w:fill="FFFFFF"/>
            <w:vAlign w:val="center"/>
            <w:tcMar>
              <w:top w:w="120" w:type="dxa"/>
              <w:start w:w="130" w:type="dxa"/>
              <w:bottom w:w="120" w:type="dxa"/>
              <w:end w:w="130" w:type="dxa"/>
            </w:tcMar>
          </w:tcPr>
          <w:p>
            <w:pPr>
              <w:spacing w:after="0" w:line="252" w:lineRule="auto"/>
            </w:pPr>
            <w:r>
              <w:rPr>
                <w:rFonts w:ascii="Aptos" w:hAnsi="Aptos"/>
                <w:color w:val="334155"/>
                <w:sz w:val="18"/>
              </w:rPr>
              <w:t>/dashboard?tab=holds</w:t>
            </w:r>
          </w:p>
        </w:tc>
      </w:tr>
      <w:tr>
        <w:tc>
          <w:tcPr>
            <w:tcW w:type="dxa" w:w="3168"/>
            <w:shd w:fill="F5F8FC"/>
            <w:vAlign w:val="center"/>
            <w:tcMar>
              <w:top w:w="120" w:type="dxa"/>
              <w:start w:w="130" w:type="dxa"/>
              <w:bottom w:w="120" w:type="dxa"/>
              <w:end w:w="130" w:type="dxa"/>
            </w:tcMar>
          </w:tcPr>
          <w:p>
            <w:pPr>
              <w:spacing w:after="0" w:line="252" w:lineRule="auto"/>
            </w:pPr>
            <w:r>
              <w:rPr>
                <w:rFonts w:ascii="Aptos" w:hAnsi="Aptos"/>
                <w:color w:val="334155"/>
                <w:sz w:val="18"/>
              </w:rPr>
              <w:t>Evidence Cases</w:t>
            </w:r>
          </w:p>
        </w:tc>
        <w:tc>
          <w:tcPr>
            <w:tcW w:type="dxa" w:w="6624"/>
            <w:shd w:fill="F5F8FC"/>
            <w:vAlign w:val="center"/>
            <w:tcMar>
              <w:top w:w="120" w:type="dxa"/>
              <w:start w:w="130" w:type="dxa"/>
              <w:bottom w:w="120" w:type="dxa"/>
              <w:end w:w="130" w:type="dxa"/>
            </w:tcMar>
          </w:tcPr>
          <w:p>
            <w:pPr>
              <w:spacing w:after="0" w:line="252" w:lineRule="auto"/>
            </w:pPr>
            <w:r>
              <w:rPr>
                <w:rFonts w:ascii="Aptos" w:hAnsi="Aptos"/>
                <w:color w:val="334155"/>
                <w:sz w:val="18"/>
              </w:rPr>
              <w:t>/dashboard?tab=cases</w:t>
            </w:r>
          </w:p>
        </w:tc>
      </w:tr>
      <w:tr>
        <w:tc>
          <w:tcPr>
            <w:tcW w:type="dxa" w:w="3168"/>
            <w:shd w:fill="FFFFFF"/>
            <w:vAlign w:val="center"/>
            <w:tcMar>
              <w:top w:w="120" w:type="dxa"/>
              <w:start w:w="130" w:type="dxa"/>
              <w:bottom w:w="120" w:type="dxa"/>
              <w:end w:w="130" w:type="dxa"/>
            </w:tcMar>
          </w:tcPr>
          <w:p>
            <w:pPr>
              <w:spacing w:after="0" w:line="252" w:lineRule="auto"/>
            </w:pPr>
            <w:r>
              <w:rPr>
                <w:rFonts w:ascii="Aptos" w:hAnsi="Aptos"/>
                <w:color w:val="334155"/>
                <w:sz w:val="18"/>
              </w:rPr>
              <w:t>Endpoints</w:t>
            </w:r>
          </w:p>
        </w:tc>
        <w:tc>
          <w:tcPr>
            <w:tcW w:type="dxa" w:w="6624"/>
            <w:shd w:fill="FFFFFF"/>
            <w:vAlign w:val="center"/>
            <w:tcMar>
              <w:top w:w="120" w:type="dxa"/>
              <w:start w:w="130" w:type="dxa"/>
              <w:bottom w:w="120" w:type="dxa"/>
              <w:end w:w="130" w:type="dxa"/>
            </w:tcMar>
          </w:tcPr>
          <w:p>
            <w:pPr>
              <w:spacing w:after="0" w:line="252" w:lineRule="auto"/>
            </w:pPr>
            <w:r>
              <w:rPr>
                <w:rFonts w:ascii="Aptos" w:hAnsi="Aptos"/>
                <w:color w:val="334155"/>
                <w:sz w:val="18"/>
              </w:rPr>
              <w:t>/dashboard?tab=endpoints</w:t>
            </w:r>
          </w:p>
        </w:tc>
      </w:tr>
    </w:tbl>
    <w:p>
      <w:pPr>
        <w:spacing w:after="40"/>
      </w:pPr>
    </w:p>
    <w:p>
      <w:pPr>
        <w:spacing w:after="140" w:line="269" w:lineRule="auto"/>
      </w:pPr>
      <w:r>
        <w:rPr>
          <w:rFonts w:ascii="Aptos" w:hAnsi="Aptos"/>
          <w:color w:val="334155"/>
          <w:sz w:val="21"/>
        </w:rPr>
        <w:t>The protected application routes remain /dashboard and /profile. ProtectedRoute continues to redirect unauthenticated users to /login, while workspace tabs are selected within the dashboard experience.</w:t>
      </w:r>
    </w:p>
    <w:p>
      <w:pPr>
        <w:pStyle w:val="Heading1"/>
        <w:keepNext/>
      </w:pPr>
      <w:r>
        <w:rPr>
          <w:rFonts w:ascii="Aptos" w:hAnsi="Aptos"/>
          <w:b/>
          <w:color w:val="000000"/>
          <w:sz w:val="30"/>
        </w:rPr>
        <w:t>4 Dashboard Shell And Responsive Layout</w:t>
      </w:r>
    </w:p>
    <w:p>
      <w:pPr>
        <w:spacing w:after="140" w:line="269" w:lineRule="auto"/>
      </w:pPr>
      <w:r>
        <w:rPr>
          <w:rFonts w:ascii="Aptos" w:hAnsi="Aptos"/>
          <w:color w:val="334155"/>
          <w:sz w:val="21"/>
        </w:rPr>
        <w:t>The shell was refined around a fixed sidebar and flexible main area. Header, endpoint context and dashboard content now share a responsive gutter instead of using separate hard-coded margins that produced a visible dead band beside the sidebar or inconsistent alignment at different zoom levels.</w:t>
      </w:r>
    </w:p>
    <w:p>
      <w:pPr>
        <w:pStyle w:val="ListBullet"/>
        <w:spacing w:after="60"/>
        <w:ind w:left="360"/>
      </w:pPr>
      <w:r>
        <w:rPr>
          <w:rFonts w:ascii="Aptos" w:hAnsi="Aptos"/>
          <w:color w:val="334155"/>
          <w:sz w:val="21"/>
        </w:rPr>
        <w:t>Unified main-content gutter using a responsive CSS value that scales between desktop and mobile sizes.</w:t>
      </w:r>
    </w:p>
    <w:p>
      <w:pPr>
        <w:pStyle w:val="ListBullet"/>
        <w:spacing w:after="60"/>
        <w:ind w:left="360"/>
      </w:pPr>
      <w:r>
        <w:rPr>
          <w:rFonts w:ascii="Aptos" w:hAnsi="Aptos"/>
          <w:color w:val="334155"/>
          <w:sz w:val="21"/>
        </w:rPr>
        <w:t>Reduced unnecessary empty space between the sidebar and the main content surface.</w:t>
      </w:r>
    </w:p>
    <w:p>
      <w:pPr>
        <w:pStyle w:val="ListBullet"/>
        <w:spacing w:after="60"/>
        <w:ind w:left="360"/>
      </w:pPr>
      <w:r>
        <w:rPr>
          <w:rFonts w:ascii="Aptos" w:hAnsi="Aptos"/>
          <w:color w:val="334155"/>
          <w:sz w:val="21"/>
        </w:rPr>
        <w:t>Kept the sidebar width and navigation styling stable while making the content area use the available width.</w:t>
      </w:r>
    </w:p>
    <w:p>
      <w:pPr>
        <w:pStyle w:val="ListBullet"/>
        <w:spacing w:after="60"/>
        <w:ind w:left="360"/>
      </w:pPr>
      <w:r>
        <w:rPr>
          <w:rFonts w:ascii="Aptos" w:hAnsi="Aptos"/>
          <w:color w:val="334155"/>
          <w:sz w:val="21"/>
        </w:rPr>
        <w:t>Made secondary workspace views expand to the available width when the sidebar is closed.</w:t>
      </w:r>
    </w:p>
    <w:p>
      <w:pPr>
        <w:pStyle w:val="ListBullet"/>
        <w:spacing w:after="60"/>
        <w:ind w:left="360"/>
      </w:pPr>
      <w:r>
        <w:rPr>
          <w:rFonts w:ascii="Aptos" w:hAnsi="Aptos"/>
          <w:color w:val="334155"/>
          <w:sz w:val="21"/>
        </w:rPr>
        <w:t>Preserved safe mobile padding and stacked layouts at smaller breakpoints.</w:t>
      </w:r>
    </w:p>
    <w:p>
      <w:pPr>
        <w:pStyle w:val="ListBullet"/>
        <w:spacing w:after="60"/>
        <w:ind w:left="360"/>
      </w:pPr>
      <w:r>
        <w:rPr>
          <w:rFonts w:ascii="Aptos" w:hAnsi="Aptos"/>
          <w:color w:val="334155"/>
          <w:sz w:val="21"/>
        </w:rPr>
        <w:t>Made the search group responsive on large screens so the search field expands with resolution instead of leaving a large blank gap.</w:t>
      </w:r>
    </w:p>
    <w:p>
      <w:pPr>
        <w:pStyle w:val="Heading1"/>
        <w:keepNext/>
      </w:pPr>
      <w:r>
        <w:rPr>
          <w:rFonts w:ascii="Aptos" w:hAnsi="Aptos"/>
          <w:b/>
          <w:color w:val="000000"/>
          <w:sz w:val="30"/>
        </w:rPr>
        <w:t>5 Global Header And Search Controls</w:t>
      </w:r>
    </w:p>
    <w:p>
      <w:pPr>
        <w:spacing w:after="140" w:line="269" w:lineRule="auto"/>
      </w:pPr>
      <w:r>
        <w:rPr>
          <w:rFonts w:ascii="Aptos" w:hAnsi="Aptos"/>
          <w:color w:val="334155"/>
          <w:sz w:val="21"/>
        </w:rPr>
        <w:t>The global header was polished as a consistent control group. Search, time range, Search and More now use responsive sizing and compact spacing while keeping the right-side theme, status and profile controls independent.</w:t>
      </w:r>
    </w:p>
    <w:tbl>
      <w:tblPr>
        <w:tblW w:type="auto" w:w="0"/>
        <w:jc w:val="center"/>
        <w:tblLayout w:type="fixed"/>
        <w:tblLook w:firstColumn="1" w:firstRow="1" w:lastColumn="0" w:lastRow="0" w:noHBand="0" w:noVBand="1" w:val="04A0"/>
        <w:tblBorders>
          <w:top w:val="single" w:sz="6" w:space="0" w:color="D9E1EA"/>
          <w:left w:val="single" w:sz="6" w:space="0" w:color="D9E1EA"/>
          <w:bottom w:val="single" w:sz="6" w:space="0" w:color="D9E1EA"/>
          <w:right w:val="single" w:sz="6" w:space="0" w:color="D9E1EA"/>
          <w:insideH w:val="single" w:sz="6" w:space="0" w:color="D9E1EA"/>
          <w:insideV w:val="single" w:sz="6" w:space="0" w:color="D9E1EA"/>
        </w:tblBorders>
      </w:tblPr>
      <w:tblGrid>
        <w:gridCol w:w="4997"/>
        <w:gridCol w:w="4997"/>
      </w:tblGrid>
      <w:tr>
        <w:trPr>
          <w:tblHeader w:val="true"/>
        </w:trPr>
        <w:tc>
          <w:tcPr>
            <w:tcW w:type="dxa" w:w="2088"/>
            <w:shd w:fill="173B63"/>
            <w:vAlign w:val="center"/>
            <w:tcMar>
              <w:top w:w="130" w:type="dxa"/>
              <w:start w:w="130" w:type="dxa"/>
              <w:bottom w:w="130" w:type="dxa"/>
              <w:end w:w="130" w:type="dxa"/>
            </w:tcMar>
          </w:tcPr>
          <w:p>
            <w:pPr>
              <w:spacing w:after="0"/>
            </w:pPr>
            <w:r>
              <w:rPr>
                <w:rFonts w:ascii="Aptos" w:hAnsi="Aptos"/>
                <w:b/>
                <w:color w:val="FFFFFF"/>
                <w:sz w:val="19"/>
              </w:rPr>
              <w:t>Control</w:t>
            </w:r>
          </w:p>
        </w:tc>
        <w:tc>
          <w:tcPr>
            <w:tcW w:type="dxa" w:w="7704"/>
            <w:shd w:fill="173B63"/>
            <w:vAlign w:val="center"/>
            <w:tcMar>
              <w:top w:w="130" w:type="dxa"/>
              <w:start w:w="130" w:type="dxa"/>
              <w:bottom w:w="130" w:type="dxa"/>
              <w:end w:w="130" w:type="dxa"/>
            </w:tcMar>
          </w:tcPr>
          <w:p>
            <w:pPr>
              <w:spacing w:after="0"/>
            </w:pPr>
            <w:r>
              <w:rPr>
                <w:rFonts w:ascii="Aptos" w:hAnsi="Aptos"/>
                <w:b/>
                <w:color w:val="FFFFFF"/>
                <w:sz w:val="19"/>
              </w:rPr>
              <w:t>Implementation result</w:t>
            </w:r>
          </w:p>
        </w:tc>
      </w:tr>
      <w:tr>
        <w:tc>
          <w:tcPr>
            <w:tcW w:type="dxa" w:w="2088"/>
            <w:shd w:fill="FFFFFF"/>
            <w:vAlign w:val="center"/>
            <w:tcMar>
              <w:top w:w="120" w:type="dxa"/>
              <w:start w:w="130" w:type="dxa"/>
              <w:bottom w:w="120" w:type="dxa"/>
              <w:end w:w="130" w:type="dxa"/>
            </w:tcMar>
          </w:tcPr>
          <w:p>
            <w:pPr>
              <w:spacing w:after="0" w:line="252" w:lineRule="auto"/>
            </w:pPr>
            <w:r>
              <w:rPr>
                <w:rFonts w:ascii="Aptos" w:hAnsi="Aptos"/>
                <w:color w:val="334155"/>
                <w:sz w:val="18"/>
              </w:rPr>
              <w:t>Global search</w:t>
            </w:r>
          </w:p>
        </w:tc>
        <w:tc>
          <w:tcPr>
            <w:tcW w:type="dxa" w:w="7704"/>
            <w:shd w:fill="FFFFFF"/>
            <w:vAlign w:val="center"/>
            <w:tcMar>
              <w:top w:w="120" w:type="dxa"/>
              <w:start w:w="130" w:type="dxa"/>
              <w:bottom w:w="120" w:type="dxa"/>
              <w:end w:w="130" w:type="dxa"/>
            </w:tcMar>
          </w:tcPr>
          <w:p>
            <w:pPr>
              <w:spacing w:after="0" w:line="252" w:lineRule="auto"/>
            </w:pPr>
            <w:r>
              <w:rPr>
                <w:rFonts w:ascii="Aptos" w:hAnsi="Aptos"/>
                <w:color w:val="334155"/>
                <w:sz w:val="18"/>
              </w:rPr>
              <w:t>Expands on large screens through responsive flex sizing and remains full-width on mobile.</w:t>
            </w:r>
          </w:p>
        </w:tc>
      </w:tr>
      <w:tr>
        <w:tc>
          <w:tcPr>
            <w:tcW w:type="dxa" w:w="2088"/>
            <w:shd w:fill="F5F8FC"/>
            <w:vAlign w:val="center"/>
            <w:tcMar>
              <w:top w:w="120" w:type="dxa"/>
              <w:start w:w="130" w:type="dxa"/>
              <w:bottom w:w="120" w:type="dxa"/>
              <w:end w:w="130" w:type="dxa"/>
            </w:tcMar>
          </w:tcPr>
          <w:p>
            <w:pPr>
              <w:spacing w:after="0" w:line="252" w:lineRule="auto"/>
            </w:pPr>
            <w:r>
              <w:rPr>
                <w:rFonts w:ascii="Aptos" w:hAnsi="Aptos"/>
                <w:color w:val="334155"/>
                <w:sz w:val="18"/>
              </w:rPr>
              <w:t>Time range</w:t>
            </w:r>
          </w:p>
        </w:tc>
        <w:tc>
          <w:tcPr>
            <w:tcW w:type="dxa" w:w="7704"/>
            <w:shd w:fill="F5F8FC"/>
            <w:vAlign w:val="center"/>
            <w:tcMar>
              <w:top w:w="120" w:type="dxa"/>
              <w:start w:w="130" w:type="dxa"/>
              <w:bottom w:w="120" w:type="dxa"/>
              <w:end w:w="130" w:type="dxa"/>
            </w:tcMar>
          </w:tcPr>
          <w:p>
            <w:pPr>
              <w:spacing w:after="0" w:line="252" w:lineRule="auto"/>
            </w:pPr>
            <w:r>
              <w:rPr>
                <w:rFonts w:ascii="Aptos" w:hAnsi="Aptos"/>
                <w:color w:val="334155"/>
                <w:sz w:val="18"/>
              </w:rPr>
              <w:t>Last 24 Hours and Last 7 Days remain available in a styled select with an always-visible arrow.</w:t>
            </w:r>
          </w:p>
        </w:tc>
      </w:tr>
      <w:tr>
        <w:tc>
          <w:tcPr>
            <w:tcW w:type="dxa" w:w="2088"/>
            <w:shd w:fill="FFFFFF"/>
            <w:vAlign w:val="center"/>
            <w:tcMar>
              <w:top w:w="120" w:type="dxa"/>
              <w:start w:w="130" w:type="dxa"/>
              <w:bottom w:w="120" w:type="dxa"/>
              <w:end w:w="130" w:type="dxa"/>
            </w:tcMar>
          </w:tcPr>
          <w:p>
            <w:pPr>
              <w:spacing w:after="0" w:line="252" w:lineRule="auto"/>
            </w:pPr>
            <w:r>
              <w:rPr>
                <w:rFonts w:ascii="Aptos" w:hAnsi="Aptos"/>
                <w:color w:val="334155"/>
                <w:sz w:val="18"/>
              </w:rPr>
              <w:t>Search action</w:t>
            </w:r>
          </w:p>
        </w:tc>
        <w:tc>
          <w:tcPr>
            <w:tcW w:type="dxa" w:w="7704"/>
            <w:shd w:fill="FFFFFF"/>
            <w:vAlign w:val="center"/>
            <w:tcMar>
              <w:top w:w="120" w:type="dxa"/>
              <w:start w:w="130" w:type="dxa"/>
              <w:bottom w:w="120" w:type="dxa"/>
              <w:end w:w="130" w:type="dxa"/>
            </w:tcMar>
          </w:tcPr>
          <w:p>
            <w:pPr>
              <w:spacing w:after="0" w:line="252" w:lineRule="auto"/>
            </w:pPr>
            <w:r>
              <w:rPr>
                <w:rFonts w:ascii="Aptos" w:hAnsi="Aptos"/>
                <w:color w:val="334155"/>
                <w:sz w:val="18"/>
              </w:rPr>
              <w:t>Retains the WarSOC blue action treatment with readable white label and icon.</w:t>
            </w:r>
          </w:p>
        </w:tc>
      </w:tr>
      <w:tr>
        <w:tc>
          <w:tcPr>
            <w:tcW w:type="dxa" w:w="2088"/>
            <w:shd w:fill="F5F8FC"/>
            <w:vAlign w:val="center"/>
            <w:tcMar>
              <w:top w:w="120" w:type="dxa"/>
              <w:start w:w="130" w:type="dxa"/>
              <w:bottom w:w="120" w:type="dxa"/>
              <w:end w:w="130" w:type="dxa"/>
            </w:tcMar>
          </w:tcPr>
          <w:p>
            <w:pPr>
              <w:spacing w:after="0" w:line="252" w:lineRule="auto"/>
            </w:pPr>
            <w:r>
              <w:rPr>
                <w:rFonts w:ascii="Aptos" w:hAnsi="Aptos"/>
                <w:color w:val="334155"/>
                <w:sz w:val="18"/>
              </w:rPr>
              <w:t>More action</w:t>
            </w:r>
          </w:p>
        </w:tc>
        <w:tc>
          <w:tcPr>
            <w:tcW w:type="dxa" w:w="7704"/>
            <w:shd w:fill="F5F8FC"/>
            <w:vAlign w:val="center"/>
            <w:tcMar>
              <w:top w:w="120" w:type="dxa"/>
              <w:start w:w="130" w:type="dxa"/>
              <w:bottom w:w="120" w:type="dxa"/>
              <w:end w:w="130" w:type="dxa"/>
            </w:tcMar>
          </w:tcPr>
          <w:p>
            <w:pPr>
              <w:spacing w:after="0" w:line="252" w:lineRule="auto"/>
            </w:pPr>
            <w:r>
              <w:rPr>
                <w:rFonts w:ascii="Aptos" w:hAnsi="Aptos"/>
                <w:color w:val="334155"/>
                <w:sz w:val="18"/>
              </w:rPr>
              <w:t>Uses a professional grouped control with responsive width, hover/open blue state and white text/icon contrast.</w:t>
            </w:r>
          </w:p>
        </w:tc>
      </w:tr>
      <w:tr>
        <w:tc>
          <w:tcPr>
            <w:tcW w:type="dxa" w:w="2088"/>
            <w:shd w:fill="FFFFFF"/>
            <w:vAlign w:val="center"/>
            <w:tcMar>
              <w:top w:w="120" w:type="dxa"/>
              <w:start w:w="130" w:type="dxa"/>
              <w:bottom w:w="120" w:type="dxa"/>
              <w:end w:w="130" w:type="dxa"/>
            </w:tcMar>
          </w:tcPr>
          <w:p>
            <w:pPr>
              <w:spacing w:after="0" w:line="252" w:lineRule="auto"/>
            </w:pPr>
            <w:r>
              <w:rPr>
                <w:rFonts w:ascii="Aptos" w:hAnsi="Aptos"/>
                <w:color w:val="334155"/>
                <w:sz w:val="18"/>
              </w:rPr>
              <w:t>More menu rows</w:t>
            </w:r>
          </w:p>
        </w:tc>
        <w:tc>
          <w:tcPr>
            <w:tcW w:type="dxa" w:w="7704"/>
            <w:shd w:fill="FFFFFF"/>
            <w:vAlign w:val="center"/>
            <w:tcMar>
              <w:top w:w="120" w:type="dxa"/>
              <w:start w:w="130" w:type="dxa"/>
              <w:bottom w:w="120" w:type="dxa"/>
              <w:end w:w="130" w:type="dxa"/>
            </w:tcMar>
          </w:tcPr>
          <w:p>
            <w:pPr>
              <w:spacing w:after="0" w:line="252" w:lineRule="auto"/>
            </w:pPr>
            <w:r>
              <w:rPr>
                <w:rFonts w:ascii="Aptos" w:hAnsi="Aptos"/>
                <w:color w:val="334155"/>
                <w:sz w:val="18"/>
              </w:rPr>
              <w:t>Use WarSOC lime as the hover affordance with strict white text and icon color.</w:t>
            </w:r>
          </w:p>
        </w:tc>
      </w:tr>
    </w:tbl>
    <w:p>
      <w:pPr>
        <w:spacing w:after="40"/>
      </w:pPr>
    </w:p>
    <w:p>
      <w:pPr>
        <w:pStyle w:val="Heading1"/>
        <w:keepNext/>
      </w:pPr>
      <w:r>
        <w:rPr>
          <w:rFonts w:ascii="Aptos" w:hAnsi="Aptos"/>
          <w:b/>
          <w:color w:val="000000"/>
          <w:sz w:val="30"/>
        </w:rPr>
        <w:t>6 Dashboard Metrics And Endpoint Context</w:t>
      </w:r>
    </w:p>
    <w:p>
      <w:pPr>
        <w:spacing w:after="140" w:line="269" w:lineRule="auto"/>
      </w:pPr>
      <w:r>
        <w:rPr>
          <w:rFonts w:ascii="Aptos" w:hAnsi="Aptos"/>
          <w:color w:val="334155"/>
          <w:sz w:val="21"/>
        </w:rPr>
        <w:t>The dashboard metric row was simplified to three cards by removing Blocked Addresses as requested. The remaining Active Incidents, Correlated Events and Rule Matches cards use responsive grid behavior so removed-card space is reclaimed at every breakpoint.</w:t>
      </w:r>
    </w:p>
    <w:p>
      <w:pPr>
        <w:pStyle w:val="ListBullet"/>
        <w:spacing w:after="60"/>
        <w:ind w:left="360"/>
      </w:pPr>
      <w:r>
        <w:rPr>
          <w:rFonts w:ascii="Aptos" w:hAnsi="Aptos"/>
          <w:color w:val="334155"/>
          <w:sz w:val="21"/>
        </w:rPr>
        <w:t>Metric cards received refined gradients, restrained borders, animated hover elevation and clearer number-to-label hierarchy.</w:t>
      </w:r>
    </w:p>
    <w:p>
      <w:pPr>
        <w:pStyle w:val="ListBullet"/>
        <w:spacing w:after="60"/>
        <w:ind w:left="360"/>
      </w:pPr>
      <w:r>
        <w:rPr>
          <w:rFonts w:ascii="Aptos" w:hAnsi="Aptos"/>
          <w:color w:val="334155"/>
          <w:sz w:val="21"/>
        </w:rPr>
        <w:t>The endpoint context strip shows connected endpoint, endpoint selector, Agent ID, status, IP address, version, signing and last seen data.</w:t>
      </w:r>
    </w:p>
    <w:p>
      <w:pPr>
        <w:pStyle w:val="ListBullet"/>
        <w:spacing w:after="60"/>
        <w:ind w:left="360"/>
      </w:pPr>
      <w:r>
        <w:rPr>
          <w:rFonts w:ascii="Aptos" w:hAnsi="Aptos"/>
          <w:color w:val="334155"/>
          <w:sz w:val="21"/>
        </w:rPr>
        <w:t>Endpoint version display is normalized to the numeric version only; suffix text such as Native-Signed-Compact is removed from the visible version value.</w:t>
      </w:r>
    </w:p>
    <w:p>
      <w:pPr>
        <w:pStyle w:val="ListBullet"/>
        <w:spacing w:after="60"/>
        <w:ind w:left="360"/>
      </w:pPr>
      <w:r>
        <w:rPr>
          <w:rFonts w:ascii="Aptos" w:hAnsi="Aptos"/>
          <w:color w:val="334155"/>
          <w:sz w:val="21"/>
        </w:rPr>
        <w:t>The duplicate Download Agent action was removed from the Endpoint Fleet page so the global header remains the single primary download location; the page retains Refresh.</w:t>
      </w:r>
    </w:p>
    <w:p>
      <w:pPr>
        <w:pStyle w:val="ListBullet"/>
        <w:spacing w:after="60"/>
        <w:ind w:left="360"/>
      </w:pPr>
      <w:r>
        <w:rPr>
          <w:rFonts w:ascii="Aptos" w:hAnsi="Aptos"/>
          <w:color w:val="334155"/>
          <w:sz w:val="21"/>
        </w:rPr>
        <w:t>Endpoint trust supporting copy was simplified to reduce generic explanatory text and keep the operational data prominent.</w:t>
      </w:r>
    </w:p>
    <w:p>
      <w:pPr>
        <w:pStyle w:val="Heading1"/>
        <w:keepNext/>
      </w:pPr>
      <w:r>
        <w:rPr>
          <w:rFonts w:ascii="Aptos" w:hAnsi="Aptos"/>
          <w:b/>
          <w:color w:val="000000"/>
          <w:sz w:val="30"/>
        </w:rPr>
        <w:t>7 Dashboard Charts And Widgets</w:t>
      </w:r>
    </w:p>
    <w:p>
      <w:pPr>
        <w:spacing w:after="140" w:line="269" w:lineRule="auto"/>
      </w:pPr>
      <w:r>
        <w:rPr>
          <w:rFonts w:ascii="Aptos" w:hAnsi="Aptos"/>
          <w:color w:val="334155"/>
          <w:sz w:val="21"/>
        </w:rPr>
        <w:t>The dashboard visualizations were redesigned as a coherent SOC analytics surface. The work addressed both populated and empty states, not just the default chart-library output.</w:t>
      </w:r>
    </w:p>
    <w:tbl>
      <w:tblPr>
        <w:tblW w:type="auto" w:w="0"/>
        <w:jc w:val="center"/>
        <w:tblLayout w:type="fixed"/>
        <w:tblLook w:firstColumn="1" w:firstRow="1" w:lastColumn="0" w:lastRow="0" w:noHBand="0" w:noVBand="1" w:val="04A0"/>
        <w:tblBorders>
          <w:top w:val="single" w:sz="6" w:space="0" w:color="D9E1EA"/>
          <w:left w:val="single" w:sz="6" w:space="0" w:color="D9E1EA"/>
          <w:bottom w:val="single" w:sz="6" w:space="0" w:color="D9E1EA"/>
          <w:right w:val="single" w:sz="6" w:space="0" w:color="D9E1EA"/>
          <w:insideH w:val="single" w:sz="6" w:space="0" w:color="D9E1EA"/>
          <w:insideV w:val="single" w:sz="6" w:space="0" w:color="D9E1EA"/>
        </w:tblBorders>
      </w:tblPr>
      <w:tblGrid>
        <w:gridCol w:w="4997"/>
        <w:gridCol w:w="4997"/>
      </w:tblGrid>
      <w:tr>
        <w:trPr>
          <w:tblHeader w:val="true"/>
        </w:trPr>
        <w:tc>
          <w:tcPr>
            <w:tcW w:type="dxa" w:w="2880"/>
            <w:shd w:fill="173B63"/>
            <w:vAlign w:val="center"/>
            <w:tcMar>
              <w:top w:w="130" w:type="dxa"/>
              <w:start w:w="130" w:type="dxa"/>
              <w:bottom w:w="130" w:type="dxa"/>
              <w:end w:w="130" w:type="dxa"/>
            </w:tcMar>
          </w:tcPr>
          <w:p>
            <w:pPr>
              <w:spacing w:after="0"/>
            </w:pPr>
            <w:r>
              <w:rPr>
                <w:rFonts w:ascii="Aptos" w:hAnsi="Aptos"/>
                <w:b/>
                <w:color w:val="FFFFFF"/>
                <w:sz w:val="19"/>
              </w:rPr>
              <w:t>Widget</w:t>
            </w:r>
          </w:p>
        </w:tc>
        <w:tc>
          <w:tcPr>
            <w:tcW w:type="dxa" w:w="6912"/>
            <w:shd w:fill="173B63"/>
            <w:vAlign w:val="center"/>
            <w:tcMar>
              <w:top w:w="130" w:type="dxa"/>
              <w:start w:w="130" w:type="dxa"/>
              <w:bottom w:w="130" w:type="dxa"/>
              <w:end w:w="130" w:type="dxa"/>
            </w:tcMar>
          </w:tcPr>
          <w:p>
            <w:pPr>
              <w:spacing w:after="0"/>
            </w:pPr>
            <w:r>
              <w:rPr>
                <w:rFonts w:ascii="Aptos" w:hAnsi="Aptos"/>
                <w:b/>
                <w:color w:val="FFFFFF"/>
                <w:sz w:val="19"/>
              </w:rPr>
              <w:t>Key improvements</w:t>
            </w:r>
          </w:p>
        </w:tc>
      </w:tr>
      <w:tr>
        <w:tc>
          <w:tcPr>
            <w:tcW w:type="dxa" w:w="2880"/>
            <w:shd w:fill="FFFFFF"/>
            <w:vAlign w:val="center"/>
            <w:tcMar>
              <w:top w:w="120" w:type="dxa"/>
              <w:start w:w="130" w:type="dxa"/>
              <w:bottom w:w="120" w:type="dxa"/>
              <w:end w:w="130" w:type="dxa"/>
            </w:tcMar>
          </w:tcPr>
          <w:p>
            <w:pPr>
              <w:spacing w:after="0" w:line="252" w:lineRule="auto"/>
            </w:pPr>
            <w:r>
              <w:rPr>
                <w:rFonts w:ascii="Aptos" w:hAnsi="Aptos"/>
                <w:color w:val="334155"/>
                <w:sz w:val="18"/>
              </w:rPr>
              <w:t>Incident Volume Trend</w:t>
            </w:r>
          </w:p>
        </w:tc>
        <w:tc>
          <w:tcPr>
            <w:tcW w:type="dxa" w:w="6912"/>
            <w:shd w:fill="FFFFFF"/>
            <w:vAlign w:val="center"/>
            <w:tcMar>
              <w:top w:w="120" w:type="dxa"/>
              <w:start w:w="130" w:type="dxa"/>
              <w:bottom w:w="120" w:type="dxa"/>
              <w:end w:w="130" w:type="dxa"/>
            </w:tcMar>
          </w:tcPr>
          <w:p>
            <w:pPr>
              <w:spacing w:after="0" w:line="252" w:lineRule="auto"/>
            </w:pPr>
            <w:r>
              <w:rPr>
                <w:rFonts w:ascii="Aptos" w:hAnsi="Aptos"/>
                <w:color w:val="334155"/>
                <w:sz w:val="18"/>
              </w:rPr>
              <w:t>Brand-blue smooth area line, subtle gradient fill, solid horizontal reference lines, no vertical gridlines, readable axes and hover tooltip behavior.</w:t>
            </w:r>
          </w:p>
        </w:tc>
      </w:tr>
      <w:tr>
        <w:tc>
          <w:tcPr>
            <w:tcW w:type="dxa" w:w="2880"/>
            <w:shd w:fill="F5F8FC"/>
            <w:vAlign w:val="center"/>
            <w:tcMar>
              <w:top w:w="120" w:type="dxa"/>
              <w:start w:w="130" w:type="dxa"/>
              <w:bottom w:w="120" w:type="dxa"/>
              <w:end w:w="130" w:type="dxa"/>
            </w:tcMar>
          </w:tcPr>
          <w:p>
            <w:pPr>
              <w:spacing w:after="0" w:line="252" w:lineRule="auto"/>
            </w:pPr>
            <w:r>
              <w:rPr>
                <w:rFonts w:ascii="Aptos" w:hAnsi="Aptos"/>
                <w:color w:val="334155"/>
                <w:sz w:val="18"/>
              </w:rPr>
              <w:t>Observed Source Locations</w:t>
            </w:r>
          </w:p>
        </w:tc>
        <w:tc>
          <w:tcPr>
            <w:tcW w:type="dxa" w:w="6912"/>
            <w:shd w:fill="F5F8FC"/>
            <w:vAlign w:val="center"/>
            <w:tcMar>
              <w:top w:w="120" w:type="dxa"/>
              <w:start w:w="130" w:type="dxa"/>
              <w:bottom w:w="120" w:type="dxa"/>
              <w:end w:w="130" w:type="dxa"/>
            </w:tcMar>
          </w:tcPr>
          <w:p>
            <w:pPr>
              <w:spacing w:after="0" w:line="252" w:lineRule="auto"/>
            </w:pPr>
            <w:r>
              <w:rPr>
                <w:rFonts w:ascii="Aptos" w:hAnsi="Aptos"/>
                <w:color w:val="334155"/>
                <w:sz w:val="18"/>
              </w:rPr>
              <w:t>Rounded blue bars, readable category labels and a single clean location empty state when no origin data exists.</w:t>
            </w:r>
          </w:p>
        </w:tc>
      </w:tr>
      <w:tr>
        <w:tc>
          <w:tcPr>
            <w:tcW w:type="dxa" w:w="2880"/>
            <w:shd w:fill="FFFFFF"/>
            <w:vAlign w:val="center"/>
            <w:tcMar>
              <w:top w:w="120" w:type="dxa"/>
              <w:start w:w="130" w:type="dxa"/>
              <w:bottom w:w="120" w:type="dxa"/>
              <w:end w:w="130" w:type="dxa"/>
            </w:tcMar>
          </w:tcPr>
          <w:p>
            <w:pPr>
              <w:spacing w:after="0" w:line="252" w:lineRule="auto"/>
            </w:pPr>
            <w:r>
              <w:rPr>
                <w:rFonts w:ascii="Aptos" w:hAnsi="Aptos"/>
                <w:color w:val="334155"/>
                <w:sz w:val="18"/>
              </w:rPr>
              <w:t>Threat Severity</w:t>
            </w:r>
          </w:p>
        </w:tc>
        <w:tc>
          <w:tcPr>
            <w:tcW w:type="dxa" w:w="6912"/>
            <w:shd w:fill="FFFFFF"/>
            <w:vAlign w:val="center"/>
            <w:tcMar>
              <w:top w:w="120" w:type="dxa"/>
              <w:start w:w="130" w:type="dxa"/>
              <w:bottom w:w="120" w:type="dxa"/>
              <w:end w:w="130" w:type="dxa"/>
            </w:tcMar>
          </w:tcPr>
          <w:p>
            <w:pPr>
              <w:spacing w:after="0" w:line="252" w:lineRule="auto"/>
            </w:pPr>
            <w:r>
              <w:rPr>
                <w:rFonts w:ascii="Aptos" w:hAnsi="Aptos"/>
                <w:color w:val="334155"/>
                <w:sz w:val="18"/>
              </w:rPr>
              <w:t>Semantic severity colors, softened empty ring, center total, donut shadow and tooltip placement that no longer covers the total.</w:t>
            </w:r>
          </w:p>
        </w:tc>
      </w:tr>
      <w:tr>
        <w:tc>
          <w:tcPr>
            <w:tcW w:type="dxa" w:w="2880"/>
            <w:shd w:fill="F5F8FC"/>
            <w:vAlign w:val="center"/>
            <w:tcMar>
              <w:top w:w="120" w:type="dxa"/>
              <w:start w:w="130" w:type="dxa"/>
              <w:bottom w:w="120" w:type="dxa"/>
              <w:end w:w="130" w:type="dxa"/>
            </w:tcMar>
          </w:tcPr>
          <w:p>
            <w:pPr>
              <w:spacing w:after="0" w:line="252" w:lineRule="auto"/>
            </w:pPr>
            <w:r>
              <w:rPr>
                <w:rFonts w:ascii="Aptos" w:hAnsi="Aptos"/>
                <w:color w:val="334155"/>
                <w:sz w:val="18"/>
              </w:rPr>
              <w:t>Telemetry Source Breakdown</w:t>
            </w:r>
          </w:p>
        </w:tc>
        <w:tc>
          <w:tcPr>
            <w:tcW w:type="dxa" w:w="6912"/>
            <w:shd w:fill="F5F8FC"/>
            <w:vAlign w:val="center"/>
            <w:tcMar>
              <w:top w:w="120" w:type="dxa"/>
              <w:start w:w="130" w:type="dxa"/>
              <w:bottom w:w="120" w:type="dxa"/>
              <w:end w:w="130" w:type="dxa"/>
            </w:tcMar>
          </w:tcPr>
          <w:p>
            <w:pPr>
              <w:spacing w:after="0" w:line="252" w:lineRule="auto"/>
            </w:pPr>
            <w:r>
              <w:rPr>
                <w:rFonts w:ascii="Aptos" w:hAnsi="Aptos"/>
                <w:color w:val="334155"/>
                <w:sz w:val="18"/>
              </w:rPr>
              <w:t>Structured source visualization with readable legend text and consistent empty-state behavior.</w:t>
            </w:r>
          </w:p>
        </w:tc>
      </w:tr>
      <w:tr>
        <w:tc>
          <w:tcPr>
            <w:tcW w:type="dxa" w:w="2880"/>
            <w:shd w:fill="FFFFFF"/>
            <w:vAlign w:val="center"/>
            <w:tcMar>
              <w:top w:w="120" w:type="dxa"/>
              <w:start w:w="130" w:type="dxa"/>
              <w:bottom w:w="120" w:type="dxa"/>
              <w:end w:w="130" w:type="dxa"/>
            </w:tcMar>
          </w:tcPr>
          <w:p>
            <w:pPr>
              <w:spacing w:after="0" w:line="252" w:lineRule="auto"/>
            </w:pPr>
            <w:r>
              <w:rPr>
                <w:rFonts w:ascii="Aptos" w:hAnsi="Aptos"/>
                <w:color w:val="334155"/>
                <w:sz w:val="18"/>
              </w:rPr>
              <w:t>Detection Rule Frequency</w:t>
            </w:r>
          </w:p>
        </w:tc>
        <w:tc>
          <w:tcPr>
            <w:tcW w:type="dxa" w:w="6912"/>
            <w:shd w:fill="FFFFFF"/>
            <w:vAlign w:val="center"/>
            <w:tcMar>
              <w:top w:w="120" w:type="dxa"/>
              <w:start w:w="130" w:type="dxa"/>
              <w:bottom w:w="120" w:type="dxa"/>
              <w:end w:w="130" w:type="dxa"/>
            </w:tcMar>
          </w:tcPr>
          <w:p>
            <w:pPr>
              <w:spacing w:after="0" w:line="252" w:lineRule="auto"/>
            </w:pPr>
            <w:r>
              <w:rPr>
                <w:rFonts w:ascii="Aptos" w:hAnsi="Aptos"/>
                <w:color w:val="334155"/>
                <w:sz w:val="18"/>
              </w:rPr>
              <w:t>Branded blue bars, rounded corners, readable category labels and clean numeric axis treatment.</w:t>
            </w:r>
          </w:p>
        </w:tc>
      </w:tr>
      <w:tr>
        <w:tc>
          <w:tcPr>
            <w:tcW w:type="dxa" w:w="2880"/>
            <w:shd w:fill="F5F8FC"/>
            <w:vAlign w:val="center"/>
            <w:tcMar>
              <w:top w:w="120" w:type="dxa"/>
              <w:start w:w="130" w:type="dxa"/>
              <w:bottom w:w="120" w:type="dxa"/>
              <w:end w:w="130" w:type="dxa"/>
            </w:tcMar>
          </w:tcPr>
          <w:p>
            <w:pPr>
              <w:spacing w:after="0" w:line="252" w:lineRule="auto"/>
            </w:pPr>
            <w:r>
              <w:rPr>
                <w:rFonts w:ascii="Aptos" w:hAnsi="Aptos"/>
                <w:color w:val="334155"/>
                <w:sz w:val="18"/>
              </w:rPr>
              <w:t>MITRE ATT and CK Coverage</w:t>
            </w:r>
          </w:p>
        </w:tc>
        <w:tc>
          <w:tcPr>
            <w:tcW w:type="dxa" w:w="6912"/>
            <w:shd w:fill="F5F8FC"/>
            <w:vAlign w:val="center"/>
            <w:tcMar>
              <w:top w:w="120" w:type="dxa"/>
              <w:start w:w="130" w:type="dxa"/>
              <w:bottom w:w="120" w:type="dxa"/>
              <w:end w:w="130" w:type="dxa"/>
            </w:tcMar>
          </w:tcPr>
          <w:p>
            <w:pPr>
              <w:spacing w:after="0" w:line="252" w:lineRule="auto"/>
            </w:pPr>
            <w:r>
              <w:rPr>
                <w:rFonts w:ascii="Aptos" w:hAnsi="Aptos"/>
                <w:color w:val="334155"/>
                <w:sz w:val="18"/>
              </w:rPr>
              <w:t>Readable category labels and consistent chart card treatment.</w:t>
            </w:r>
          </w:p>
        </w:tc>
      </w:tr>
      <w:tr>
        <w:tc>
          <w:tcPr>
            <w:tcW w:type="dxa" w:w="2880"/>
            <w:shd w:fill="FFFFFF"/>
            <w:vAlign w:val="center"/>
            <w:tcMar>
              <w:top w:w="120" w:type="dxa"/>
              <w:start w:w="130" w:type="dxa"/>
              <w:bottom w:w="120" w:type="dxa"/>
              <w:end w:w="130" w:type="dxa"/>
            </w:tcMar>
          </w:tcPr>
          <w:p>
            <w:pPr>
              <w:spacing w:after="0" w:line="252" w:lineRule="auto"/>
            </w:pPr>
            <w:r>
              <w:rPr>
                <w:rFonts w:ascii="Aptos" w:hAnsi="Aptos"/>
                <w:color w:val="334155"/>
                <w:sz w:val="18"/>
              </w:rPr>
              <w:t>Endpoint Event Load</w:t>
            </w:r>
          </w:p>
        </w:tc>
        <w:tc>
          <w:tcPr>
            <w:tcW w:type="dxa" w:w="6912"/>
            <w:shd w:fill="FFFFFF"/>
            <w:vAlign w:val="center"/>
            <w:tcMar>
              <w:top w:w="120" w:type="dxa"/>
              <w:start w:w="130" w:type="dxa"/>
              <w:bottom w:w="120" w:type="dxa"/>
              <w:end w:w="130" w:type="dxa"/>
            </w:tcMar>
          </w:tcPr>
          <w:p>
            <w:pPr>
              <w:spacing w:after="0" w:line="252" w:lineRule="auto"/>
            </w:pPr>
            <w:r>
              <w:rPr>
                <w:rFonts w:ascii="Aptos" w:hAnsi="Aptos"/>
                <w:color w:val="334155"/>
                <w:sz w:val="18"/>
              </w:rPr>
              <w:t>Responsive event-load presentation with clean zero-data handling.</w:t>
            </w:r>
          </w:p>
        </w:tc>
      </w:tr>
      <w:tr>
        <w:tc>
          <w:tcPr>
            <w:tcW w:type="dxa" w:w="2880"/>
            <w:shd w:fill="F5F8FC"/>
            <w:vAlign w:val="center"/>
            <w:tcMar>
              <w:top w:w="120" w:type="dxa"/>
              <w:start w:w="130" w:type="dxa"/>
              <w:bottom w:w="120" w:type="dxa"/>
              <w:end w:w="130" w:type="dxa"/>
            </w:tcMar>
          </w:tcPr>
          <w:p>
            <w:pPr>
              <w:spacing w:after="0" w:line="252" w:lineRule="auto"/>
            </w:pPr>
            <w:r>
              <w:rPr>
                <w:rFonts w:ascii="Aptos" w:hAnsi="Aptos"/>
                <w:color w:val="334155"/>
                <w:sz w:val="18"/>
              </w:rPr>
              <w:t>Operations Snapshot</w:t>
            </w:r>
          </w:p>
        </w:tc>
        <w:tc>
          <w:tcPr>
            <w:tcW w:type="dxa" w:w="6912"/>
            <w:shd w:fill="F5F8FC"/>
            <w:vAlign w:val="center"/>
            <w:tcMar>
              <w:top w:w="120" w:type="dxa"/>
              <w:start w:w="130" w:type="dxa"/>
              <w:bottom w:w="120" w:type="dxa"/>
              <w:end w:w="130" w:type="dxa"/>
            </w:tcMar>
          </w:tcPr>
          <w:p>
            <w:pPr>
              <w:spacing w:after="0" w:line="252" w:lineRule="auto"/>
            </w:pPr>
            <w:r>
              <w:rPr>
                <w:rFonts w:ascii="Aptos" w:hAnsi="Aptos"/>
                <w:color w:val="334155"/>
                <w:sz w:val="18"/>
              </w:rPr>
              <w:t>Consistent SOC metric presentation and empty-state treatment.</w:t>
            </w:r>
          </w:p>
        </w:tc>
      </w:tr>
    </w:tbl>
    <w:p>
      <w:pPr>
        <w:spacing w:after="40"/>
      </w:pPr>
    </w:p>
    <w:p>
      <w:pPr>
        <w:pStyle w:val="Heading2"/>
        <w:keepNext/>
      </w:pPr>
      <w:r>
        <w:rPr>
          <w:rFonts w:ascii="Aptos" w:hAnsi="Aptos"/>
          <w:b/>
          <w:color w:val="000000"/>
          <w:sz w:val="24"/>
        </w:rPr>
        <w:t>7.1 Chart styling system</w:t>
      </w:r>
    </w:p>
    <w:p>
      <w:pPr>
        <w:pStyle w:val="ListBullet"/>
        <w:spacing w:after="60"/>
        <w:ind w:left="360"/>
      </w:pPr>
      <w:r>
        <w:rPr>
          <w:rFonts w:ascii="Aptos" w:hAnsi="Aptos"/>
          <w:color w:val="334155"/>
          <w:sz w:val="21"/>
        </w:rPr>
        <w:t>Light-mode category labels use readable dark slate contrast and medium weight; axis reference numbers remain more muted.</w:t>
      </w:r>
    </w:p>
    <w:p>
      <w:pPr>
        <w:pStyle w:val="ListBullet"/>
        <w:spacing w:after="60"/>
        <w:ind w:left="360"/>
      </w:pPr>
      <w:r>
        <w:rPr>
          <w:rFonts w:ascii="Aptos" w:hAnsi="Aptos"/>
          <w:color w:val="334155"/>
          <w:sz w:val="21"/>
        </w:rPr>
        <w:t>Dark-mode labels use a light slate equivalent so both themes preserve hierarchy and legibility.</w:t>
      </w:r>
    </w:p>
    <w:p>
      <w:pPr>
        <w:pStyle w:val="ListBullet"/>
        <w:spacing w:after="60"/>
        <w:ind w:left="360"/>
      </w:pPr>
      <w:r>
        <w:rPr>
          <w:rFonts w:ascii="Aptos" w:hAnsi="Aptos"/>
          <w:color w:val="334155"/>
          <w:sz w:val="21"/>
        </w:rPr>
        <w:t>Horizontal gridlines are subtle and solid; vertical gridlines are removed where the chart does not need them.</w:t>
      </w:r>
    </w:p>
    <w:p>
      <w:pPr>
        <w:pStyle w:val="ListBullet"/>
        <w:spacing w:after="60"/>
        <w:ind w:left="360"/>
      </w:pPr>
      <w:r>
        <w:rPr>
          <w:rFonts w:ascii="Aptos" w:hAnsi="Aptos"/>
          <w:color w:val="334155"/>
          <w:sz w:val="21"/>
        </w:rPr>
        <w:t>Chart headers include semantic icons such as trend, map pin and alert meaning.</w:t>
      </w:r>
    </w:p>
    <w:p>
      <w:pPr>
        <w:pStyle w:val="ListBullet"/>
        <w:spacing w:after="60"/>
        <w:ind w:left="360"/>
      </w:pPr>
      <w:r>
        <w:rPr>
          <w:rFonts w:ascii="Aptos" w:hAnsi="Aptos"/>
          <w:color w:val="334155"/>
          <w:sz w:val="21"/>
        </w:rPr>
        <w:t>Drag handles and remove controls are muted by default and become prominent only when the chart is hovered or focused.</w:t>
      </w:r>
    </w:p>
    <w:p>
      <w:pPr>
        <w:pStyle w:val="ListBullet"/>
        <w:spacing w:after="60"/>
        <w:ind w:left="360"/>
      </w:pPr>
      <w:r>
        <w:rPr>
          <w:rFonts w:ascii="Aptos" w:hAnsi="Aptos"/>
          <w:color w:val="334155"/>
          <w:sz w:val="21"/>
        </w:rPr>
        <w:t>Tooltips are available only for real data and are disabled for empty charts.</w:t>
      </w:r>
    </w:p>
    <w:p>
      <w:pPr>
        <w:pStyle w:val="Heading2"/>
        <w:keepNext/>
      </w:pPr>
      <w:r>
        <w:rPr>
          <w:rFonts w:ascii="Aptos" w:hAnsi="Aptos"/>
          <w:b/>
          <w:color w:val="000000"/>
          <w:sz w:val="24"/>
        </w:rPr>
        <w:t>7.2 Empty states</w:t>
      </w:r>
    </w:p>
    <w:p>
      <w:pPr>
        <w:spacing w:after="140" w:line="269" w:lineRule="auto"/>
      </w:pPr>
      <w:r>
        <w:rPr>
          <w:rFonts w:ascii="Aptos" w:hAnsi="Aptos"/>
          <w:color w:val="334155"/>
          <w:sz w:val="21"/>
        </w:rPr>
        <w:t>Empty widgets use one centered icon and one concise message. Numeric axes, grid structures and duplicate messages are not rendered when there is no data. This prevents the earlier overlap between icons, text and meaningless zero axes.</w:t>
      </w:r>
    </w:p>
    <w:p>
      <w:pPr>
        <w:pStyle w:val="Heading1"/>
        <w:keepNext/>
      </w:pPr>
      <w:r>
        <w:rPr>
          <w:rFonts w:ascii="Aptos" w:hAnsi="Aptos"/>
          <w:b/>
          <w:color w:val="000000"/>
          <w:sz w:val="30"/>
        </w:rPr>
        <w:t>8 Theme And Contrast Work</w:t>
      </w:r>
    </w:p>
    <w:p>
      <w:pPr>
        <w:spacing w:after="140" w:line="269" w:lineRule="auto"/>
      </w:pPr>
      <w:r>
        <w:rPr>
          <w:rFonts w:ascii="Aptos" w:hAnsi="Aptos"/>
          <w:color w:val="334155"/>
          <w:sz w:val="21"/>
        </w:rPr>
        <w:t>The light theme received a dedicated contrast pass because several icons and labels were visually disappearing against pale surfaces. The dark theme was retained as a first-class presentation rather than treated as an inversion of light mode.</w:t>
      </w:r>
    </w:p>
    <w:p>
      <w:pPr>
        <w:pStyle w:val="ListBullet"/>
        <w:spacing w:after="60"/>
        <w:ind w:left="360"/>
      </w:pPr>
      <w:r>
        <w:rPr>
          <w:rFonts w:ascii="Aptos" w:hAnsi="Aptos"/>
          <w:color w:val="334155"/>
          <w:sz w:val="21"/>
        </w:rPr>
        <w:t>Light-mode headings, labels, chart categories, table content and control text use dark slate or near-black values for reliable readability.</w:t>
      </w:r>
    </w:p>
    <w:p>
      <w:pPr>
        <w:pStyle w:val="ListBullet"/>
        <w:spacing w:after="60"/>
        <w:ind w:left="360"/>
      </w:pPr>
      <w:r>
        <w:rPr>
          <w:rFonts w:ascii="Aptos" w:hAnsi="Aptos"/>
          <w:color w:val="334155"/>
          <w:sz w:val="21"/>
        </w:rPr>
        <w:t>Interactive icons inherit their state color explicitly so SVG stroke color does not disappear through inherited or theme-level overrides.</w:t>
      </w:r>
    </w:p>
    <w:p>
      <w:pPr>
        <w:pStyle w:val="ListBullet"/>
        <w:spacing w:after="60"/>
        <w:ind w:left="360"/>
      </w:pPr>
      <w:r>
        <w:rPr>
          <w:rFonts w:ascii="Aptos" w:hAnsi="Aptos"/>
          <w:color w:val="334155"/>
          <w:sz w:val="21"/>
        </w:rPr>
        <w:t>More button hover/open state uses a readable blue background with white label and white icon.</w:t>
      </w:r>
    </w:p>
    <w:p>
      <w:pPr>
        <w:pStyle w:val="ListBullet"/>
        <w:spacing w:after="60"/>
        <w:ind w:left="360"/>
      </w:pPr>
      <w:r>
        <w:rPr>
          <w:rFonts w:ascii="Aptos" w:hAnsi="Aptos"/>
          <w:color w:val="334155"/>
          <w:sz w:val="21"/>
        </w:rPr>
        <w:t>More menu hover state uses lime background with white label and white icon.</w:t>
      </w:r>
    </w:p>
    <w:p>
      <w:pPr>
        <w:pStyle w:val="ListBullet"/>
        <w:spacing w:after="60"/>
        <w:ind w:left="360"/>
      </w:pPr>
      <w:r>
        <w:rPr>
          <w:rFonts w:ascii="Aptos" w:hAnsi="Aptos"/>
          <w:color w:val="334155"/>
          <w:sz w:val="21"/>
        </w:rPr>
        <w:t>The session verification screen uses a visible shield and readable text in light mode.</w:t>
      </w:r>
    </w:p>
    <w:p>
      <w:pPr>
        <w:pStyle w:val="ListBullet"/>
        <w:spacing w:after="60"/>
        <w:ind w:left="360"/>
      </w:pPr>
      <w:r>
        <w:rPr>
          <w:rFonts w:ascii="Aptos" w:hAnsi="Aptos"/>
          <w:color w:val="334155"/>
          <w:sz w:val="21"/>
        </w:rPr>
        <w:t>Buttons, badges, profile controls, endpoint states and chart legends retain appropriate contrast in both themes.</w:t>
      </w:r>
    </w:p>
    <w:p>
      <w:pPr>
        <w:pStyle w:val="Heading1"/>
        <w:keepNext/>
      </w:pPr>
      <w:r>
        <w:rPr>
          <w:rFonts w:ascii="Aptos" w:hAnsi="Aptos"/>
          <w:b/>
          <w:color w:val="000000"/>
          <w:sz w:val="30"/>
        </w:rPr>
        <w:t>9 Compliance And Administrative Workspace Presentation</w:t>
      </w:r>
    </w:p>
    <w:p>
      <w:pPr>
        <w:spacing w:after="140" w:line="269" w:lineRule="auto"/>
      </w:pPr>
      <w:r>
        <w:rPr>
          <w:rFonts w:ascii="Aptos" w:hAnsi="Aptos"/>
          <w:color w:val="334155"/>
          <w:sz w:val="21"/>
        </w:rPr>
        <w:t>Compliance and administrative pages were visually aligned with the SOC dashboard shell without changing their underlying purpose. The Compliance and Audit Center remains accessible from the sidebar and workspace navigation, while Evidence Cases, Legal Holds and Configuration remain grouped under More.</w:t>
      </w:r>
    </w:p>
    <w:p>
      <w:pPr>
        <w:pStyle w:val="ListBullet"/>
        <w:spacing w:after="60"/>
        <w:ind w:left="360"/>
      </w:pPr>
      <w:r>
        <w:rPr>
          <w:rFonts w:ascii="Aptos" w:hAnsi="Aptos"/>
          <w:color w:val="334155"/>
          <w:sz w:val="21"/>
        </w:rPr>
        <w:t>Compliance and Audit page includes its existing compliance pack and evidence-oriented content.</w:t>
      </w:r>
    </w:p>
    <w:p>
      <w:pPr>
        <w:pStyle w:val="ListBullet"/>
        <w:spacing w:after="60"/>
        <w:ind w:left="360"/>
      </w:pPr>
      <w:r>
        <w:rPr>
          <w:rFonts w:ascii="Aptos" w:hAnsi="Aptos"/>
          <w:color w:val="334155"/>
          <w:sz w:val="21"/>
        </w:rPr>
        <w:t>Configuration remains a distinct configuration assessment workspace rather than falling back to Dashboard.</w:t>
      </w:r>
    </w:p>
    <w:p>
      <w:pPr>
        <w:pStyle w:val="ListBullet"/>
        <w:spacing w:after="60"/>
        <w:ind w:left="360"/>
      </w:pPr>
      <w:r>
        <w:rPr>
          <w:rFonts w:ascii="Aptos" w:hAnsi="Aptos"/>
          <w:color w:val="334155"/>
          <w:sz w:val="21"/>
        </w:rPr>
        <w:t>Team and Access remains a distinct team-management workspace with readable tables and light-theme contrast.</w:t>
      </w:r>
    </w:p>
    <w:p>
      <w:pPr>
        <w:pStyle w:val="ListBullet"/>
        <w:spacing w:after="60"/>
        <w:ind w:left="360"/>
      </w:pPr>
      <w:r>
        <w:rPr>
          <w:rFonts w:ascii="Aptos" w:hAnsi="Aptos"/>
          <w:color w:val="334155"/>
          <w:sz w:val="21"/>
        </w:rPr>
        <w:t>Operational pages such as Endpoints and Firewall Relays use page-specific headings, status messaging, retry affordances and data tables while sharing the shell spacing system.</w:t>
      </w:r>
    </w:p>
    <w:p>
      <w:pPr>
        <w:pStyle w:val="Heading1"/>
        <w:keepNext/>
      </w:pPr>
      <w:r>
        <w:rPr>
          <w:rFonts w:ascii="Aptos" w:hAnsi="Aptos"/>
          <w:b/>
          <w:color w:val="000000"/>
          <w:sz w:val="30"/>
        </w:rPr>
        <w:t>10 Temporary Review Code Cleanup</w:t>
      </w:r>
    </w:p>
    <w:p>
      <w:pPr>
        <w:spacing w:after="140" w:line="269" w:lineRule="auto"/>
      </w:pPr>
      <w:r>
        <w:rPr>
          <w:rFonts w:ascii="Aptos" w:hAnsi="Aptos"/>
          <w:color w:val="334155"/>
          <w:sz w:val="21"/>
        </w:rPr>
        <w:t>The design-review bypass and mock-data phase was closed before production handoff. The entire codebase was searched for the exact temporary marker strings and no remaining matches were found.</w:t>
      </w:r>
    </w:p>
    <w:tbl>
      <w:tblPr>
        <w:tblW w:type="auto" w:w="0"/>
        <w:jc w:val="center"/>
        <w:tblLayout w:type="fixed"/>
        <w:tblLook w:firstColumn="1" w:firstRow="1" w:lastColumn="0" w:lastRow="0" w:noHBand="0" w:noVBand="1" w:val="04A0"/>
        <w:tblBorders>
          <w:top w:val="single" w:sz="6" w:space="0" w:color="D9E1EA"/>
          <w:left w:val="single" w:sz="6" w:space="0" w:color="D9E1EA"/>
          <w:bottom w:val="single" w:sz="6" w:space="0" w:color="D9E1EA"/>
          <w:right w:val="single" w:sz="6" w:space="0" w:color="D9E1EA"/>
          <w:insideH w:val="single" w:sz="6" w:space="0" w:color="D9E1EA"/>
          <w:insideV w:val="single" w:sz="6" w:space="0" w:color="D9E1EA"/>
        </w:tblBorders>
      </w:tblPr>
      <w:tblGrid>
        <w:gridCol w:w="4997"/>
        <w:gridCol w:w="4997"/>
      </w:tblGrid>
      <w:tr>
        <w:trPr>
          <w:tblHeader w:val="true"/>
        </w:trPr>
        <w:tc>
          <w:tcPr>
            <w:tcW w:type="dxa" w:w="2880"/>
            <w:shd w:fill="173B63"/>
            <w:vAlign w:val="center"/>
            <w:tcMar>
              <w:top w:w="130" w:type="dxa"/>
              <w:start w:w="130" w:type="dxa"/>
              <w:bottom w:w="130" w:type="dxa"/>
              <w:end w:w="130" w:type="dxa"/>
            </w:tcMar>
          </w:tcPr>
          <w:p>
            <w:pPr>
              <w:spacing w:after="0"/>
            </w:pPr>
            <w:r>
              <w:rPr>
                <w:rFonts w:ascii="Aptos" w:hAnsi="Aptos"/>
                <w:b/>
                <w:color w:val="FFFFFF"/>
                <w:sz w:val="19"/>
              </w:rPr>
              <w:t>Cleanup check</w:t>
            </w:r>
          </w:p>
        </w:tc>
        <w:tc>
          <w:tcPr>
            <w:tcW w:type="dxa" w:w="6912"/>
            <w:shd w:fill="173B63"/>
            <w:vAlign w:val="center"/>
            <w:tcMar>
              <w:top w:w="130" w:type="dxa"/>
              <w:start w:w="130" w:type="dxa"/>
              <w:bottom w:w="130" w:type="dxa"/>
              <w:end w:w="130" w:type="dxa"/>
            </w:tcMar>
          </w:tcPr>
          <w:p>
            <w:pPr>
              <w:spacing w:after="0"/>
            </w:pPr>
            <w:r>
              <w:rPr>
                <w:rFonts w:ascii="Aptos" w:hAnsi="Aptos"/>
                <w:b/>
                <w:color w:val="FFFFFF"/>
                <w:sz w:val="19"/>
              </w:rPr>
              <w:t>Final state</w:t>
            </w:r>
          </w:p>
        </w:tc>
      </w:tr>
      <w:tr>
        <w:tc>
          <w:tcPr>
            <w:tcW w:type="dxa" w:w="2880"/>
            <w:shd w:fill="FFFFFF"/>
            <w:vAlign w:val="center"/>
            <w:tcMar>
              <w:top w:w="120" w:type="dxa"/>
              <w:start w:w="130" w:type="dxa"/>
              <w:bottom w:w="120" w:type="dxa"/>
              <w:end w:w="130" w:type="dxa"/>
            </w:tcMar>
          </w:tcPr>
          <w:p>
            <w:pPr>
              <w:spacing w:after="0" w:line="252" w:lineRule="auto"/>
            </w:pPr>
            <w:r>
              <w:rPr>
                <w:rFonts w:ascii="Aptos" w:hAnsi="Aptos"/>
                <w:color w:val="334155"/>
                <w:sz w:val="18"/>
              </w:rPr>
              <w:t>TEMP LOCAL BYPASS markers</w:t>
            </w:r>
          </w:p>
        </w:tc>
        <w:tc>
          <w:tcPr>
            <w:tcW w:type="dxa" w:w="6912"/>
            <w:shd w:fill="FFFFFF"/>
            <w:vAlign w:val="center"/>
            <w:tcMar>
              <w:top w:w="120" w:type="dxa"/>
              <w:start w:w="130" w:type="dxa"/>
              <w:bottom w:w="120" w:type="dxa"/>
              <w:end w:w="130" w:type="dxa"/>
            </w:tcMar>
          </w:tcPr>
          <w:p>
            <w:pPr>
              <w:spacing w:after="0" w:line="252" w:lineRule="auto"/>
            </w:pPr>
            <w:r>
              <w:rPr>
                <w:rFonts w:ascii="Aptos" w:hAnsi="Aptos"/>
                <w:color w:val="334155"/>
                <w:sz w:val="18"/>
              </w:rPr>
              <w:t>Zero matches across the codebase.</w:t>
            </w:r>
          </w:p>
        </w:tc>
      </w:tr>
      <w:tr>
        <w:tc>
          <w:tcPr>
            <w:tcW w:type="dxa" w:w="2880"/>
            <w:shd w:fill="F5F8FC"/>
            <w:vAlign w:val="center"/>
            <w:tcMar>
              <w:top w:w="120" w:type="dxa"/>
              <w:start w:w="130" w:type="dxa"/>
              <w:bottom w:w="120" w:type="dxa"/>
              <w:end w:w="130" w:type="dxa"/>
            </w:tcMar>
          </w:tcPr>
          <w:p>
            <w:pPr>
              <w:spacing w:after="0" w:line="252" w:lineRule="auto"/>
            </w:pPr>
            <w:r>
              <w:rPr>
                <w:rFonts w:ascii="Aptos" w:hAnsi="Aptos"/>
                <w:color w:val="334155"/>
                <w:sz w:val="18"/>
              </w:rPr>
              <w:t>TEMP MOCK DATA markers</w:t>
            </w:r>
          </w:p>
        </w:tc>
        <w:tc>
          <w:tcPr>
            <w:tcW w:type="dxa" w:w="6912"/>
            <w:shd w:fill="F5F8FC"/>
            <w:vAlign w:val="center"/>
            <w:tcMar>
              <w:top w:w="120" w:type="dxa"/>
              <w:start w:w="130" w:type="dxa"/>
              <w:bottom w:w="120" w:type="dxa"/>
              <w:end w:w="130" w:type="dxa"/>
            </w:tcMar>
          </w:tcPr>
          <w:p>
            <w:pPr>
              <w:spacing w:after="0" w:line="252" w:lineRule="auto"/>
            </w:pPr>
            <w:r>
              <w:rPr>
                <w:rFonts w:ascii="Aptos" w:hAnsi="Aptos"/>
                <w:color w:val="334155"/>
                <w:sz w:val="18"/>
              </w:rPr>
              <w:t>Zero matches across the codebase.</w:t>
            </w:r>
          </w:p>
        </w:tc>
      </w:tr>
      <w:tr>
        <w:tc>
          <w:tcPr>
            <w:tcW w:type="dxa" w:w="2880"/>
            <w:shd w:fill="FFFFFF"/>
            <w:vAlign w:val="center"/>
            <w:tcMar>
              <w:top w:w="120" w:type="dxa"/>
              <w:start w:w="130" w:type="dxa"/>
              <w:bottom w:w="120" w:type="dxa"/>
              <w:end w:w="130" w:type="dxa"/>
            </w:tcMar>
          </w:tcPr>
          <w:p>
            <w:pPr>
              <w:spacing w:after="0" w:line="252" w:lineRule="auto"/>
            </w:pPr>
            <w:r>
              <w:rPr>
                <w:rFonts w:ascii="Aptos" w:hAnsi="Aptos"/>
                <w:color w:val="334155"/>
                <w:sz w:val="18"/>
              </w:rPr>
              <w:t>Authentication</w:t>
            </w:r>
          </w:p>
        </w:tc>
        <w:tc>
          <w:tcPr>
            <w:tcW w:type="dxa" w:w="6912"/>
            <w:shd w:fill="FFFFFF"/>
            <w:vAlign w:val="center"/>
            <w:tcMar>
              <w:top w:w="120" w:type="dxa"/>
              <w:start w:w="130" w:type="dxa"/>
              <w:bottom w:w="120" w:type="dxa"/>
              <w:end w:w="130" w:type="dxa"/>
            </w:tcMar>
          </w:tcPr>
          <w:p>
            <w:pPr>
              <w:spacing w:after="0" w:line="252" w:lineRule="auto"/>
            </w:pPr>
            <w:r>
              <w:rPr>
                <w:rFonts w:ascii="Aptos" w:hAnsi="Aptos"/>
                <w:color w:val="334155"/>
                <w:sz w:val="18"/>
              </w:rPr>
              <w:t>ProtectedRoute requires a valid authenticated session for /dashboard and /profile.</w:t>
            </w:r>
          </w:p>
        </w:tc>
      </w:tr>
      <w:tr>
        <w:tc>
          <w:tcPr>
            <w:tcW w:type="dxa" w:w="2880"/>
            <w:shd w:fill="F5F8FC"/>
            <w:vAlign w:val="center"/>
            <w:tcMar>
              <w:top w:w="120" w:type="dxa"/>
              <w:start w:w="130" w:type="dxa"/>
              <w:bottom w:w="120" w:type="dxa"/>
              <w:end w:w="130" w:type="dxa"/>
            </w:tcMar>
          </w:tcPr>
          <w:p>
            <w:pPr>
              <w:spacing w:after="0" w:line="252" w:lineRule="auto"/>
            </w:pPr>
            <w:r>
              <w:rPr>
                <w:rFonts w:ascii="Aptos" w:hAnsi="Aptos"/>
                <w:color w:val="334155"/>
                <w:sz w:val="18"/>
              </w:rPr>
              <w:t>Direct protected URL access</w:t>
            </w:r>
          </w:p>
        </w:tc>
        <w:tc>
          <w:tcPr>
            <w:tcW w:type="dxa" w:w="6912"/>
            <w:shd w:fill="F5F8FC"/>
            <w:vAlign w:val="center"/>
            <w:tcMar>
              <w:top w:w="120" w:type="dxa"/>
              <w:start w:w="130" w:type="dxa"/>
              <w:bottom w:w="120" w:type="dxa"/>
              <w:end w:w="130" w:type="dxa"/>
            </w:tcMar>
          </w:tcPr>
          <w:p>
            <w:pPr>
              <w:spacing w:after="0" w:line="252" w:lineRule="auto"/>
            </w:pPr>
            <w:r>
              <w:rPr>
                <w:rFonts w:ascii="Aptos" w:hAnsi="Aptos"/>
                <w:color w:val="334155"/>
                <w:sz w:val="18"/>
              </w:rPr>
              <w:t>Unauthenticated access redirects to /login.</w:t>
            </w:r>
          </w:p>
        </w:tc>
      </w:tr>
      <w:tr>
        <w:tc>
          <w:tcPr>
            <w:tcW w:type="dxa" w:w="2880"/>
            <w:shd w:fill="FFFFFF"/>
            <w:vAlign w:val="center"/>
            <w:tcMar>
              <w:top w:w="120" w:type="dxa"/>
              <w:start w:w="130" w:type="dxa"/>
              <w:bottom w:w="120" w:type="dxa"/>
              <w:end w:w="130" w:type="dxa"/>
            </w:tcMar>
          </w:tcPr>
          <w:p>
            <w:pPr>
              <w:spacing w:after="0" w:line="252" w:lineRule="auto"/>
            </w:pPr>
            <w:r>
              <w:rPr>
                <w:rFonts w:ascii="Aptos" w:hAnsi="Aptos"/>
                <w:color w:val="334155"/>
                <w:sz w:val="18"/>
              </w:rPr>
              <w:t>.env.local</w:t>
            </w:r>
          </w:p>
        </w:tc>
        <w:tc>
          <w:tcPr>
            <w:tcW w:type="dxa" w:w="6912"/>
            <w:shd w:fill="FFFFFF"/>
            <w:vAlign w:val="center"/>
            <w:tcMar>
              <w:top w:w="120" w:type="dxa"/>
              <w:start w:w="130" w:type="dxa"/>
              <w:bottom w:w="120" w:type="dxa"/>
              <w:end w:w="130" w:type="dxa"/>
            </w:tcMar>
          </w:tcPr>
          <w:p>
            <w:pPr>
              <w:spacing w:after="0" w:line="252" w:lineRule="auto"/>
            </w:pPr>
            <w:r>
              <w:rPr>
                <w:rFonts w:ascii="Aptos" w:hAnsi="Aptos"/>
                <w:color w:val="334155"/>
                <w:sz w:val="18"/>
              </w:rPr>
              <w:t>No local auth bypass flag remains; required local API and SCA settings remain.</w:t>
            </w:r>
          </w:p>
        </w:tc>
      </w:tr>
      <w:tr>
        <w:tc>
          <w:tcPr>
            <w:tcW w:type="dxa" w:w="2880"/>
            <w:shd w:fill="F5F8FC"/>
            <w:vAlign w:val="center"/>
            <w:tcMar>
              <w:top w:w="120" w:type="dxa"/>
              <w:start w:w="130" w:type="dxa"/>
              <w:bottom w:w="120" w:type="dxa"/>
              <w:end w:w="130" w:type="dxa"/>
            </w:tcMar>
          </w:tcPr>
          <w:p>
            <w:pPr>
              <w:spacing w:after="0" w:line="252" w:lineRule="auto"/>
            </w:pPr>
            <w:r>
              <w:rPr>
                <w:rFonts w:ascii="Aptos" w:hAnsi="Aptos"/>
                <w:color w:val="334155"/>
                <w:sz w:val="18"/>
              </w:rPr>
              <w:t>.gitignore</w:t>
            </w:r>
          </w:p>
        </w:tc>
        <w:tc>
          <w:tcPr>
            <w:tcW w:type="dxa" w:w="6912"/>
            <w:shd w:fill="F5F8FC"/>
            <w:vAlign w:val="center"/>
            <w:tcMar>
              <w:top w:w="120" w:type="dxa"/>
              <w:start w:w="130" w:type="dxa"/>
              <w:bottom w:w="120" w:type="dxa"/>
              <w:end w:w="130" w:type="dxa"/>
            </w:tcMar>
          </w:tcPr>
          <w:p>
            <w:pPr>
              <w:spacing w:after="0" w:line="252" w:lineRule="auto"/>
            </w:pPr>
            <w:r>
              <w:rPr>
                <w:rFonts w:ascii="Aptos" w:hAnsi="Aptos"/>
                <w:color w:val="334155"/>
                <w:sz w:val="18"/>
              </w:rPr>
              <w:t>.env.local remains excluded from source control.</w:t>
            </w:r>
          </w:p>
        </w:tc>
      </w:tr>
      <w:tr>
        <w:tc>
          <w:tcPr>
            <w:tcW w:type="dxa" w:w="2880"/>
            <w:shd w:fill="FFFFFF"/>
            <w:vAlign w:val="center"/>
            <w:tcMar>
              <w:top w:w="120" w:type="dxa"/>
              <w:start w:w="130" w:type="dxa"/>
              <w:bottom w:w="120" w:type="dxa"/>
              <w:end w:w="130" w:type="dxa"/>
            </w:tcMar>
          </w:tcPr>
          <w:p>
            <w:pPr>
              <w:spacing w:after="0" w:line="252" w:lineRule="auto"/>
            </w:pPr>
            <w:r>
              <w:rPr>
                <w:rFonts w:ascii="Aptos" w:hAnsi="Aptos"/>
                <w:color w:val="334155"/>
                <w:sz w:val="18"/>
              </w:rPr>
              <w:t>Visual work</w:t>
            </w:r>
          </w:p>
        </w:tc>
        <w:tc>
          <w:tcPr>
            <w:tcW w:type="dxa" w:w="6912"/>
            <w:shd w:fill="FFFFFF"/>
            <w:vAlign w:val="center"/>
            <w:tcMar>
              <w:top w:w="120" w:type="dxa"/>
              <w:start w:w="130" w:type="dxa"/>
              <w:bottom w:w="120" w:type="dxa"/>
              <w:end w:w="130" w:type="dxa"/>
            </w:tcMar>
          </w:tcPr>
          <w:p>
            <w:pPr>
              <w:spacing w:after="0" w:line="252" w:lineRule="auto"/>
            </w:pPr>
            <w:r>
              <w:rPr>
                <w:rFonts w:ascii="Aptos" w:hAnsi="Aptos"/>
                <w:color w:val="334155"/>
                <w:sz w:val="18"/>
              </w:rPr>
              <w:t>Design, navigation, chart and responsive changes remain intact after cleanup.</w:t>
            </w:r>
          </w:p>
        </w:tc>
      </w:tr>
    </w:tbl>
    <w:p>
      <w:pPr>
        <w:spacing w:after="40"/>
      </w:pPr>
    </w:p>
    <w:p>
      <w:pPr>
        <w:pStyle w:val="Heading1"/>
        <w:keepNext/>
      </w:pPr>
      <w:r>
        <w:rPr>
          <w:rFonts w:ascii="Aptos" w:hAnsi="Aptos"/>
          <w:b/>
          <w:color w:val="000000"/>
          <w:sz w:val="30"/>
        </w:rPr>
        <w:t>11 Validation And Quality Checks</w:t>
      </w:r>
    </w:p>
    <w:p>
      <w:pPr>
        <w:spacing w:after="140" w:line="269" w:lineRule="auto"/>
      </w:pPr>
      <w:r>
        <w:rPr>
          <w:rFonts w:ascii="Aptos" w:hAnsi="Aptos"/>
          <w:color w:val="334155"/>
          <w:sz w:val="21"/>
        </w:rPr>
        <w:t>The implementation was repeatedly checked through the project build and lint commands after the visual and interaction fixes. The latest validation completed successfully.</w:t>
      </w:r>
    </w:p>
    <w:tbl>
      <w:tblPr>
        <w:tblW w:type="auto" w:w="0"/>
        <w:jc w:val="center"/>
        <w:tblLayout w:type="fixed"/>
        <w:tblLook w:firstColumn="1" w:firstRow="1" w:lastColumn="0" w:lastRow="0" w:noHBand="0" w:noVBand="1" w:val="04A0"/>
        <w:tblBorders>
          <w:top w:val="single" w:sz="6" w:space="0" w:color="D9E1EA"/>
          <w:left w:val="single" w:sz="6" w:space="0" w:color="D9E1EA"/>
          <w:bottom w:val="single" w:sz="6" w:space="0" w:color="D9E1EA"/>
          <w:right w:val="single" w:sz="6" w:space="0" w:color="D9E1EA"/>
          <w:insideH w:val="single" w:sz="6" w:space="0" w:color="D9E1EA"/>
          <w:insideV w:val="single" w:sz="6" w:space="0" w:color="D9E1EA"/>
        </w:tblBorders>
      </w:tblPr>
      <w:tblGrid>
        <w:gridCol w:w="4997"/>
        <w:gridCol w:w="4997"/>
      </w:tblGrid>
      <w:tr>
        <w:trPr>
          <w:tblHeader w:val="true"/>
        </w:trPr>
        <w:tc>
          <w:tcPr>
            <w:tcW w:type="dxa" w:w="2880"/>
            <w:shd w:fill="173B63"/>
            <w:vAlign w:val="center"/>
            <w:tcMar>
              <w:top w:w="130" w:type="dxa"/>
              <w:start w:w="130" w:type="dxa"/>
              <w:bottom w:w="130" w:type="dxa"/>
              <w:end w:w="130" w:type="dxa"/>
            </w:tcMar>
          </w:tcPr>
          <w:p>
            <w:pPr>
              <w:spacing w:after="0"/>
            </w:pPr>
            <w:r>
              <w:rPr>
                <w:rFonts w:ascii="Aptos" w:hAnsi="Aptos"/>
                <w:b/>
                <w:color w:val="FFFFFF"/>
                <w:sz w:val="19"/>
              </w:rPr>
              <w:t>Check</w:t>
            </w:r>
          </w:p>
        </w:tc>
        <w:tc>
          <w:tcPr>
            <w:tcW w:type="dxa" w:w="6912"/>
            <w:shd w:fill="173B63"/>
            <w:vAlign w:val="center"/>
            <w:tcMar>
              <w:top w:w="130" w:type="dxa"/>
              <w:start w:w="130" w:type="dxa"/>
              <w:bottom w:w="130" w:type="dxa"/>
              <w:end w:w="130" w:type="dxa"/>
            </w:tcMar>
          </w:tcPr>
          <w:p>
            <w:pPr>
              <w:spacing w:after="0"/>
            </w:pPr>
            <w:r>
              <w:rPr>
                <w:rFonts w:ascii="Aptos" w:hAnsi="Aptos"/>
                <w:b/>
                <w:color w:val="FFFFFF"/>
                <w:sz w:val="19"/>
              </w:rPr>
              <w:t>Result</w:t>
            </w:r>
          </w:p>
        </w:tc>
      </w:tr>
      <w:tr>
        <w:tc>
          <w:tcPr>
            <w:tcW w:type="dxa" w:w="2880"/>
            <w:shd w:fill="FFFFFF"/>
            <w:vAlign w:val="center"/>
            <w:tcMar>
              <w:top w:w="120" w:type="dxa"/>
              <w:start w:w="130" w:type="dxa"/>
              <w:bottom w:w="120" w:type="dxa"/>
              <w:end w:w="130" w:type="dxa"/>
            </w:tcMar>
          </w:tcPr>
          <w:p>
            <w:pPr>
              <w:spacing w:after="0" w:line="252" w:lineRule="auto"/>
            </w:pPr>
            <w:r>
              <w:rPr>
                <w:rFonts w:ascii="Aptos" w:hAnsi="Aptos"/>
                <w:color w:val="334155"/>
                <w:sz w:val="18"/>
              </w:rPr>
              <w:t>npm run lint</w:t>
            </w:r>
          </w:p>
        </w:tc>
        <w:tc>
          <w:tcPr>
            <w:tcW w:type="dxa" w:w="6912"/>
            <w:shd w:fill="FFFFFF"/>
            <w:vAlign w:val="center"/>
            <w:tcMar>
              <w:top w:w="120" w:type="dxa"/>
              <w:start w:w="130" w:type="dxa"/>
              <w:bottom w:w="120" w:type="dxa"/>
              <w:end w:w="130" w:type="dxa"/>
            </w:tcMar>
          </w:tcPr>
          <w:p>
            <w:pPr>
              <w:spacing w:after="0" w:line="252" w:lineRule="auto"/>
            </w:pPr>
            <w:r>
              <w:rPr>
                <w:rFonts w:ascii="Aptos" w:hAnsi="Aptos"/>
                <w:color w:val="334155"/>
                <w:sz w:val="18"/>
              </w:rPr>
              <w:t>Passed with no lint errors.</w:t>
            </w:r>
          </w:p>
        </w:tc>
      </w:tr>
      <w:tr>
        <w:tc>
          <w:tcPr>
            <w:tcW w:type="dxa" w:w="2880"/>
            <w:shd w:fill="F5F8FC"/>
            <w:vAlign w:val="center"/>
            <w:tcMar>
              <w:top w:w="120" w:type="dxa"/>
              <w:start w:w="130" w:type="dxa"/>
              <w:bottom w:w="120" w:type="dxa"/>
              <w:end w:w="130" w:type="dxa"/>
            </w:tcMar>
          </w:tcPr>
          <w:p>
            <w:pPr>
              <w:spacing w:after="0" w:line="252" w:lineRule="auto"/>
            </w:pPr>
            <w:r>
              <w:rPr>
                <w:rFonts w:ascii="Aptos" w:hAnsi="Aptos"/>
                <w:color w:val="334155"/>
                <w:sz w:val="18"/>
              </w:rPr>
              <w:t>npm run build</w:t>
            </w:r>
          </w:p>
        </w:tc>
        <w:tc>
          <w:tcPr>
            <w:tcW w:type="dxa" w:w="6912"/>
            <w:shd w:fill="F5F8FC"/>
            <w:vAlign w:val="center"/>
            <w:tcMar>
              <w:top w:w="120" w:type="dxa"/>
              <w:start w:w="130" w:type="dxa"/>
              <w:bottom w:w="120" w:type="dxa"/>
              <w:end w:w="130" w:type="dxa"/>
            </w:tcMar>
          </w:tcPr>
          <w:p>
            <w:pPr>
              <w:spacing w:after="0" w:line="252" w:lineRule="auto"/>
            </w:pPr>
            <w:r>
              <w:rPr>
                <w:rFonts w:ascii="Aptos" w:hAnsi="Aptos"/>
                <w:color w:val="334155"/>
                <w:sz w:val="18"/>
              </w:rPr>
              <w:t>Passed successfully. Vite emitted only the existing large-chunk advisory.</w:t>
            </w:r>
          </w:p>
        </w:tc>
      </w:tr>
      <w:tr>
        <w:tc>
          <w:tcPr>
            <w:tcW w:type="dxa" w:w="2880"/>
            <w:shd w:fill="FFFFFF"/>
            <w:vAlign w:val="center"/>
            <w:tcMar>
              <w:top w:w="120" w:type="dxa"/>
              <w:start w:w="130" w:type="dxa"/>
              <w:bottom w:w="120" w:type="dxa"/>
              <w:end w:w="130" w:type="dxa"/>
            </w:tcMar>
          </w:tcPr>
          <w:p>
            <w:pPr>
              <w:spacing w:after="0" w:line="252" w:lineRule="auto"/>
            </w:pPr>
            <w:r>
              <w:rPr>
                <w:rFonts w:ascii="Aptos" w:hAnsi="Aptos"/>
                <w:color w:val="334155"/>
                <w:sz w:val="18"/>
              </w:rPr>
              <w:t>Protected route logic</w:t>
            </w:r>
          </w:p>
        </w:tc>
        <w:tc>
          <w:tcPr>
            <w:tcW w:type="dxa" w:w="6912"/>
            <w:shd w:fill="FFFFFF"/>
            <w:vAlign w:val="center"/>
            <w:tcMar>
              <w:top w:w="120" w:type="dxa"/>
              <w:start w:w="130" w:type="dxa"/>
              <w:bottom w:w="120" w:type="dxa"/>
              <w:end w:w="130" w:type="dxa"/>
            </w:tcMar>
          </w:tcPr>
          <w:p>
            <w:pPr>
              <w:spacing w:after="0" w:line="252" w:lineRule="auto"/>
            </w:pPr>
            <w:r>
              <w:rPr>
                <w:rFonts w:ascii="Aptos" w:hAnsi="Aptos"/>
                <w:color w:val="334155"/>
                <w:sz w:val="18"/>
              </w:rPr>
              <w:t>Verified in source: unauthenticated sessions are redirected to /login.</w:t>
            </w:r>
          </w:p>
        </w:tc>
      </w:tr>
      <w:tr>
        <w:tc>
          <w:tcPr>
            <w:tcW w:type="dxa" w:w="2880"/>
            <w:shd w:fill="F5F8FC"/>
            <w:vAlign w:val="center"/>
            <w:tcMar>
              <w:top w:w="120" w:type="dxa"/>
              <w:start w:w="130" w:type="dxa"/>
              <w:bottom w:w="120" w:type="dxa"/>
              <w:end w:w="130" w:type="dxa"/>
            </w:tcMar>
          </w:tcPr>
          <w:p>
            <w:pPr>
              <w:spacing w:after="0" w:line="252" w:lineRule="auto"/>
            </w:pPr>
            <w:r>
              <w:rPr>
                <w:rFonts w:ascii="Aptos" w:hAnsi="Aptos"/>
                <w:color w:val="334155"/>
                <w:sz w:val="18"/>
              </w:rPr>
              <w:t>Temporary marker search</w:t>
            </w:r>
          </w:p>
        </w:tc>
        <w:tc>
          <w:tcPr>
            <w:tcW w:type="dxa" w:w="6912"/>
            <w:shd w:fill="F5F8FC"/>
            <w:vAlign w:val="center"/>
            <w:tcMar>
              <w:top w:w="120" w:type="dxa"/>
              <w:start w:w="130" w:type="dxa"/>
              <w:bottom w:w="120" w:type="dxa"/>
              <w:end w:w="130" w:type="dxa"/>
            </w:tcMar>
          </w:tcPr>
          <w:p>
            <w:pPr>
              <w:spacing w:after="0" w:line="252" w:lineRule="auto"/>
            </w:pPr>
            <w:r>
              <w:rPr>
                <w:rFonts w:ascii="Aptos" w:hAnsi="Aptos"/>
                <w:color w:val="334155"/>
                <w:sz w:val="18"/>
              </w:rPr>
              <w:t>Zero results for both required marker strings.</w:t>
            </w:r>
          </w:p>
        </w:tc>
      </w:tr>
      <w:tr>
        <w:tc>
          <w:tcPr>
            <w:tcW w:type="dxa" w:w="2880"/>
            <w:shd w:fill="FFFFFF"/>
            <w:vAlign w:val="center"/>
            <w:tcMar>
              <w:top w:w="120" w:type="dxa"/>
              <w:start w:w="130" w:type="dxa"/>
              <w:bottom w:w="120" w:type="dxa"/>
              <w:end w:w="130" w:type="dxa"/>
            </w:tcMar>
          </w:tcPr>
          <w:p>
            <w:pPr>
              <w:spacing w:after="0" w:line="252" w:lineRule="auto"/>
            </w:pPr>
            <w:r>
              <w:rPr>
                <w:rFonts w:ascii="Aptos" w:hAnsi="Aptos"/>
                <w:color w:val="334155"/>
                <w:sz w:val="18"/>
              </w:rPr>
              <w:t>Responsive behavior</w:t>
            </w:r>
          </w:p>
        </w:tc>
        <w:tc>
          <w:tcPr>
            <w:tcW w:type="dxa" w:w="6912"/>
            <w:shd w:fill="FFFFFF"/>
            <w:vAlign w:val="center"/>
            <w:tcMar>
              <w:top w:w="120" w:type="dxa"/>
              <w:start w:w="130" w:type="dxa"/>
              <w:bottom w:w="120" w:type="dxa"/>
              <w:end w:w="130" w:type="dxa"/>
            </w:tcMar>
          </w:tcPr>
          <w:p>
            <w:pPr>
              <w:spacing w:after="0" w:line="252" w:lineRule="auto"/>
            </w:pPr>
            <w:r>
              <w:rPr>
                <w:rFonts w:ascii="Aptos" w:hAnsi="Aptos"/>
                <w:color w:val="334155"/>
                <w:sz w:val="18"/>
              </w:rPr>
              <w:t>Handled for desktop, wide-screen, sidebar-closed, mobile and zoomed layouts through CSS breakpoints and flexible sizing.</w:t>
            </w:r>
          </w:p>
        </w:tc>
      </w:tr>
    </w:tbl>
    <w:p>
      <w:pPr>
        <w:spacing w:after="40"/>
      </w:pPr>
    </w:p>
    <w:p>
      <w:pPr>
        <w:pStyle w:val="Heading1"/>
        <w:keepNext/>
      </w:pPr>
      <w:r>
        <w:rPr>
          <w:rFonts w:ascii="Aptos" w:hAnsi="Aptos"/>
          <w:b/>
          <w:color w:val="000000"/>
          <w:sz w:val="30"/>
        </w:rPr>
        <w:t>12 Files And Areas Involved</w:t>
      </w:r>
    </w:p>
    <w:p>
      <w:pPr>
        <w:spacing w:after="140" w:line="269" w:lineRule="auto"/>
      </w:pPr>
      <w:r>
        <w:rPr>
          <w:rFonts w:ascii="Aptos" w:hAnsi="Aptos"/>
          <w:color w:val="334155"/>
          <w:sz w:val="21"/>
        </w:rPr>
        <w:t>The main implementation areas include the Dashboard page and stylesheet, session loading presentation, endpoint operations components, compliance and team workspaces, route protection and backend contract definitions. The dominant shell and chart work is concentrated in the Dashboard module, while page-specific visual polish remains in each workspace's own component and stylesheet.</w:t>
      </w:r>
    </w:p>
    <w:p>
      <w:pPr>
        <w:pStyle w:val="ListBullet"/>
        <w:spacing w:after="60"/>
        <w:ind w:left="360"/>
      </w:pPr>
      <w:r>
        <w:rPr>
          <w:rFonts w:ascii="Aptos" w:hAnsi="Aptos"/>
          <w:color w:val="334155"/>
          <w:sz w:val="21"/>
        </w:rPr>
        <w:t>src/assets/Pages/Dashboard/Dashboard.jsx</w:t>
      </w:r>
    </w:p>
    <w:p>
      <w:pPr>
        <w:pStyle w:val="ListBullet"/>
        <w:spacing w:after="60"/>
        <w:ind w:left="360"/>
      </w:pPr>
      <w:r>
        <w:rPr>
          <w:rFonts w:ascii="Aptos" w:hAnsi="Aptos"/>
          <w:color w:val="334155"/>
          <w:sz w:val="21"/>
        </w:rPr>
        <w:t>src/assets/Pages/Dashboard/Dashboard.css</w:t>
      </w:r>
    </w:p>
    <w:p>
      <w:pPr>
        <w:pStyle w:val="ListBullet"/>
        <w:spacing w:after="60"/>
        <w:ind w:left="360"/>
      </w:pPr>
      <w:r>
        <w:rPr>
          <w:rFonts w:ascii="Aptos" w:hAnsi="Aptos"/>
          <w:color w:val="334155"/>
          <w:sz w:val="21"/>
        </w:rPr>
        <w:t>src/components/SessionLoading.css</w:t>
      </w:r>
    </w:p>
    <w:p>
      <w:pPr>
        <w:pStyle w:val="ListBullet"/>
        <w:spacing w:after="60"/>
        <w:ind w:left="360"/>
      </w:pPr>
      <w:r>
        <w:rPr>
          <w:rFonts w:ascii="Aptos" w:hAnsi="Aptos"/>
          <w:color w:val="334155"/>
          <w:sz w:val="21"/>
        </w:rPr>
        <w:t>src/components/ProtectedRoute.jsx</w:t>
      </w:r>
    </w:p>
    <w:p>
      <w:pPr>
        <w:pStyle w:val="ListBullet"/>
        <w:spacing w:after="60"/>
        <w:ind w:left="360"/>
      </w:pPr>
      <w:r>
        <w:rPr>
          <w:rFonts w:ascii="Aptos" w:hAnsi="Aptos"/>
          <w:color w:val="334155"/>
          <w:sz w:val="21"/>
        </w:rPr>
        <w:t>src/App.jsx</w:t>
      </w:r>
    </w:p>
    <w:p>
      <w:pPr>
        <w:pStyle w:val="ListBullet"/>
        <w:spacing w:after="60"/>
        <w:ind w:left="360"/>
      </w:pPr>
      <w:r>
        <w:rPr>
          <w:rFonts w:ascii="Aptos" w:hAnsi="Aptos"/>
          <w:color w:val="334155"/>
          <w:sz w:val="21"/>
        </w:rPr>
        <w:t>src/assets/Components/OperationsViews/OperationsViews.jsx</w:t>
      </w:r>
    </w:p>
    <w:p>
      <w:pPr>
        <w:pStyle w:val="ListBullet"/>
        <w:spacing w:after="60"/>
        <w:ind w:left="360"/>
      </w:pPr>
      <w:r>
        <w:rPr>
          <w:rFonts w:ascii="Aptos" w:hAnsi="Aptos"/>
          <w:color w:val="334155"/>
          <w:sz w:val="21"/>
        </w:rPr>
        <w:t>src/assets/Components/OperationsViews/EndpointTrust.jsx</w:t>
      </w:r>
    </w:p>
    <w:p>
      <w:pPr>
        <w:pStyle w:val="ListBullet"/>
        <w:spacing w:after="60"/>
        <w:ind w:left="360"/>
      </w:pPr>
      <w:r>
        <w:rPr>
          <w:rFonts w:ascii="Aptos" w:hAnsi="Aptos"/>
          <w:color w:val="334155"/>
          <w:sz w:val="21"/>
        </w:rPr>
        <w:t>src/assets/Pages/Compliance/ComplianceDashboard.jsx</w:t>
      </w:r>
    </w:p>
    <w:p>
      <w:pPr>
        <w:pStyle w:val="ListBullet"/>
        <w:spacing w:after="60"/>
        <w:ind w:left="360"/>
      </w:pPr>
      <w:r>
        <w:rPr>
          <w:rFonts w:ascii="Aptos" w:hAnsi="Aptos"/>
          <w:color w:val="334155"/>
          <w:sz w:val="21"/>
        </w:rPr>
        <w:t>src/assets/Pages/Compliance/ConfigurationAssessment.jsx</w:t>
      </w:r>
    </w:p>
    <w:p>
      <w:pPr>
        <w:pStyle w:val="ListBullet"/>
        <w:spacing w:after="60"/>
        <w:ind w:left="360"/>
      </w:pPr>
      <w:r>
        <w:rPr>
          <w:rFonts w:ascii="Aptos" w:hAnsi="Aptos"/>
          <w:color w:val="334155"/>
          <w:sz w:val="21"/>
        </w:rPr>
        <w:t>src/assets/Pages/Team/TeamManagement.jsx</w:t>
      </w:r>
    </w:p>
    <w:p>
      <w:pPr>
        <w:pStyle w:val="ListBullet"/>
        <w:spacing w:after="60"/>
        <w:ind w:left="360"/>
      </w:pPr>
      <w:r>
        <w:rPr>
          <w:rFonts w:ascii="Aptos" w:hAnsi="Aptos"/>
          <w:color w:val="334155"/>
          <w:sz w:val="21"/>
        </w:rPr>
        <w:t>src/contracts/backendContracts.js</w:t>
      </w:r>
    </w:p>
    <w:p>
      <w:pPr>
        <w:pStyle w:val="Heading1"/>
        <w:keepNext/>
      </w:pPr>
      <w:r>
        <w:rPr>
          <w:rFonts w:ascii="Aptos" w:hAnsi="Aptos"/>
          <w:b/>
          <w:color w:val="000000"/>
          <w:sz w:val="30"/>
        </w:rPr>
        <w:t>13 Final Handoff Summary</w:t>
      </w:r>
    </w:p>
    <w:p>
      <w:pPr>
        <w:spacing w:after="140" w:line="269" w:lineRule="auto"/>
      </w:pPr>
      <w:r>
        <w:rPr>
          <w:rFonts w:ascii="Aptos" w:hAnsi="Aptos"/>
          <w:color w:val="334155"/>
          <w:sz w:val="21"/>
        </w:rPr>
        <w:t>The WarSOC frontend now has a cohesive, responsive dashboard shell with clear navigation, stable protected-route behavior, stronger light and dark theme contrast, professional chart states, reduced layout gaps, readable endpoint operations views and a production-ready cleanup of temporary review logic. The major visual and navigation work remains intact while the final interaction issues raised during review have been addressed.</w:t>
      </w:r>
    </w:p>
    <w:sectPr w:rsidR="00FC693F" w:rsidRPr="0006063C" w:rsidSect="00034616">
      <w:footerReference w:type="default" r:id="rId9"/>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ptos" w:hAnsi="Aptos"/>
        <w:color w:val="64748B"/>
        <w:sz w:val="17"/>
      </w:rPr>
      <w:t>WarSOC Frontend Implementation Documentation</w:t>
    </w:r>
  </w:p>
  <w:p>
    <w:pPr>
      <w:jc w:val="right"/>
    </w:pPr>
    <w:r>
      <w:rPr>
        <w:rFonts w:ascii="Aptos" w:hAnsi="Aptos"/>
        <w:color w:val="64748B"/>
        <w:sz w:val="17"/>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WarSOC Frontend Implementation Documentation</dc:title>
  <dc:subject>Complete record of WarSOC SIEM frontend UI UX and production cleanup work</dc:subject>
  <dc:creator>WarSOC Frontend Team</dc:creator>
  <cp:keywords>WarSOC, SIEM, frontend, dashboard, UI, UX, navigation, charts, responsive design</cp:keywords>
  <dc:description>generated by python-docx</dc:description>
  <cp:lastModifiedBy/>
  <cp:revision>1</cp:revision>
  <dcterms:created xsi:type="dcterms:W3CDTF">2013-12-23T23:15:00Z</dcterms:created>
  <dcterms:modified xsi:type="dcterms:W3CDTF">2013-12-23T23:15:00Z</dcterms:modified>
  <cp:category/>
</cp:coreProperties>
</file>